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header9.xml" ContentType="application/vnd.openxmlformats-officedocument.wordprocessingml.header+xml"/>
  <Override PartName="/word/header7.xml" ContentType="application/vnd.openxmlformats-officedocument.wordprocessingml.header+xml"/>
  <Override PartName="/word/header2.xml" ContentType="application/vnd.openxmlformats-officedocument.wordprocessingml.header+xml"/>
  <Override PartName="/word/header4.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header5.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endnotes.xml" ContentType="application/vnd.openxmlformats-officedocument.wordprocessingml.endnote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footnotes.xml" ContentType="application/vnd.openxmlformats-officedocument.wordprocessingml.footnotes+xml"/>
  <Override PartName="/word/header8.xml" ContentType="application/vnd.openxmlformats-officedocument.wordprocessingml.header+xml"/>
  <Override PartName="/word/header6.xml" ContentType="application/vnd.openxmlformats-officedocument.wordprocessingml.header+xml"/>
  <Override PartName="/word/styles.xml" ContentType="application/vnd.openxmlformats-officedocument.wordprocessingml.styles+xml"/>
  <Override PartName="/word/document.xml" ContentType="application/vnd.openxmlformats-officedocument.wordprocessingml.document.main+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xmlns:w10="urn:schemas-microsoft-com:office:wor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body>
    <w:sdt>
      <w:sdtPr>
        <w15:appearance w15:val="boundingBox"/>
        <w:id w:val="201641"/>
        <w:docPartObj>
          <w:docPartGallery w:val="Cover Pages"/>
          <w:docPartUnique w:val="true"/>
        </w:docPartObj>
        <w:rPr/>
      </w:sdtPr>
      <w:sdtContent>
        <w:p>
          <w:pPr>
            <w:pBdr/>
            <w:spacing/>
            <w:ind/>
            <w:rPr/>
          </w:pPr>
          <w:r/>
          <w:r/>
        </w:p>
        <w:p>
          <w:pPr>
            <w:pBdr/>
            <w:spacing/>
            <w:ind/>
            <w:rPr/>
          </w:pPr>
          <w:r>
            <w:rPr>
              <w:lang w:eastAsia="zh-TW"/>
            </w:rPr>
            <mc:AlternateContent>
              <mc:Choice Requires="wpg">
                <w:drawing>
                  <wp:anchor xmlns:wp="http://schemas.openxmlformats.org/drawingml/2006/wordprocessingDrawing" xmlns:wp14="http://schemas.microsoft.com/office/word/2010/wordprocessingDrawing" distT="0" distB="0" distL="114300" distR="114300" simplePos="0" relativeHeight="251658240" behindDoc="1" locked="0" layoutInCell="0" allowOverlap="1">
                    <wp:simplePos x="0" y="0"/>
                    <wp:positionH relativeFrom="page">
                      <wp:align>center</wp:align>
                    </wp:positionH>
                    <wp:positionV relativeFrom="page">
                      <wp:align>center</wp:align>
                    </wp:positionV>
                    <wp:extent cx="7772400" cy="10058400"/>
                    <wp:effectExtent l="0" t="0" r="0" b="0"/>
                    <wp:wrapNone/>
                    <wp:docPr id="1" name="_x0000_s1026"/>
                    <wp:cNvGraphicFramePr/>
                    <a:graphic xmlns:a="http://schemas.openxmlformats.org/drawingml/2006/main">
                      <a:graphicData uri="http://schemas.microsoft.com/office/word/2010/wordprocessingShape">
                        <wps:wsp>
                          <wps:cNvPr id="0" name=""/>
                          <wps:cNvSpPr/>
                          <wps:spPr bwMode="auto">
                            <a:xfrm>
                              <a:off x="0" y="0"/>
                              <a:ext cx="7772400" cy="10058400"/>
                            </a:xfrm>
                            <a:prstGeom prst="rect">
                              <a:avLst/>
                            </a:prstGeom>
                            <a:solidFill>
                              <a:srgbClr val="FFFFFF"/>
                            </a:solidFill>
                            <a:ln>
                              <a:noFill/>
                            </a:ln>
                          </wps:spPr>
                          <wps:txbx>
                            <w:txbxContent>
                              <w:p>
                                <w:pPr>
                                  <w:pBdr/>
                                  <w:spacing/>
                                  <w:ind w:firstLine="0"/>
                                  <w:rPr>
                                    <w:szCs w:val="96"/>
                                  </w:rPr>
                                </w:pPr>
                                <w:r>
                                  <w:rPr>
                                    <w:szCs w:val="96"/>
                                    <w:lang w:val="en-US"/>
                                  </w:rPr>
                                  <mc:AlternateContent>
                                    <mc:Choice Requires="wpg">
                                      <w:drawing>
                                        <wp:inline xmlns:wp="http://schemas.openxmlformats.org/drawingml/2006/wordprocessingDrawing" distT="0" distB="0" distL="0" distR="0">
                                          <wp:extent cx="6267450" cy="7103798"/>
                                          <wp:effectExtent l="19050" t="0" r="0" b="0"/>
                                          <wp:docPr id="2" name="Picture 1" descr="D:\on-date-projects\calendare 23-24\calendar-24\Proverbe1-10\proverbe\b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n-date-projects\calendare 23-24\calendar-24\Proverbe1-10\proverbe\bn.jpg"/>
                                                  <pic:cNvPicPr>
                                                    <a:picLocks noChangeAspect="1" noChangeArrowheads="1"/>
                                                  </pic:cNvPicPr>
                                                  <pic:nvPr/>
                                                </pic:nvPicPr>
                                                <pic:blipFill>
                                                  <a:blip r:embed="rId19"/>
                                                  <a:stretch/>
                                                </pic:blipFill>
                                                <pic:spPr bwMode="auto">
                                                  <a:xfrm>
                                                    <a:off x="0" y="0"/>
                                                    <a:ext cx="6267450" cy="7103798"/>
                                                  </a:xfrm>
                                                  <a:prstGeom prst="rect">
                                                    <a:avLst/>
                                                  </a:prstGeom>
                                                  <a:noFill/>
                                                  <a:ln w="9525">
                                                    <a:noFill/>
                                                    <a:miter lim="800000"/>
                                                    <a:headEnd/>
                                                    <a:tailEnd/>
                                                  </a:ln>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width:493.50pt;height:559.35pt;mso-wrap-distance-left:0.00pt;mso-wrap-distance-top:0.00pt;mso-wrap-distance-right:0.00pt;mso-wrap-distance-bottom:0.00pt;z-index:1;" stroked="f" strokeweight="0.75pt">
                                          <v:imagedata r:id="rId19" o:title=""/>
                                          <o:lock v:ext="edit" rotation="t"/>
                                        </v:shape>
                                      </w:pict>
                                    </mc:Fallback>
                                  </mc:AlternateContent>
                                </w:r>
                                <w:r>
                                  <w:rPr>
                                    <w:szCs w:val="96"/>
                                  </w:rPr>
                                </w:r>
                              </w:p>
                            </w:txbxContent>
                          </wps:txbx>
                          <wps:bodyPr wrap="square" upright="1"/>
                        </wps:wsp>
                      </a:graphicData>
                    </a:graphic>
                    <wp14:sizeRelH relativeFrom="page">
                      <wp14:pctWidth>100000</wp14:pctWidth>
                    </wp14:sizeRelH>
                    <wp14:sizeRelV relativeFrom="page">
                      <wp14:pctHeight>100000</wp14:pctHeight>
                    </wp14:sizeRelV>
                  </wp:anchor>
                </w:drawing>
              </mc:Choice>
              <mc:Fallback>
                <w:pict>
                  <v:shape id="shape 1" o:spid="_x0000_s1" o:spt="1" type="#_x0000_t1" style="position:absolute;z-index:-251658240;o:allowoverlap:true;o:allowincell:false;mso-position-horizontal-relative:page;mso-position-horizontal:center;mso-position-vertical-relative:page;mso-position-vertical:center;width:612.00pt;height:792.00pt;mso-wrap-distance-left:9.00pt;mso-wrap-distance-top:0.00pt;mso-wrap-distance-right:9.00pt;mso-wrap-distance-bottom:0.00pt;visibility:visible;" fillcolor="#FFFFFF" stroked="f">
                    <v:textbox inset="0,0,0,0">
                      <w:txbxContent>
                        <w:p>
                          <w:pPr>
                            <w:pBdr/>
                            <w:spacing/>
                            <w:ind w:firstLine="0"/>
                            <w:rPr>
                              <w:szCs w:val="96"/>
                            </w:rPr>
                          </w:pPr>
                          <w:r>
                            <w:rPr>
                              <w:szCs w:val="96"/>
                              <w:lang w:val="en-US"/>
                            </w:rPr>
                            <mc:AlternateContent>
                              <mc:Choice Requires="wpg">
                                <w:drawing>
                                  <wp:inline xmlns:wp="http://schemas.openxmlformats.org/drawingml/2006/wordprocessingDrawing" distT="0" distB="0" distL="0" distR="0">
                                    <wp:extent cx="6267450" cy="7103798"/>
                                    <wp:effectExtent l="19050" t="0" r="0" b="0"/>
                                    <wp:docPr id="2" name="Picture 1" descr="D:\on-date-projects\calendare 23-24\calendar-24\Proverbe1-10\proverbe\b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n-date-projects\calendare 23-24\calendar-24\Proverbe1-10\proverbe\bn.jpg"/>
                                            <pic:cNvPicPr>
                                              <a:picLocks noChangeAspect="1" noChangeArrowheads="1"/>
                                            </pic:cNvPicPr>
                                            <pic:nvPr/>
                                          </pic:nvPicPr>
                                          <pic:blipFill>
                                            <a:blip r:embed="rId19"/>
                                            <a:stretch/>
                                          </pic:blipFill>
                                          <pic:spPr bwMode="auto">
                                            <a:xfrm>
                                              <a:off x="0" y="0"/>
                                              <a:ext cx="6267450" cy="7103798"/>
                                            </a:xfrm>
                                            <a:prstGeom prst="rect">
                                              <a:avLst/>
                                            </a:prstGeom>
                                            <a:noFill/>
                                            <a:ln w="9525">
                                              <a:noFill/>
                                              <a:miter lim="800000"/>
                                              <a:headEnd/>
                                              <a:tailEnd/>
                                            </a:ln>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width:493.50pt;height:559.35pt;mso-wrap-distance-left:0.00pt;mso-wrap-distance-top:0.00pt;mso-wrap-distance-right:0.00pt;mso-wrap-distance-bottom:0.00pt;z-index:1;" stroked="f" strokeweight="0.75pt">
                                    <v:imagedata r:id="rId19" o:title=""/>
                                    <o:lock v:ext="edit" rotation="t"/>
                                  </v:shape>
                                </w:pict>
                              </mc:Fallback>
                            </mc:AlternateContent>
                          </w:r>
                          <w:r>
                            <w:rPr>
                              <w:szCs w:val="96"/>
                            </w:rPr>
                          </w:r>
                        </w:p>
                      </w:txbxContent>
                    </v:textbox>
                  </v:shape>
                </w:pict>
              </mc:Fallback>
            </mc:AlternateContent>
          </w:r>
          <w:r/>
        </w:p>
        <w:p>
          <w:pPr>
            <w:pBdr/>
            <w:spacing/>
            <w:ind/>
            <w:rPr/>
          </w:pPr>
          <w:r/>
          <w:r/>
        </w:p>
        <w:p>
          <w:pPr>
            <w:pBdr/>
            <w:spacing/>
            <w:ind/>
            <w:rPr/>
          </w:pPr>
          <w:r/>
          <w:r/>
        </w:p>
        <w:p>
          <w:pPr>
            <w:pBdr/>
            <w:spacing w:after="0" w:line="240" w:lineRule="auto"/>
            <w:ind w:firstLine="0"/>
            <w:jc w:val="left"/>
            <w:rPr/>
          </w:pPr>
          <w:r>
            <w:rPr>
              <w:lang w:val="en-US"/>
            </w:rPr>
            <mc:AlternateContent>
              <mc:Choice Requires="wpg">
                <w:drawing>
                  <wp:anchor xmlns:wp="http://schemas.openxmlformats.org/drawingml/2006/wordprocessingDrawing" xmlns:wp14="http://schemas.microsoft.com/office/word/2010/wordprocessingDrawing" distT="0" distB="0" distL="114300" distR="114300" simplePos="0" relativeHeight="251662336" behindDoc="0" locked="0" layoutInCell="1" allowOverlap="1">
                    <wp:simplePos x="0" y="0"/>
                    <wp:positionH relativeFrom="column">
                      <wp:posOffset>307975</wp:posOffset>
                    </wp:positionH>
                    <wp:positionV relativeFrom="paragraph">
                      <wp:posOffset>1865630</wp:posOffset>
                    </wp:positionV>
                    <wp:extent cx="4038600" cy="704850"/>
                    <wp:effectExtent l="0" t="0" r="0" b="0"/>
                    <wp:wrapNone/>
                    <wp:docPr id="3" name="_x0000_s1030"/>
                    <wp:cNvGraphicFramePr/>
                    <a:graphic xmlns:a="http://schemas.openxmlformats.org/drawingml/2006/main">
                      <a:graphicData uri="http://schemas.microsoft.com/office/word/2010/wordprocessingShape">
                        <wps:wsp>
                          <wps:cNvPr id="0" name=""/>
                          <wps:cNvSpPr txBox="1"/>
                          <wps:spPr bwMode="auto">
                            <a:xfrm>
                              <a:off x="0" y="0"/>
                              <a:ext cx="4038600" cy="704850"/>
                            </a:xfrm>
                            <a:prstGeom prst="rect">
                              <a:avLst/>
                            </a:prstGeom>
                            <a:noFill/>
                            <a:ln w="0">
                              <a:noFill/>
                            </a:ln>
                          </wps:spPr>
                          <wps:txbx>
                            <w:txbxContent>
                              <w:p>
                                <w:pPr>
                                  <w:pBdr/>
                                  <w:spacing/>
                                  <w:ind w:firstLine="0"/>
                                  <w:rPr>
                                    <w:rFonts w:ascii="Segoe UI Black" w:hAnsi="Segoe UI Black"/>
                                    <w:b/>
                                    <w:i/>
                                    <w:color w:val="ffc000"/>
                                    <w:sz w:val="56"/>
                                    <w:szCs w:val="56"/>
                                  </w:rPr>
                                </w:pPr>
                                <w:r>
                                  <w:rPr>
                                    <w:rFonts w:ascii="Segoe UI Black" w:hAnsi="Segoe UI Black"/>
                                    <w:b/>
                                    <w:i/>
                                    <w:color w:val="ffc000"/>
                                    <w:sz w:val="56"/>
                                    <w:szCs w:val="56"/>
                                  </w:rPr>
                                  <w:t xml:space="preserve">  </w:t>
                                </w:r>
                                <w:r>
                                  <w:rPr>
                                    <w:rFonts w:ascii="Segoe UI Black" w:hAnsi="Segoe UI Black"/>
                                    <w:b/>
                                    <w:i/>
                                    <w:color w:val="ffc000"/>
                                    <w:sz w:val="56"/>
                                    <w:szCs w:val="56"/>
                                  </w:rPr>
                                  <w:t xml:space="preserve">Ghid Proverbe 1-10</w:t>
                                </w:r>
                                <w:r>
                                  <w:rPr>
                                    <w:rFonts w:ascii="Segoe UI Black" w:hAnsi="Segoe UI Black"/>
                                    <w:b/>
                                    <w:i/>
                                    <w:color w:val="ffc000"/>
                                    <w:sz w:val="56"/>
                                    <w:szCs w:val="56"/>
                                  </w:rPr>
                                </w:r>
                              </w:p>
                            </w:txbxContent>
                          </wps:txbx>
                          <wps:bodyPr wrap="square" upright="1"/>
                        </wps:wsp>
                      </a:graphicData>
                    </a:graphic>
                  </wp:anchor>
                </w:drawing>
              </mc:Choice>
              <mc:Fallback>
                <w:pict>
                  <v:shape id="shape 2" o:spid="_x0000_s2" o:spt="202" type="#_x0000_t202" style="position:absolute;z-index:251662336;o:allowoverlap:true;o:allowincell:true;mso-position-horizontal-relative:text;margin-left:24.25pt;mso-position-horizontal:absolute;mso-position-vertical-relative:text;margin-top:146.90pt;mso-position-vertical:absolute;width:318.00pt;height:55.50pt;mso-wrap-distance-left:9.00pt;mso-wrap-distance-top:0.00pt;mso-wrap-distance-right:9.00pt;mso-wrap-distance-bottom:0.00pt;visibility:visible;" filled="f" stroked="f" strokeweight="0.00pt">
                    <v:textbox inset="0,0,0,0">
                      <w:txbxContent>
                        <w:p>
                          <w:pPr>
                            <w:pBdr/>
                            <w:spacing/>
                            <w:ind w:firstLine="0"/>
                            <w:rPr>
                              <w:rFonts w:ascii="Segoe UI Black" w:hAnsi="Segoe UI Black"/>
                              <w:b/>
                              <w:i/>
                              <w:color w:val="ffc000"/>
                              <w:sz w:val="56"/>
                              <w:szCs w:val="56"/>
                            </w:rPr>
                          </w:pPr>
                          <w:r>
                            <w:rPr>
                              <w:rFonts w:ascii="Segoe UI Black" w:hAnsi="Segoe UI Black"/>
                              <w:b/>
                              <w:i/>
                              <w:color w:val="ffc000"/>
                              <w:sz w:val="56"/>
                              <w:szCs w:val="56"/>
                            </w:rPr>
                            <w:t xml:space="preserve">  </w:t>
                          </w:r>
                          <w:r>
                            <w:rPr>
                              <w:rFonts w:ascii="Segoe UI Black" w:hAnsi="Segoe UI Black"/>
                              <w:b/>
                              <w:i/>
                              <w:color w:val="ffc000"/>
                              <w:sz w:val="56"/>
                              <w:szCs w:val="56"/>
                            </w:rPr>
                            <w:t xml:space="preserve">Ghid Proverbe 1-10</w:t>
                          </w:r>
                          <w:r>
                            <w:rPr>
                              <w:rFonts w:ascii="Segoe UI Black" w:hAnsi="Segoe UI Black"/>
                              <w:b/>
                              <w:i/>
                              <w:color w:val="ffc000"/>
                              <w:sz w:val="56"/>
                              <w:szCs w:val="56"/>
                            </w:rPr>
                          </w:r>
                        </w:p>
                      </w:txbxContent>
                    </v:textbox>
                  </v:shape>
                </w:pict>
              </mc:Fallback>
            </mc:AlternateContent>
          </w:r>
          <w:r>
            <w:rPr>
              <w:lang w:val="en-US"/>
            </w:rPr>
            <mc:AlternateContent>
              <mc:Choice Requires="wpg">
                <w:drawing>
                  <wp:anchor xmlns:wp="http://schemas.openxmlformats.org/drawingml/2006/wordprocessingDrawing" xmlns:wp14="http://schemas.microsoft.com/office/word/2010/wordprocessingDrawing" distT="0" distB="0" distL="114300" distR="114300" simplePos="0" relativeHeight="251661312" behindDoc="0" locked="0" layoutInCell="1" allowOverlap="1">
                    <wp:simplePos x="0" y="0"/>
                    <wp:positionH relativeFrom="column">
                      <wp:posOffset>3136900</wp:posOffset>
                    </wp:positionH>
                    <wp:positionV relativeFrom="paragraph">
                      <wp:posOffset>4323080</wp:posOffset>
                    </wp:positionV>
                    <wp:extent cx="1828800" cy="523875"/>
                    <wp:effectExtent l="10795" t="5080" r="28575" b="26670"/>
                    <wp:wrapNone/>
                    <wp:docPr id="4" name="_x0000_s1028"/>
                    <wp:cNvGraphicFramePr/>
                    <a:graphic xmlns:a="http://schemas.openxmlformats.org/drawingml/2006/main">
                      <a:graphicData uri="http://schemas.microsoft.com/office/word/2010/wordprocessingShape">
                        <wps:wsp>
                          <wps:cNvPr id="0" name=""/>
                          <wps:cNvSpPr txBox="1"/>
                          <wps:spPr bwMode="auto">
                            <a:xfrm>
                              <a:off x="0" y="0"/>
                              <a:ext cx="1828800" cy="523875"/>
                            </a:xfrm>
                            <a:prstGeom prst="rect">
                              <a:avLst/>
                            </a:prstGeom>
                            <a:solidFill>
                              <a:srgbClr val="5B9BD5"/>
                            </a:solidFill>
                            <a:ln w="38100">
                              <a:solidFill>
                                <a:srgbClr val="F2F2F2"/>
                              </a:solidFill>
                            </a:ln>
                          </wps:spPr>
                          <wps:txbx>
                            <w:txbxContent>
                              <w:p>
                                <w:pPr>
                                  <w:pBdr/>
                                  <w:spacing/>
                                  <w:ind/>
                                  <w:rPr>
                                    <w:b/>
                                    <w:lang w:val="en-US"/>
                                  </w:rPr>
                                </w:pPr>
                                <w:r>
                                  <w:rPr>
                                    <w:b/>
                                    <w:lang w:val="en-US"/>
                                  </w:rPr>
                                  <w:t xml:space="preserve">Octavian D. Baban</w:t>
                                </w:r>
                                <w:r>
                                  <w:rPr>
                                    <w:b/>
                                    <w:lang w:val="en-US"/>
                                  </w:rPr>
                                </w:r>
                              </w:p>
                              <w:p>
                                <w:pPr>
                                  <w:pBdr/>
                                  <w:spacing/>
                                  <w:ind/>
                                  <w:rPr>
                                    <w:b/>
                                    <w:lang w:val="en-US"/>
                                  </w:rPr>
                                </w:pPr>
                                <w:r>
                                  <w:rPr>
                                    <w:b/>
                                    <w:lang w:val="en-US"/>
                                  </w:rPr>
                                  <w:t xml:space="preserve">Petre Murariu</w:t>
                                </w:r>
                                <w:r>
                                  <w:rPr>
                                    <w:b/>
                                    <w:lang w:val="en-US"/>
                                  </w:rPr>
                                </w:r>
                              </w:p>
                            </w:txbxContent>
                          </wps:txbx>
                          <wps:bodyPr wrap="square" upright="1"/>
                        </wps:wsp>
                      </a:graphicData>
                    </a:graphic>
                  </wp:anchor>
                </w:drawing>
              </mc:Choice>
              <mc:Fallback>
                <w:pict>
                  <v:shape id="shape 3" o:spid="_x0000_s3" o:spt="202" type="#_x0000_t202" style="position:absolute;z-index:251661312;o:allowoverlap:true;o:allowincell:true;mso-position-horizontal-relative:text;margin-left:247.00pt;mso-position-horizontal:absolute;mso-position-vertical-relative:text;margin-top:340.40pt;mso-position-vertical:absolute;width:144.00pt;height:41.25pt;mso-wrap-distance-left:9.00pt;mso-wrap-distance-top:0.00pt;mso-wrap-distance-right:9.00pt;mso-wrap-distance-bottom:0.00pt;visibility:visible;" fillcolor="#5B9BD5" strokecolor="#F2F2F2" strokeweight="3.00pt">
                    <v:textbox inset="0,0,0,0">
                      <w:txbxContent>
                        <w:p>
                          <w:pPr>
                            <w:pBdr/>
                            <w:spacing/>
                            <w:ind/>
                            <w:rPr>
                              <w:b/>
                              <w:lang w:val="en-US"/>
                            </w:rPr>
                          </w:pPr>
                          <w:r>
                            <w:rPr>
                              <w:b/>
                              <w:lang w:val="en-US"/>
                            </w:rPr>
                            <w:t xml:space="preserve">Octavian D. Baban</w:t>
                          </w:r>
                          <w:r>
                            <w:rPr>
                              <w:b/>
                              <w:lang w:val="en-US"/>
                            </w:rPr>
                          </w:r>
                        </w:p>
                        <w:p>
                          <w:pPr>
                            <w:pBdr/>
                            <w:spacing/>
                            <w:ind/>
                            <w:rPr>
                              <w:b/>
                              <w:lang w:val="en-US"/>
                            </w:rPr>
                          </w:pPr>
                          <w:r>
                            <w:rPr>
                              <w:b/>
                              <w:lang w:val="en-US"/>
                            </w:rPr>
                            <w:t xml:space="preserve">Petre Murariu</w:t>
                          </w:r>
                          <w:r>
                            <w:rPr>
                              <w:b/>
                              <w:lang w:val="en-US"/>
                            </w:rPr>
                          </w:r>
                        </w:p>
                      </w:txbxContent>
                    </v:textbox>
                  </v:shape>
                </w:pict>
              </mc:Fallback>
            </mc:AlternateContent>
          </w:r>
          <w:r>
            <w:br w:type="page" w:clear="all"/>
          </w:r>
          <w:r/>
        </w:p>
      </w:sdtContent>
    </w:sdt>
    <w:p>
      <w:pPr>
        <w:pStyle w:val="1213"/>
        <w:pBdr/>
        <w:spacing/>
        <w:ind w:firstLine="0"/>
        <w:rPr/>
        <w:sectPr>
          <w:headerReference w:type="default" r:id="rId9"/>
          <w:headerReference w:type="even" r:id="rId10"/>
          <w:headerReference w:type="first" r:id="rId11"/>
          <w:footnotePr/>
          <w:endnotePr/>
          <w:type w:val="nextPage"/>
          <w:pgSz w:h="10772" w:orient="portrait" w:w="9071"/>
          <w:pgMar w:top="737" w:right="850" w:bottom="567" w:left="850" w:header="680" w:footer="0" w:gutter="0"/>
          <w:cols w:num="1" w:sep="0" w:space="720" w:equalWidth="1"/>
          <w:titlePg/>
        </w:sectPr>
      </w:pPr>
      <w:r>
        <w:br w:type="page" w:clear="all"/>
      </w:r>
      <w:r/>
    </w:p>
    <w:p>
      <w:pPr>
        <w:pStyle w:val="1213"/>
        <w:pBdr/>
        <w:spacing/>
        <w:ind w:firstLine="0"/>
        <w:rPr/>
      </w:pPr>
      <w:r/>
      <w:r/>
    </w:p>
    <w:p>
      <w:pPr>
        <w:pBdr/>
        <w:spacing/>
        <w:ind/>
        <w:rPr/>
        <w:sectPr>
          <w:headerReference w:type="default" r:id="rId12"/>
          <w:headerReference w:type="even" r:id="rId13"/>
          <w:headerReference w:type="first" r:id="rId14"/>
          <w:footnotePr/>
          <w:endnotePr/>
          <w:type w:val="nextPage"/>
          <w:pgSz w:h="10772" w:orient="portrait" w:w="9071"/>
          <w:pgMar w:top="737" w:right="850" w:bottom="567" w:left="850" w:header="680" w:footer="0" w:gutter="0"/>
          <w:cols w:num="1" w:sep="0" w:space="720" w:equalWidth="1"/>
        </w:sectPr>
      </w:pPr>
      <w:r/>
      <w:r/>
    </w:p>
    <w:p>
      <w:pPr>
        <w:pStyle w:val="882"/>
        <w:pBdr/>
        <w:tabs>
          <w:tab w:val="clear" w:leader="none" w:pos="0"/>
        </w:tabs>
        <w:spacing/>
        <w:ind w:firstLine="0" w:left="0"/>
        <w:rPr>
          <w:lang w:val="ro-RO"/>
        </w:rPr>
      </w:pPr>
      <w:r>
        <w:rPr>
          <w:lang w:val="ro-RO"/>
        </w:rPr>
      </w:r>
      <w:r>
        <w:rPr>
          <w:lang w:val="ro-RO"/>
        </w:rPr>
      </w:r>
    </w:p>
    <w:p>
      <w:pPr>
        <w:pStyle w:val="882"/>
        <w:pBdr/>
        <w:tabs>
          <w:tab w:val="clear" w:leader="none" w:pos="0"/>
        </w:tabs>
        <w:spacing/>
        <w:ind w:firstLine="0"/>
        <w:rPr>
          <w:lang w:val="ro-RO"/>
        </w:rPr>
      </w:pPr>
      <w:r/>
      <w:bookmarkStart w:id="0" w:name="__RefHeading___Toc4182_2779400921"/>
      <w:r/>
      <w:bookmarkStart w:id="1" w:name="_Toc171151229"/>
      <w:r/>
      <w:bookmarkEnd w:id="0"/>
      <w:r>
        <w:rPr>
          <w:lang w:val="ro-RO"/>
        </w:rPr>
        <w:t xml:space="preserve">Cartea Proverbelor</w:t>
      </w:r>
      <w:bookmarkEnd w:id="1"/>
      <w:r/>
      <w:r>
        <w:rPr>
          <w:lang w:val="ro-RO"/>
        </w:rPr>
      </w:r>
    </w:p>
    <w:p>
      <w:pPr>
        <w:pStyle w:val="882"/>
        <w:pBdr/>
        <w:tabs>
          <w:tab w:val="clear" w:leader="none" w:pos="0"/>
        </w:tabs>
        <w:spacing/>
        <w:ind w:firstLine="0"/>
        <w:jc w:val="both"/>
        <w:rPr>
          <w:lang w:val="ro-RO"/>
        </w:rPr>
      </w:pPr>
      <w:r/>
      <w:bookmarkStart w:id="2" w:name="__RefHeading___Toc4184_2779400921"/>
      <w:r/>
      <w:bookmarkEnd w:id="2"/>
      <w:r/>
      <w:r>
        <w:rPr>
          <w:lang w:val="ro-RO"/>
        </w:rPr>
      </w:r>
    </w:p>
    <w:p>
      <w:pPr>
        <w:pStyle w:val="882"/>
        <w:pBdr/>
        <w:tabs>
          <w:tab w:val="clear" w:leader="none" w:pos="0"/>
        </w:tabs>
        <w:spacing/>
        <w:ind w:firstLine="0"/>
        <w:rPr>
          <w:lang w:val="ro-RO"/>
        </w:rPr>
      </w:pPr>
      <w:r/>
      <w:bookmarkStart w:id="3" w:name="_Toc171151230"/>
      <w:r>
        <w:rPr>
          <w:lang w:val="ro-RO"/>
        </w:rPr>
        <w:t xml:space="preserve">Ghid de studiu biblic: Proverbe</w:t>
      </w:r>
      <w:r>
        <w:rPr>
          <w:lang w:val="ro-RO"/>
        </w:rPr>
        <w:t xml:space="preserve"> 1-10</w:t>
      </w:r>
      <w:bookmarkEnd w:id="3"/>
      <w:r/>
      <w:r>
        <w:rPr>
          <w:lang w:val="ro-RO"/>
        </w:rPr>
      </w:r>
    </w:p>
    <w:p>
      <w:pPr>
        <w:pStyle w:val="1213"/>
        <w:pBdr/>
        <w:spacing/>
        <w:ind w:firstLine="0" w:left="432"/>
        <w:rPr/>
      </w:pPr>
      <w:r/>
      <w:bookmarkStart w:id="4" w:name="__RefHeading___Toc2524_3450843773"/>
      <w:r/>
      <w:bookmarkEnd w:id="4"/>
      <w:r/>
      <w:r/>
    </w:p>
    <w:p>
      <w:pPr>
        <w:pStyle w:val="1213"/>
        <w:pBdr/>
        <w:spacing/>
        <w:ind/>
        <w:rPr/>
      </w:pPr>
      <w:r/>
      <w:r/>
    </w:p>
    <w:p>
      <w:pPr>
        <w:pStyle w:val="1213"/>
        <w:pBdr/>
        <w:spacing/>
        <w:ind/>
        <w:rPr/>
      </w:pPr>
      <w:r/>
      <w:r/>
    </w:p>
    <w:p>
      <w:pPr>
        <w:pStyle w:val="1213"/>
        <w:pBdr/>
        <w:spacing/>
        <w:ind/>
        <w:rPr/>
      </w:pPr>
      <w:r/>
      <w:r/>
    </w:p>
    <w:p>
      <w:pPr>
        <w:pStyle w:val="1213"/>
        <w:pBdr/>
        <w:spacing/>
        <w:ind/>
        <w:jc w:val="center"/>
        <w:rPr>
          <w:b/>
          <w:bCs/>
          <w:sz w:val="32"/>
          <w:szCs w:val="32"/>
        </w:rPr>
      </w:pPr>
      <w:r/>
      <w:bookmarkStart w:id="5" w:name="__RefHeading___Toc2526_3450843773"/>
      <w:r/>
      <w:bookmarkEnd w:id="5"/>
      <w:r>
        <w:rPr>
          <w:b/>
          <w:bCs/>
          <w:sz w:val="32"/>
          <w:szCs w:val="32"/>
        </w:rPr>
        <w:t xml:space="preserve">Biserica Baptistă Sfânta Treime București</w:t>
      </w:r>
      <w:r>
        <w:rPr>
          <w:b/>
          <w:bCs/>
          <w:sz w:val="32"/>
          <w:szCs w:val="32"/>
        </w:rPr>
      </w:r>
    </w:p>
    <w:p>
      <w:pPr>
        <w:pStyle w:val="1213"/>
        <w:pBdr/>
        <w:spacing/>
        <w:ind/>
        <w:jc w:val="center"/>
        <w:rPr/>
      </w:pPr>
      <w:r>
        <w:rPr>
          <w:b/>
          <w:bCs/>
          <w:sz w:val="32"/>
          <w:szCs w:val="32"/>
        </w:rPr>
        <w:t xml:space="preserve">Iulie – Septembrie 2024</w:t>
      </w:r>
      <w:r/>
    </w:p>
    <w:p>
      <w:pPr>
        <w:pStyle w:val="1213"/>
        <w:pBdr/>
        <w:spacing/>
        <w:ind w:firstLine="0" w:left="432"/>
        <w:rPr/>
      </w:pPr>
      <w:r/>
      <w:r/>
    </w:p>
    <w:p>
      <w:pPr>
        <w:pStyle w:val="1213"/>
        <w:pBdr/>
        <w:spacing/>
        <w:ind/>
        <w:rPr/>
      </w:pPr>
      <w:r/>
      <w:r/>
    </w:p>
    <w:p>
      <w:pPr>
        <w:pStyle w:val="1213"/>
        <w:pBdr/>
        <w:spacing/>
        <w:ind/>
        <w:rPr/>
      </w:pPr>
      <w:r/>
      <w:r/>
    </w:p>
    <w:p>
      <w:pPr>
        <w:pStyle w:val="1213"/>
        <w:pBdr/>
        <w:spacing/>
        <w:ind/>
        <w:rPr/>
      </w:pPr>
      <w:r/>
      <w:r/>
    </w:p>
    <w:p>
      <w:pPr>
        <w:pStyle w:val="1222"/>
        <w:pBdr/>
        <w:spacing/>
        <w:ind w:firstLine="0"/>
        <w:rPr>
          <w:b/>
          <w:bCs/>
          <w:sz w:val="20"/>
          <w:szCs w:val="20"/>
        </w:rPr>
      </w:pPr>
      <w:r>
        <w:rPr>
          <w:b/>
          <w:bCs/>
          <w:sz w:val="20"/>
          <w:szCs w:val="20"/>
        </w:rPr>
      </w:r>
      <w:r>
        <w:rPr>
          <w:b/>
          <w:bCs/>
          <w:sz w:val="20"/>
          <w:szCs w:val="20"/>
        </w:rPr>
      </w:r>
    </w:p>
    <w:p>
      <w:pPr>
        <w:pStyle w:val="1222"/>
        <w:pBdr/>
        <w:spacing w:line="240" w:lineRule="auto"/>
        <w:ind/>
        <w:jc w:val="right"/>
        <w:rPr>
          <w:b/>
          <w:bCs/>
          <w:sz w:val="20"/>
          <w:szCs w:val="20"/>
        </w:rPr>
      </w:pPr>
      <w:r>
        <w:rPr>
          <w:b/>
          <w:bCs/>
          <w:sz w:val="20"/>
          <w:szCs w:val="20"/>
        </w:rPr>
        <w:t xml:space="preserve">Octavian Baban</w:t>
      </w:r>
      <w:r>
        <w:rPr>
          <w:b/>
          <w:bCs/>
          <w:sz w:val="20"/>
          <w:szCs w:val="20"/>
        </w:rPr>
      </w:r>
    </w:p>
    <w:p>
      <w:pPr>
        <w:pStyle w:val="1222"/>
        <w:pBdr/>
        <w:spacing w:line="240" w:lineRule="auto"/>
        <w:ind/>
        <w:jc w:val="right"/>
        <w:rPr>
          <w:b/>
          <w:bCs/>
          <w:sz w:val="20"/>
          <w:szCs w:val="20"/>
        </w:rPr>
      </w:pPr>
      <w:r>
        <w:rPr>
          <w:b/>
          <w:bCs/>
          <w:sz w:val="20"/>
          <w:szCs w:val="20"/>
        </w:rPr>
        <w:t xml:space="preserve">Petrică Mu</w:t>
      </w:r>
      <w:r>
        <w:rPr>
          <w:b/>
          <w:bCs/>
          <w:sz w:val="20"/>
          <w:szCs w:val="20"/>
        </w:rPr>
        <w:t xml:space="preserve">rariu</w:t>
      </w:r>
      <w:r>
        <w:rPr>
          <w:b/>
          <w:bCs/>
          <w:sz w:val="20"/>
          <w:szCs w:val="20"/>
        </w:rPr>
      </w:r>
    </w:p>
    <w:p>
      <w:pPr>
        <w:pBdr/>
        <w:spacing/>
        <w:ind/>
        <w:rPr/>
        <w:sectPr>
          <w:footnotePr/>
          <w:endnotePr/>
          <w:type w:val="continuous"/>
          <w:pgSz w:h="10772" w:orient="portrait" w:w="9071"/>
          <w:pgMar w:top="737" w:right="850" w:bottom="567" w:left="850" w:header="680" w:footer="0" w:gutter="0"/>
          <w:cols w:num="1" w:sep="0" w:space="720" w:equalWidth="1"/>
        </w:sectPr>
      </w:pPr>
      <w:r/>
      <w:r/>
    </w:p>
    <w:p>
      <w:pPr>
        <w:pStyle w:val="1222"/>
        <w:pBdr/>
        <w:spacing/>
        <w:ind w:firstLine="0"/>
        <w:rPr>
          <w:b/>
          <w:bCs/>
          <w:sz w:val="20"/>
          <w:szCs w:val="20"/>
        </w:rPr>
      </w:pPr>
      <w:r>
        <w:rPr>
          <w:b/>
          <w:bCs/>
          <w:sz w:val="20"/>
          <w:szCs w:val="20"/>
        </w:rPr>
      </w:r>
      <w:r>
        <w:rPr>
          <w:b/>
          <w:bCs/>
          <w:sz w:val="20"/>
          <w:szCs w:val="20"/>
        </w:rPr>
      </w:r>
    </w:p>
    <w:p>
      <w:pPr>
        <w:pStyle w:val="1222"/>
        <w:pBdr/>
        <w:spacing/>
        <w:ind w:firstLine="0"/>
        <w:rPr>
          <w:b/>
          <w:bCs/>
          <w:sz w:val="20"/>
          <w:szCs w:val="20"/>
        </w:rPr>
      </w:pPr>
      <w:r>
        <w:rPr>
          <w:b/>
          <w:bCs/>
          <w:sz w:val="20"/>
          <w:szCs w:val="20"/>
        </w:rPr>
      </w:r>
      <w:r>
        <w:rPr>
          <w:b/>
          <w:bCs/>
          <w:sz w:val="20"/>
          <w:szCs w:val="20"/>
        </w:rPr>
      </w:r>
    </w:p>
    <w:p>
      <w:pPr>
        <w:pStyle w:val="1222"/>
        <w:pBdr/>
        <w:spacing/>
        <w:ind w:firstLine="0"/>
        <w:rPr>
          <w:b/>
          <w:bCs/>
          <w:sz w:val="20"/>
          <w:szCs w:val="20"/>
        </w:rPr>
      </w:pPr>
      <w:r>
        <w:rPr>
          <w:b/>
          <w:bCs/>
          <w:sz w:val="20"/>
          <w:szCs w:val="20"/>
        </w:rPr>
      </w:r>
      <w:r>
        <w:rPr>
          <w:b/>
          <w:bCs/>
          <w:sz w:val="20"/>
          <w:szCs w:val="20"/>
        </w:rPr>
      </w:r>
    </w:p>
    <w:p>
      <w:pPr>
        <w:pStyle w:val="1222"/>
        <w:pBdr/>
        <w:spacing/>
        <w:ind w:firstLine="0"/>
        <w:rPr>
          <w:b/>
          <w:bCs/>
          <w:sz w:val="20"/>
          <w:szCs w:val="20"/>
        </w:rPr>
      </w:pPr>
      <w:r>
        <w:rPr>
          <w:b/>
          <w:bCs/>
          <w:sz w:val="20"/>
          <w:szCs w:val="20"/>
        </w:rPr>
      </w:r>
      <w:r>
        <w:rPr>
          <w:b/>
          <w:bCs/>
          <w:sz w:val="20"/>
          <w:szCs w:val="20"/>
        </w:rPr>
      </w:r>
    </w:p>
    <w:p>
      <w:pPr>
        <w:pStyle w:val="1222"/>
        <w:pBdr/>
        <w:spacing/>
        <w:ind w:firstLine="0"/>
        <w:rPr>
          <w:b/>
          <w:bCs/>
          <w:sz w:val="20"/>
          <w:szCs w:val="20"/>
        </w:rPr>
      </w:pPr>
      <w:r>
        <w:rPr>
          <w:b/>
          <w:bCs/>
          <w:sz w:val="20"/>
          <w:szCs w:val="20"/>
        </w:rPr>
      </w:r>
      <w:r>
        <w:rPr>
          <w:b/>
          <w:bCs/>
          <w:sz w:val="20"/>
          <w:szCs w:val="20"/>
        </w:rPr>
      </w:r>
    </w:p>
    <w:p>
      <w:pPr>
        <w:pStyle w:val="1222"/>
        <w:pBdr/>
        <w:spacing/>
        <w:ind w:firstLine="0"/>
        <w:rPr>
          <w:b/>
          <w:bCs/>
          <w:sz w:val="20"/>
          <w:szCs w:val="20"/>
        </w:rPr>
      </w:pPr>
      <w:r>
        <w:rPr>
          <w:b/>
          <w:bCs/>
          <w:sz w:val="20"/>
          <w:szCs w:val="20"/>
        </w:rPr>
      </w:r>
      <w:r>
        <w:rPr>
          <w:b/>
          <w:bCs/>
          <w:sz w:val="20"/>
          <w:szCs w:val="20"/>
        </w:rPr>
      </w:r>
    </w:p>
    <w:p>
      <w:pPr>
        <w:pStyle w:val="1222"/>
        <w:pBdr/>
        <w:spacing/>
        <w:ind w:firstLine="0"/>
        <w:rPr>
          <w:b/>
          <w:bCs/>
          <w:sz w:val="20"/>
          <w:szCs w:val="20"/>
        </w:rPr>
      </w:pPr>
      <w:r>
        <w:rPr>
          <w:b/>
          <w:bCs/>
          <w:sz w:val="20"/>
          <w:szCs w:val="20"/>
        </w:rPr>
      </w:r>
      <w:r>
        <w:rPr>
          <w:b/>
          <w:bCs/>
          <w:sz w:val="20"/>
          <w:szCs w:val="20"/>
        </w:rPr>
      </w:r>
    </w:p>
    <w:p>
      <w:pPr>
        <w:pStyle w:val="1222"/>
        <w:pBdr/>
        <w:spacing/>
        <w:ind w:firstLine="0"/>
        <w:rPr>
          <w:b/>
          <w:bCs/>
          <w:sz w:val="20"/>
          <w:szCs w:val="20"/>
        </w:rPr>
      </w:pPr>
      <w:r>
        <w:rPr>
          <w:b/>
          <w:bCs/>
          <w:sz w:val="20"/>
          <w:szCs w:val="20"/>
        </w:rPr>
      </w:r>
      <w:r>
        <w:rPr>
          <w:b/>
          <w:bCs/>
          <w:sz w:val="20"/>
          <w:szCs w:val="20"/>
        </w:rPr>
      </w:r>
    </w:p>
    <w:p>
      <w:pPr>
        <w:pStyle w:val="1222"/>
        <w:pBdr/>
        <w:spacing/>
        <w:ind w:firstLine="0"/>
        <w:rPr>
          <w:b/>
          <w:bCs/>
          <w:sz w:val="20"/>
          <w:szCs w:val="20"/>
        </w:rPr>
      </w:pPr>
      <w:r>
        <w:rPr>
          <w:b/>
          <w:bCs/>
          <w:sz w:val="20"/>
          <w:szCs w:val="20"/>
        </w:rPr>
      </w:r>
      <w:r>
        <w:rPr>
          <w:b/>
          <w:bCs/>
          <w:sz w:val="20"/>
          <w:szCs w:val="20"/>
        </w:rPr>
      </w:r>
    </w:p>
    <w:p>
      <w:pPr>
        <w:pStyle w:val="1222"/>
        <w:pBdr/>
        <w:spacing/>
        <w:ind w:firstLine="0"/>
        <w:rPr>
          <w:b/>
          <w:bCs/>
          <w:sz w:val="20"/>
          <w:szCs w:val="20"/>
        </w:rPr>
      </w:pPr>
      <w:r>
        <w:rPr>
          <w:b/>
          <w:bCs/>
          <w:sz w:val="20"/>
          <w:szCs w:val="20"/>
        </w:rPr>
      </w:r>
      <w:r>
        <w:rPr>
          <w:b/>
          <w:bCs/>
          <w:sz w:val="20"/>
          <w:szCs w:val="20"/>
        </w:rPr>
      </w:r>
    </w:p>
    <w:p>
      <w:pPr>
        <w:pStyle w:val="1222"/>
        <w:pBdr/>
        <w:spacing/>
        <w:ind w:firstLine="0"/>
        <w:rPr>
          <w:b/>
          <w:bCs/>
          <w:sz w:val="20"/>
          <w:szCs w:val="20"/>
        </w:rPr>
      </w:pPr>
      <w:r>
        <w:rPr>
          <w:b/>
          <w:bCs/>
          <w:sz w:val="20"/>
          <w:szCs w:val="20"/>
        </w:rPr>
      </w:r>
      <w:r>
        <w:rPr>
          <w:b/>
          <w:bCs/>
          <w:sz w:val="20"/>
          <w:szCs w:val="20"/>
        </w:rPr>
      </w:r>
    </w:p>
    <w:p>
      <w:pPr>
        <w:pStyle w:val="1222"/>
        <w:pBdr/>
        <w:spacing/>
        <w:ind w:firstLine="0"/>
        <w:rPr>
          <w:b/>
          <w:bCs/>
          <w:sz w:val="20"/>
          <w:szCs w:val="20"/>
        </w:rPr>
      </w:pPr>
      <w:r>
        <w:rPr>
          <w:b/>
          <w:bCs/>
          <w:sz w:val="20"/>
          <w:szCs w:val="20"/>
        </w:rPr>
      </w:r>
      <w:r>
        <w:rPr>
          <w:b/>
          <w:bCs/>
          <w:sz w:val="20"/>
          <w:szCs w:val="20"/>
        </w:rPr>
      </w:r>
    </w:p>
    <w:p>
      <w:pPr>
        <w:pStyle w:val="1222"/>
        <w:pBdr/>
        <w:spacing/>
        <w:ind w:firstLine="0"/>
        <w:rPr>
          <w:b/>
          <w:bCs/>
          <w:sz w:val="20"/>
          <w:szCs w:val="20"/>
        </w:rPr>
      </w:pPr>
      <w:r>
        <w:rPr>
          <w:b/>
          <w:bCs/>
          <w:sz w:val="20"/>
          <w:szCs w:val="20"/>
        </w:rPr>
      </w:r>
      <w:r>
        <w:rPr>
          <w:b/>
          <w:bCs/>
          <w:sz w:val="20"/>
          <w:szCs w:val="20"/>
        </w:rPr>
      </w:r>
    </w:p>
    <w:p>
      <w:pPr>
        <w:pStyle w:val="1222"/>
        <w:pBdr/>
        <w:spacing/>
        <w:ind w:firstLine="0"/>
        <w:rPr>
          <w:b/>
          <w:bCs/>
          <w:sz w:val="20"/>
          <w:szCs w:val="20"/>
        </w:rPr>
      </w:pPr>
      <w:r>
        <w:rPr>
          <w:b/>
          <w:bCs/>
          <w:sz w:val="20"/>
          <w:szCs w:val="20"/>
        </w:rPr>
      </w:r>
      <w:r>
        <w:rPr>
          <w:b/>
          <w:bCs/>
          <w:sz w:val="20"/>
          <w:szCs w:val="20"/>
        </w:rPr>
      </w:r>
    </w:p>
    <w:p>
      <w:pPr>
        <w:pStyle w:val="1222"/>
        <w:pBdr/>
        <w:spacing/>
        <w:ind w:firstLine="0"/>
        <w:rPr>
          <w:b/>
          <w:bCs/>
          <w:sz w:val="20"/>
          <w:szCs w:val="20"/>
        </w:rPr>
      </w:pPr>
      <w:r>
        <w:rPr>
          <w:b/>
          <w:bCs/>
          <w:sz w:val="20"/>
          <w:szCs w:val="20"/>
        </w:rPr>
      </w:r>
      <w:r>
        <w:rPr>
          <w:b/>
          <w:bCs/>
          <w:sz w:val="20"/>
          <w:szCs w:val="20"/>
        </w:rPr>
      </w:r>
    </w:p>
    <w:p>
      <w:pPr>
        <w:pStyle w:val="1222"/>
        <w:pBdr/>
        <w:spacing/>
        <w:ind w:firstLine="0"/>
        <w:rPr>
          <w:b/>
          <w:bCs/>
          <w:sz w:val="20"/>
          <w:szCs w:val="20"/>
        </w:rPr>
      </w:pPr>
      <w:r>
        <w:rPr>
          <w:b/>
          <w:bCs/>
          <w:sz w:val="20"/>
          <w:szCs w:val="20"/>
        </w:rPr>
      </w:r>
      <w:r>
        <w:rPr>
          <w:b/>
          <w:bCs/>
          <w:sz w:val="20"/>
          <w:szCs w:val="20"/>
        </w:rPr>
      </w:r>
    </w:p>
    <w:p>
      <w:pPr>
        <w:pStyle w:val="1222"/>
        <w:pBdr/>
        <w:spacing/>
        <w:ind w:firstLine="0"/>
        <w:rPr>
          <w:b/>
          <w:bCs/>
          <w:sz w:val="20"/>
          <w:szCs w:val="20"/>
        </w:rPr>
      </w:pPr>
      <w:r>
        <w:rPr>
          <w:b/>
          <w:bCs/>
          <w:sz w:val="20"/>
          <w:szCs w:val="20"/>
        </w:rPr>
      </w:r>
      <w:r>
        <w:rPr>
          <w:b/>
          <w:bCs/>
          <w:sz w:val="20"/>
          <w:szCs w:val="20"/>
        </w:rPr>
      </w:r>
    </w:p>
    <w:p>
      <w:pPr>
        <w:pStyle w:val="1222"/>
        <w:pBdr/>
        <w:spacing/>
        <w:ind w:firstLine="0"/>
        <w:rPr>
          <w:b/>
          <w:bCs/>
          <w:sz w:val="20"/>
          <w:szCs w:val="20"/>
        </w:rPr>
      </w:pPr>
      <w:r>
        <w:rPr>
          <w:b/>
          <w:bCs/>
          <w:sz w:val="20"/>
          <w:szCs w:val="20"/>
        </w:rPr>
      </w:r>
      <w:r>
        <w:rPr>
          <w:b/>
          <w:bCs/>
          <w:sz w:val="20"/>
          <w:szCs w:val="20"/>
        </w:rPr>
      </w:r>
    </w:p>
    <w:p>
      <w:pPr>
        <w:pStyle w:val="1222"/>
        <w:pBdr/>
        <w:spacing/>
        <w:ind w:firstLine="0"/>
        <w:rPr>
          <w:b/>
          <w:bCs/>
          <w:sz w:val="20"/>
          <w:szCs w:val="20"/>
        </w:rPr>
      </w:pPr>
      <w:r>
        <w:rPr>
          <w:b/>
          <w:bCs/>
          <w:sz w:val="20"/>
          <w:szCs w:val="20"/>
        </w:rPr>
      </w:r>
      <w:r>
        <w:rPr>
          <w:b/>
          <w:bCs/>
          <w:sz w:val="20"/>
          <w:szCs w:val="20"/>
        </w:rPr>
      </w:r>
    </w:p>
    <w:p>
      <w:pPr>
        <w:pStyle w:val="1222"/>
        <w:pBdr/>
        <w:spacing/>
        <w:ind w:firstLine="0"/>
        <w:rPr>
          <w:b/>
          <w:bCs/>
          <w:sz w:val="20"/>
          <w:szCs w:val="20"/>
        </w:rPr>
      </w:pPr>
      <w:r>
        <w:rPr>
          <w:b/>
          <w:bCs/>
          <w:sz w:val="20"/>
          <w:szCs w:val="20"/>
        </w:rPr>
      </w:r>
      <w:r>
        <w:rPr>
          <w:b/>
          <w:bCs/>
          <w:sz w:val="20"/>
          <w:szCs w:val="20"/>
        </w:rPr>
      </w:r>
    </w:p>
    <w:p>
      <w:pPr>
        <w:pStyle w:val="1222"/>
        <w:pBdr/>
        <w:spacing/>
        <w:ind w:firstLine="0"/>
        <w:rPr>
          <w:b/>
          <w:bCs/>
          <w:sz w:val="20"/>
          <w:szCs w:val="20"/>
        </w:rPr>
      </w:pPr>
      <w:r>
        <w:rPr>
          <w:b/>
          <w:bCs/>
          <w:sz w:val="20"/>
          <w:szCs w:val="20"/>
        </w:rPr>
      </w:r>
      <w:r>
        <w:rPr>
          <w:b/>
          <w:bCs/>
          <w:sz w:val="20"/>
          <w:szCs w:val="20"/>
        </w:rPr>
      </w:r>
    </w:p>
    <w:p>
      <w:pPr>
        <w:pStyle w:val="1222"/>
        <w:pBdr/>
        <w:spacing/>
        <w:ind w:firstLine="0"/>
        <w:rPr>
          <w:b/>
          <w:bCs/>
          <w:sz w:val="20"/>
          <w:szCs w:val="20"/>
        </w:rPr>
      </w:pPr>
      <w:r>
        <w:rPr>
          <w:b/>
          <w:bCs/>
          <w:sz w:val="20"/>
          <w:szCs w:val="20"/>
        </w:rPr>
      </w:r>
      <w:r>
        <w:rPr>
          <w:b/>
          <w:bCs/>
          <w:sz w:val="20"/>
          <w:szCs w:val="20"/>
        </w:rPr>
      </w:r>
    </w:p>
    <w:p>
      <w:pPr>
        <w:pStyle w:val="1222"/>
        <w:pBdr/>
        <w:spacing/>
        <w:ind w:firstLine="0"/>
        <w:rPr>
          <w:b/>
          <w:bCs/>
          <w:sz w:val="20"/>
          <w:szCs w:val="20"/>
        </w:rPr>
      </w:pPr>
      <w:r>
        <w:rPr>
          <w:b/>
          <w:bCs/>
          <w:sz w:val="20"/>
          <w:szCs w:val="20"/>
        </w:rPr>
      </w:r>
      <w:r>
        <w:rPr>
          <w:b/>
          <w:bCs/>
          <w:sz w:val="20"/>
          <w:szCs w:val="20"/>
        </w:rPr>
      </w:r>
    </w:p>
    <w:p>
      <w:pPr>
        <w:pStyle w:val="1222"/>
        <w:pBdr/>
        <w:spacing/>
        <w:ind w:firstLine="0"/>
        <w:rPr>
          <w:b/>
          <w:bCs/>
          <w:sz w:val="20"/>
          <w:szCs w:val="20"/>
        </w:rPr>
      </w:pPr>
      <w:r>
        <w:rPr>
          <w:b/>
          <w:bCs/>
          <w:sz w:val="20"/>
          <w:szCs w:val="20"/>
        </w:rPr>
      </w:r>
      <w:r>
        <w:rPr>
          <w:b/>
          <w:bCs/>
          <w:sz w:val="20"/>
          <w:szCs w:val="20"/>
        </w:rPr>
      </w:r>
    </w:p>
    <w:p>
      <w:pPr>
        <w:pStyle w:val="1222"/>
        <w:pBdr/>
        <w:spacing/>
        <w:ind w:firstLine="0"/>
        <w:rPr>
          <w:b/>
          <w:bCs/>
          <w:sz w:val="20"/>
          <w:szCs w:val="20"/>
        </w:rPr>
      </w:pPr>
      <w:r>
        <w:rPr>
          <w:b/>
          <w:bCs/>
          <w:sz w:val="20"/>
          <w:szCs w:val="20"/>
        </w:rPr>
      </w:r>
      <w:r>
        <w:rPr>
          <w:b/>
          <w:bCs/>
          <w:sz w:val="20"/>
          <w:szCs w:val="20"/>
        </w:rPr>
      </w:r>
    </w:p>
    <w:p>
      <w:pPr>
        <w:pStyle w:val="1222"/>
        <w:pBdr/>
        <w:spacing/>
        <w:ind w:firstLine="0"/>
        <w:rPr>
          <w:b/>
          <w:bCs/>
          <w:sz w:val="20"/>
          <w:szCs w:val="20"/>
        </w:rPr>
      </w:pPr>
      <w:r>
        <w:rPr>
          <w:b/>
          <w:bCs/>
          <w:sz w:val="20"/>
          <w:szCs w:val="20"/>
        </w:rPr>
      </w:r>
      <w:r>
        <w:rPr>
          <w:b/>
          <w:bCs/>
          <w:sz w:val="20"/>
          <w:szCs w:val="20"/>
        </w:rPr>
      </w:r>
    </w:p>
    <w:p>
      <w:pPr>
        <w:pStyle w:val="1222"/>
        <w:pBdr/>
        <w:spacing/>
        <w:ind w:firstLine="0"/>
        <w:rPr>
          <w:b/>
          <w:bCs/>
          <w:sz w:val="20"/>
          <w:szCs w:val="20"/>
        </w:rPr>
      </w:pPr>
      <w:r>
        <w:rPr>
          <w:b/>
          <w:bCs/>
          <w:sz w:val="20"/>
          <w:szCs w:val="20"/>
        </w:rPr>
      </w:r>
      <w:r>
        <w:rPr>
          <w:b/>
          <w:bCs/>
          <w:sz w:val="20"/>
          <w:szCs w:val="20"/>
        </w:rPr>
      </w:r>
    </w:p>
    <w:p>
      <w:pPr>
        <w:pStyle w:val="1222"/>
        <w:pBdr/>
        <w:spacing/>
        <w:ind w:firstLine="0"/>
        <w:rPr>
          <w:b/>
          <w:bCs/>
          <w:sz w:val="20"/>
          <w:szCs w:val="20"/>
        </w:rPr>
      </w:pPr>
      <w:r>
        <w:rPr>
          <w:b/>
          <w:bCs/>
          <w:sz w:val="20"/>
          <w:szCs w:val="20"/>
        </w:rPr>
      </w:r>
      <w:r>
        <w:rPr>
          <w:b/>
          <w:bCs/>
          <w:sz w:val="20"/>
          <w:szCs w:val="20"/>
        </w:rPr>
      </w:r>
    </w:p>
    <w:p>
      <w:pPr>
        <w:pStyle w:val="1222"/>
        <w:pBdr/>
        <w:spacing/>
        <w:ind w:firstLine="0"/>
        <w:rPr>
          <w:b/>
          <w:bCs/>
          <w:sz w:val="20"/>
          <w:szCs w:val="20"/>
        </w:rPr>
      </w:pPr>
      <w:r>
        <w:rPr>
          <w:b/>
          <w:bCs/>
          <w:sz w:val="20"/>
          <w:szCs w:val="20"/>
        </w:rPr>
      </w:r>
      <w:r>
        <w:rPr>
          <w:b/>
          <w:bCs/>
          <w:sz w:val="20"/>
          <w:szCs w:val="20"/>
        </w:rPr>
      </w:r>
    </w:p>
    <w:p>
      <w:pPr>
        <w:pStyle w:val="1222"/>
        <w:pBdr/>
        <w:spacing/>
        <w:ind w:firstLine="0"/>
        <w:rPr>
          <w:b/>
          <w:bCs/>
          <w:sz w:val="20"/>
          <w:szCs w:val="20"/>
        </w:rPr>
      </w:pPr>
      <w:r>
        <w:rPr>
          <w:b/>
          <w:bCs/>
          <w:sz w:val="20"/>
          <w:szCs w:val="20"/>
        </w:rPr>
      </w:r>
      <w:r>
        <w:rPr>
          <w:b/>
          <w:bCs/>
          <w:sz w:val="20"/>
          <w:szCs w:val="20"/>
        </w:rPr>
      </w:r>
    </w:p>
    <w:p>
      <w:pPr>
        <w:pStyle w:val="1222"/>
        <w:pBdr/>
        <w:spacing/>
        <w:ind w:firstLine="0"/>
        <w:rPr>
          <w:b/>
          <w:bCs/>
          <w:sz w:val="20"/>
          <w:szCs w:val="20"/>
        </w:rPr>
      </w:pPr>
      <w:r>
        <w:rPr>
          <w:b/>
          <w:bCs/>
          <w:sz w:val="20"/>
          <w:szCs w:val="20"/>
        </w:rPr>
      </w:r>
      <w:r>
        <w:rPr>
          <w:b/>
          <w:bCs/>
          <w:sz w:val="20"/>
          <w:szCs w:val="20"/>
        </w:rPr>
      </w:r>
    </w:p>
    <w:p>
      <w:pPr>
        <w:pStyle w:val="1222"/>
        <w:pBdr/>
        <w:spacing/>
        <w:ind w:firstLine="0"/>
        <w:rPr>
          <w:b/>
          <w:bCs/>
          <w:sz w:val="20"/>
          <w:szCs w:val="20"/>
        </w:rPr>
      </w:pPr>
      <w:r>
        <w:rPr>
          <w:b/>
          <w:bCs/>
          <w:sz w:val="20"/>
          <w:szCs w:val="20"/>
        </w:rPr>
      </w:r>
      <w:r>
        <w:rPr>
          <w:b/>
          <w:bCs/>
          <w:sz w:val="20"/>
          <w:szCs w:val="20"/>
        </w:rPr>
      </w:r>
    </w:p>
    <w:p>
      <w:pPr>
        <w:pStyle w:val="1222"/>
        <w:pBdr/>
        <w:spacing/>
        <w:ind w:firstLine="0"/>
        <w:rPr>
          <w:b/>
          <w:bCs/>
          <w:sz w:val="20"/>
          <w:szCs w:val="20"/>
        </w:rPr>
      </w:pPr>
      <w:r>
        <w:rPr>
          <w:b/>
          <w:bCs/>
          <w:sz w:val="20"/>
          <w:szCs w:val="20"/>
        </w:rPr>
      </w:r>
      <w:r>
        <w:rPr>
          <w:b/>
          <w:bCs/>
          <w:sz w:val="20"/>
          <w:szCs w:val="20"/>
        </w:rPr>
      </w:r>
    </w:p>
    <w:p>
      <w:pPr>
        <w:pStyle w:val="1222"/>
        <w:pBdr/>
        <w:spacing/>
        <w:ind w:firstLine="0"/>
        <w:rPr>
          <w:b/>
          <w:bCs/>
          <w:sz w:val="20"/>
          <w:szCs w:val="20"/>
        </w:rPr>
      </w:pPr>
      <w:r>
        <w:rPr>
          <w:b/>
          <w:bCs/>
          <w:sz w:val="20"/>
          <w:szCs w:val="20"/>
        </w:rPr>
      </w:r>
      <w:r>
        <w:rPr>
          <w:b/>
          <w:bCs/>
          <w:sz w:val="20"/>
          <w:szCs w:val="20"/>
        </w:rPr>
      </w:r>
    </w:p>
    <w:p>
      <w:pPr>
        <w:pStyle w:val="1222"/>
        <w:pBdr/>
        <w:spacing/>
        <w:ind w:firstLine="0"/>
        <w:rPr>
          <w:b/>
          <w:bCs/>
          <w:sz w:val="20"/>
          <w:szCs w:val="20"/>
        </w:rPr>
      </w:pPr>
      <w:r>
        <w:rPr>
          <w:b/>
          <w:bCs/>
          <w:sz w:val="20"/>
          <w:szCs w:val="20"/>
        </w:rPr>
      </w:r>
      <w:r>
        <w:rPr>
          <w:b/>
          <w:bCs/>
          <w:sz w:val="20"/>
          <w:szCs w:val="20"/>
        </w:rPr>
      </w:r>
    </w:p>
    <w:p>
      <w:pPr>
        <w:pStyle w:val="1222"/>
        <w:pBdr/>
        <w:spacing/>
        <w:ind w:firstLine="0"/>
        <w:rPr>
          <w:b/>
          <w:bCs/>
          <w:sz w:val="20"/>
          <w:szCs w:val="20"/>
        </w:rPr>
      </w:pPr>
      <w:r>
        <w:rPr>
          <w:b/>
          <w:bCs/>
          <w:sz w:val="20"/>
          <w:szCs w:val="20"/>
        </w:rPr>
      </w:r>
      <w:r>
        <w:rPr>
          <w:b/>
          <w:bCs/>
          <w:sz w:val="20"/>
          <w:szCs w:val="20"/>
        </w:rPr>
      </w:r>
    </w:p>
    <w:p>
      <w:pPr>
        <w:pStyle w:val="1222"/>
        <w:pBdr/>
        <w:spacing/>
        <w:ind w:firstLine="0"/>
        <w:rPr>
          <w:sz w:val="20"/>
          <w:szCs w:val="20"/>
        </w:rPr>
      </w:pPr>
      <w:r>
        <w:rPr>
          <w:sz w:val="20"/>
          <w:szCs w:val="20"/>
        </w:rPr>
      </w:r>
      <w:r>
        <w:rPr>
          <w:sz w:val="20"/>
          <w:szCs w:val="20"/>
        </w:rPr>
      </w:r>
    </w:p>
    <w:p>
      <w:pPr>
        <w:pStyle w:val="1286"/>
        <w:pBdr/>
        <w:tabs>
          <w:tab w:val="left" w:leader="none" w:pos="2014"/>
          <w:tab w:val="center" w:leader="none" w:pos="3685"/>
        </w:tabs>
        <w:spacing/>
        <w:ind/>
        <w:jc w:val="left"/>
        <w:rPr>
          <w:lang w:val="ro-RO"/>
        </w:rPr>
      </w:pPr>
      <w:r/>
      <w:bookmarkStart w:id="6" w:name="__RefHeading__5_944561350"/>
      <w:r/>
      <w:bookmarkEnd w:id="6"/>
      <w:r>
        <w:rPr>
          <w:lang w:val="ro-RO"/>
        </w:rPr>
        <w:tab/>
      </w:r>
      <w:r>
        <w:rPr>
          <w:lang w:val="ro-RO"/>
        </w:rPr>
        <w:tab/>
        <w:t xml:space="preserve">            </w:t>
      </w:r>
      <w:bookmarkStart w:id="7" w:name="_Toc171151231"/>
      <w:r>
        <w:rPr>
          <w:lang w:val="ro-RO"/>
        </w:rPr>
        <w:t xml:space="preserve">Con</w:t>
      </w:r>
      <w:r>
        <w:rPr>
          <w:lang w:val="ro-RO"/>
        </w:rPr>
        <w:t xml:space="preserve">t</w:t>
      </w:r>
      <w:r>
        <w:rPr>
          <w:lang w:val="ro-RO"/>
        </w:rPr>
        <w:t xml:space="preserve">inut</w:t>
      </w:r>
      <w:bookmarkEnd w:id="7"/>
      <w:r/>
      <w:r>
        <w:rPr>
          <w:lang w:val="ro-RO"/>
        </w:rPr>
      </w:r>
    </w:p>
    <w:p>
      <w:pPr>
        <w:pBdr/>
        <w:spacing/>
        <w:ind/>
        <w:rPr/>
      </w:pPr>
      <w:r/>
      <w:r/>
    </w:p>
    <w:sdt>
      <w:sdtPr>
        <w15:appearance w15:val="boundingBox"/>
        <w:id w:val="71950672"/>
        <w:docPartObj>
          <w:docPartGallery w:val="Table of Contents"/>
          <w:docPartUnique w:val="true"/>
        </w:docPartObj>
        <w:rPr>
          <w:b w:val="0"/>
          <w:bCs w:val="0"/>
          <w:i/>
          <w:iCs/>
          <w:caps w:val="0"/>
        </w:rPr>
      </w:sdtPr>
      <w:sdtContent>
        <w:p>
          <w:pPr>
            <w:pStyle w:val="1240"/>
            <w:pBdr/>
            <w:tabs>
              <w:tab w:val="right" w:leader="dot" w:pos="7361"/>
            </w:tabs>
            <w:spacing/>
            <w:ind/>
            <w:rPr>
              <w:rFonts w:asciiTheme="minorHAnsi" w:hAnsiTheme="minorHAnsi" w:eastAsiaTheme="minorEastAsia" w:cstheme="minorBidi"/>
              <w:b w:val="0"/>
              <w:bCs w:val="0"/>
              <w:caps w:val="0"/>
              <w:sz w:val="22"/>
              <w:szCs w:val="22"/>
              <w:lang w:val="en-US" w:eastAsia="en-US"/>
            </w:rPr>
          </w:pPr>
          <w:r>
            <w:fldChar w:fldCharType="begin"/>
          </w:r>
          <w:r>
            <w:rPr>
              <w:rStyle w:val="1200"/>
              <w:lang w:bidi="he-IL"/>
            </w:rPr>
            <w:instrText xml:space="preserve"> TOC \z \o "1-3" \u \h</w:instrText>
          </w:r>
          <w:r>
            <w:rPr>
              <w:rStyle w:val="1200"/>
              <w:lang w:bidi="he-IL"/>
            </w:rPr>
            <w:fldChar w:fldCharType="separate"/>
          </w:r>
          <w:hyperlink w:tooltip="#_Toc171151229" w:anchor="_Toc171151229" w:history="1">
            <w:r>
              <w:rPr>
                <w:rStyle w:val="1169"/>
                <w:lang w:bidi="he-IL"/>
              </w:rPr>
              <w:t xml:space="preserve">Cartea Proverbelor</w:t>
            </w:r>
            <w:r>
              <w:tab/>
            </w:r>
            <w:r>
              <w:fldChar w:fldCharType="begin"/>
            </w:r>
            <w:r>
              <w:instrText xml:space="preserve"> PAGEREF _Toc171151229 \h </w:instrText>
            </w:r>
            <w:r>
              <w:fldChar w:fldCharType="separate"/>
            </w:r>
            <w:r>
              <w:t xml:space="preserve">3</w:t>
            </w:r>
            <w:r>
              <w:fldChar w:fldCharType="end"/>
            </w:r>
          </w:hyperlink>
          <w:r/>
          <w:r>
            <w:rPr>
              <w:rFonts w:asciiTheme="minorHAnsi" w:hAnsiTheme="minorHAnsi" w:eastAsiaTheme="minorEastAsia" w:cstheme="minorBidi"/>
              <w:b w:val="0"/>
              <w:bCs w:val="0"/>
              <w:caps w:val="0"/>
              <w:sz w:val="22"/>
              <w:szCs w:val="22"/>
              <w:lang w:val="en-US" w:eastAsia="en-US"/>
            </w:rPr>
          </w:r>
        </w:p>
        <w:p>
          <w:pPr>
            <w:pStyle w:val="1240"/>
            <w:pBdr/>
            <w:tabs>
              <w:tab w:val="right" w:leader="dot" w:pos="7361"/>
            </w:tabs>
            <w:spacing/>
            <w:ind/>
            <w:rPr>
              <w:rFonts w:asciiTheme="minorHAnsi" w:hAnsiTheme="minorHAnsi" w:eastAsiaTheme="minorEastAsia" w:cstheme="minorBidi"/>
              <w:b w:val="0"/>
              <w:bCs w:val="0"/>
              <w:caps w:val="0"/>
              <w:sz w:val="22"/>
              <w:szCs w:val="22"/>
              <w:lang w:val="en-US" w:eastAsia="en-US"/>
            </w:rPr>
          </w:pPr>
          <w:r/>
          <w:hyperlink w:tooltip="#_Toc171151230" w:anchor="_Toc171151230" w:history="1">
            <w:r>
              <w:rPr>
                <w:rStyle w:val="1169"/>
                <w:lang w:bidi="he-IL"/>
              </w:rPr>
              <w:t xml:space="preserve">Ghid de studiu biblic: Proverbe 1-10</w:t>
            </w:r>
            <w:r>
              <w:tab/>
            </w:r>
            <w:r>
              <w:fldChar w:fldCharType="begin"/>
            </w:r>
            <w:r>
              <w:instrText xml:space="preserve"> PAGEREF _Toc171151230 \h </w:instrText>
            </w:r>
            <w:r>
              <w:fldChar w:fldCharType="separate"/>
            </w:r>
            <w:r>
              <w:t xml:space="preserve">3</w:t>
            </w:r>
            <w:r>
              <w:fldChar w:fldCharType="end"/>
            </w:r>
          </w:hyperlink>
          <w:r/>
          <w:r>
            <w:rPr>
              <w:rFonts w:asciiTheme="minorHAnsi" w:hAnsiTheme="minorHAnsi" w:eastAsiaTheme="minorEastAsia" w:cstheme="minorBidi"/>
              <w:b w:val="0"/>
              <w:bCs w:val="0"/>
              <w:caps w:val="0"/>
              <w:sz w:val="22"/>
              <w:szCs w:val="22"/>
              <w:lang w:val="en-US" w:eastAsia="en-US"/>
            </w:rPr>
          </w:r>
        </w:p>
        <w:p>
          <w:pPr>
            <w:pStyle w:val="1240"/>
            <w:pBdr/>
            <w:tabs>
              <w:tab w:val="right" w:leader="dot" w:pos="7361"/>
            </w:tabs>
            <w:spacing/>
            <w:ind/>
            <w:rPr>
              <w:rFonts w:asciiTheme="minorHAnsi" w:hAnsiTheme="minorHAnsi" w:eastAsiaTheme="minorEastAsia" w:cstheme="minorBidi"/>
              <w:b w:val="0"/>
              <w:bCs w:val="0"/>
              <w:caps w:val="0"/>
              <w:sz w:val="22"/>
              <w:szCs w:val="22"/>
              <w:lang w:val="en-US" w:eastAsia="en-US"/>
            </w:rPr>
          </w:pPr>
          <w:r/>
          <w:hyperlink w:tooltip="#_Toc171151231" w:anchor="_Toc171151231" w:history="1">
            <w:r>
              <w:rPr>
                <w:rStyle w:val="1169"/>
                <w:lang w:bidi="he-IL"/>
              </w:rPr>
              <w:t xml:space="preserve">Continut</w:t>
            </w:r>
            <w:r>
              <w:tab/>
            </w:r>
            <w:r>
              <w:fldChar w:fldCharType="begin"/>
            </w:r>
            <w:r>
              <w:instrText xml:space="preserve"> PAGEREF _Toc171151231 \h </w:instrText>
            </w:r>
            <w:r>
              <w:fldChar w:fldCharType="separate"/>
            </w:r>
            <w:r>
              <w:t xml:space="preserve">5</w:t>
            </w:r>
            <w:r>
              <w:fldChar w:fldCharType="end"/>
            </w:r>
          </w:hyperlink>
          <w:r/>
          <w:r>
            <w:rPr>
              <w:rFonts w:asciiTheme="minorHAnsi" w:hAnsiTheme="minorHAnsi" w:eastAsiaTheme="minorEastAsia" w:cstheme="minorBidi"/>
              <w:b w:val="0"/>
              <w:bCs w:val="0"/>
              <w:caps w:val="0"/>
              <w:sz w:val="22"/>
              <w:szCs w:val="22"/>
              <w:lang w:val="en-US" w:eastAsia="en-US"/>
            </w:rPr>
          </w:r>
        </w:p>
        <w:p>
          <w:pPr>
            <w:pStyle w:val="1241"/>
            <w:pBdr/>
            <w:tabs>
              <w:tab w:val="right" w:leader="dot" w:pos="7361"/>
            </w:tabs>
            <w:spacing/>
            <w:ind/>
            <w:rPr>
              <w:rFonts w:asciiTheme="minorHAnsi" w:hAnsiTheme="minorHAnsi" w:eastAsiaTheme="minorEastAsia" w:cstheme="minorBidi"/>
              <w:smallCaps w:val="0"/>
              <w:sz w:val="22"/>
              <w:szCs w:val="22"/>
              <w:lang w:val="en-US" w:eastAsia="en-US"/>
            </w:rPr>
          </w:pPr>
          <w:r/>
          <w:hyperlink w:tooltip="#_Toc171151232" w:anchor="_Toc171151232" w:history="1">
            <w:r>
              <w:rPr>
                <w:rStyle w:val="1169"/>
              </w:rPr>
              <w:t xml:space="preserve">Partea 1: Prezentarea Cărții Proverbelor</w:t>
            </w:r>
            <w:r>
              <w:tab/>
            </w:r>
            <w:r>
              <w:fldChar w:fldCharType="begin"/>
            </w:r>
            <w:r>
              <w:instrText xml:space="preserve"> PAGEREF _Toc171151232 \h </w:instrText>
            </w:r>
            <w:r>
              <w:fldChar w:fldCharType="separate"/>
            </w:r>
            <w:r>
              <w:t xml:space="preserve">7</w:t>
            </w:r>
            <w:r>
              <w:fldChar w:fldCharType="end"/>
            </w:r>
          </w:hyperlink>
          <w:r/>
          <w:r>
            <w:rPr>
              <w:rFonts w:asciiTheme="minorHAnsi" w:hAnsiTheme="minorHAnsi" w:eastAsiaTheme="minorEastAsia" w:cstheme="minorBidi"/>
              <w:smallCaps w:val="0"/>
              <w:sz w:val="22"/>
              <w:szCs w:val="22"/>
              <w:lang w:val="en-US" w:eastAsia="en-US"/>
            </w:rPr>
          </w:r>
        </w:p>
        <w:p>
          <w:pPr>
            <w:pStyle w:val="1242"/>
            <w:pBdr/>
            <w:tabs>
              <w:tab w:val="right" w:leader="dot" w:pos="7361"/>
            </w:tabs>
            <w:spacing/>
            <w:ind/>
            <w:rPr>
              <w:rFonts w:asciiTheme="minorHAnsi" w:hAnsiTheme="minorHAnsi" w:eastAsiaTheme="minorEastAsia" w:cstheme="minorBidi"/>
              <w:i w:val="0"/>
              <w:iCs w:val="0"/>
              <w:sz w:val="22"/>
              <w:szCs w:val="22"/>
              <w:lang w:val="en-US" w:eastAsia="en-US"/>
            </w:rPr>
          </w:pPr>
          <w:r/>
          <w:hyperlink w:tooltip="#_Toc171151233" w:anchor="_Toc171151233" w:history="1">
            <w:r>
              <w:rPr>
                <w:rStyle w:val="1169"/>
              </w:rPr>
              <w:t xml:space="preserve">Autori: cine a scris cărțile Proverbelor?</w:t>
            </w:r>
            <w:r>
              <w:tab/>
            </w:r>
            <w:r>
              <w:fldChar w:fldCharType="begin"/>
            </w:r>
            <w:r>
              <w:instrText xml:space="preserve"> PAGEREF _Toc171151233 \h </w:instrText>
            </w:r>
            <w:r>
              <w:fldChar w:fldCharType="separate"/>
            </w:r>
            <w:r>
              <w:t xml:space="preserve">7</w:t>
            </w:r>
            <w:r>
              <w:fldChar w:fldCharType="end"/>
            </w:r>
          </w:hyperlink>
          <w:r/>
          <w:r>
            <w:rPr>
              <w:rFonts w:asciiTheme="minorHAnsi" w:hAnsiTheme="minorHAnsi" w:eastAsiaTheme="minorEastAsia" w:cstheme="minorBidi"/>
              <w:i w:val="0"/>
              <w:iCs w:val="0"/>
              <w:sz w:val="22"/>
              <w:szCs w:val="22"/>
              <w:lang w:val="en-US" w:eastAsia="en-US"/>
            </w:rPr>
          </w:r>
        </w:p>
        <w:p>
          <w:pPr>
            <w:pStyle w:val="1242"/>
            <w:pBdr/>
            <w:tabs>
              <w:tab w:val="right" w:leader="dot" w:pos="7361"/>
            </w:tabs>
            <w:spacing/>
            <w:ind/>
            <w:rPr>
              <w:rFonts w:asciiTheme="minorHAnsi" w:hAnsiTheme="minorHAnsi" w:eastAsiaTheme="minorEastAsia" w:cstheme="minorBidi"/>
              <w:i w:val="0"/>
              <w:iCs w:val="0"/>
              <w:sz w:val="22"/>
              <w:szCs w:val="22"/>
              <w:lang w:val="en-US" w:eastAsia="en-US"/>
            </w:rPr>
          </w:pPr>
          <w:r/>
          <w:hyperlink w:tooltip="#_Toc171151234" w:anchor="_Toc171151234" w:history="1">
            <w:r>
              <w:rPr>
                <w:rStyle w:val="1169"/>
              </w:rPr>
              <w:t xml:space="preserve">Scop și metodă</w:t>
            </w:r>
            <w:r>
              <w:tab/>
            </w:r>
            <w:r>
              <w:fldChar w:fldCharType="begin"/>
            </w:r>
            <w:r>
              <w:instrText xml:space="preserve"> PAGEREF _Toc171151234 \h </w:instrText>
            </w:r>
            <w:r>
              <w:fldChar w:fldCharType="separate"/>
            </w:r>
            <w:r>
              <w:t xml:space="preserve">8</w:t>
            </w:r>
            <w:r>
              <w:fldChar w:fldCharType="end"/>
            </w:r>
          </w:hyperlink>
          <w:r/>
          <w:r>
            <w:rPr>
              <w:rFonts w:asciiTheme="minorHAnsi" w:hAnsiTheme="minorHAnsi" w:eastAsiaTheme="minorEastAsia" w:cstheme="minorBidi"/>
              <w:i w:val="0"/>
              <w:iCs w:val="0"/>
              <w:sz w:val="22"/>
              <w:szCs w:val="22"/>
              <w:lang w:val="en-US" w:eastAsia="en-US"/>
            </w:rPr>
          </w:r>
        </w:p>
        <w:p>
          <w:pPr>
            <w:pStyle w:val="1242"/>
            <w:pBdr/>
            <w:tabs>
              <w:tab w:val="right" w:leader="dot" w:pos="7361"/>
            </w:tabs>
            <w:spacing/>
            <w:ind/>
            <w:rPr>
              <w:rFonts w:asciiTheme="minorHAnsi" w:hAnsiTheme="minorHAnsi" w:eastAsiaTheme="minorEastAsia" w:cstheme="minorBidi"/>
              <w:i w:val="0"/>
              <w:iCs w:val="0"/>
              <w:sz w:val="22"/>
              <w:szCs w:val="22"/>
              <w:lang w:val="en-US" w:eastAsia="en-US"/>
            </w:rPr>
          </w:pPr>
          <w:r/>
          <w:hyperlink w:tooltip="#_Toc171151235" w:anchor="_Toc171151235" w:history="1">
            <w:r>
              <w:rPr>
                <w:rStyle w:val="1169"/>
              </w:rPr>
              <w:t xml:space="preserve">Structura și temele principale ale Proverbelor</w:t>
            </w:r>
            <w:r>
              <w:tab/>
            </w:r>
            <w:r>
              <w:fldChar w:fldCharType="begin"/>
            </w:r>
            <w:r>
              <w:instrText xml:space="preserve"> PAGEREF _Toc171151235 \h </w:instrText>
            </w:r>
            <w:r>
              <w:fldChar w:fldCharType="separate"/>
            </w:r>
            <w:r>
              <w:t xml:space="preserve">11</w:t>
            </w:r>
            <w:r>
              <w:fldChar w:fldCharType="end"/>
            </w:r>
          </w:hyperlink>
          <w:r/>
          <w:r>
            <w:rPr>
              <w:rFonts w:asciiTheme="minorHAnsi" w:hAnsiTheme="minorHAnsi" w:eastAsiaTheme="minorEastAsia" w:cstheme="minorBidi"/>
              <w:i w:val="0"/>
              <w:iCs w:val="0"/>
              <w:sz w:val="22"/>
              <w:szCs w:val="22"/>
              <w:lang w:val="en-US" w:eastAsia="en-US"/>
            </w:rPr>
          </w:r>
        </w:p>
        <w:p>
          <w:pPr>
            <w:pStyle w:val="1242"/>
            <w:pBdr/>
            <w:tabs>
              <w:tab w:val="right" w:leader="dot" w:pos="7361"/>
            </w:tabs>
            <w:spacing/>
            <w:ind/>
            <w:rPr>
              <w:rFonts w:asciiTheme="minorHAnsi" w:hAnsiTheme="minorHAnsi" w:eastAsiaTheme="minorEastAsia" w:cstheme="minorBidi"/>
              <w:i w:val="0"/>
              <w:iCs w:val="0"/>
              <w:sz w:val="22"/>
              <w:szCs w:val="22"/>
              <w:lang w:val="en-US" w:eastAsia="en-US"/>
            </w:rPr>
          </w:pPr>
          <w:r/>
          <w:hyperlink w:tooltip="#_Toc171151236" w:anchor="_Toc171151236" w:history="1">
            <w:r>
              <w:rPr>
                <w:rStyle w:val="1169"/>
              </w:rPr>
              <w:t xml:space="preserve">Planul lecțiilor din ghid</w:t>
            </w:r>
            <w:r>
              <w:tab/>
            </w:r>
            <w:r>
              <w:fldChar w:fldCharType="begin"/>
            </w:r>
            <w:r>
              <w:instrText xml:space="preserve"> PAGEREF _Toc171151236 \h </w:instrText>
            </w:r>
            <w:r>
              <w:fldChar w:fldCharType="separate"/>
            </w:r>
            <w:r>
              <w:t xml:space="preserve">16</w:t>
            </w:r>
            <w:r>
              <w:fldChar w:fldCharType="end"/>
            </w:r>
          </w:hyperlink>
          <w:r/>
          <w:r>
            <w:rPr>
              <w:rFonts w:asciiTheme="minorHAnsi" w:hAnsiTheme="minorHAnsi" w:eastAsiaTheme="minorEastAsia" w:cstheme="minorBidi"/>
              <w:i w:val="0"/>
              <w:iCs w:val="0"/>
              <w:sz w:val="22"/>
              <w:szCs w:val="22"/>
              <w:lang w:val="en-US" w:eastAsia="en-US"/>
            </w:rPr>
          </w:r>
        </w:p>
        <w:p>
          <w:pPr>
            <w:pStyle w:val="1241"/>
            <w:pBdr/>
            <w:tabs>
              <w:tab w:val="right" w:leader="dot" w:pos="7361"/>
            </w:tabs>
            <w:spacing/>
            <w:ind/>
            <w:rPr>
              <w:rStyle w:val="1169"/>
            </w:rPr>
          </w:pPr>
          <w:r/>
          <w:r>
            <w:rPr>
              <w:rStyle w:val="1169"/>
            </w:rPr>
          </w:r>
        </w:p>
        <w:p>
          <w:pPr>
            <w:pStyle w:val="1241"/>
            <w:pBdr/>
            <w:tabs>
              <w:tab w:val="right" w:leader="dot" w:pos="7361"/>
            </w:tabs>
            <w:spacing/>
            <w:ind/>
            <w:rPr>
              <w:rFonts w:asciiTheme="minorHAnsi" w:hAnsiTheme="minorHAnsi" w:eastAsiaTheme="minorEastAsia" w:cstheme="minorBidi"/>
              <w:smallCaps w:val="0"/>
              <w:sz w:val="22"/>
              <w:szCs w:val="22"/>
              <w:lang w:val="en-US" w:eastAsia="en-US"/>
            </w:rPr>
          </w:pPr>
          <w:r/>
          <w:hyperlink w:tooltip="#_Toc171151237" w:anchor="_Toc171151237" w:history="1">
            <w:r>
              <w:rPr>
                <w:rStyle w:val="1169"/>
              </w:rPr>
              <w:t xml:space="preserve">Partea 2: Studiul biblic Proverbe 1-10</w:t>
            </w:r>
            <w:r>
              <w:tab/>
            </w:r>
            <w:r>
              <w:fldChar w:fldCharType="begin"/>
            </w:r>
            <w:r>
              <w:instrText xml:space="preserve"> PAGEREF _Toc171151237 \h </w:instrText>
            </w:r>
            <w:r>
              <w:fldChar w:fldCharType="separate"/>
            </w:r>
            <w:r>
              <w:t xml:space="preserve">17</w:t>
            </w:r>
            <w:r>
              <w:fldChar w:fldCharType="end"/>
            </w:r>
          </w:hyperlink>
          <w:r/>
          <w:r>
            <w:rPr>
              <w:rFonts w:asciiTheme="minorHAnsi" w:hAnsiTheme="minorHAnsi" w:eastAsiaTheme="minorEastAsia" w:cstheme="minorBidi"/>
              <w:smallCaps w:val="0"/>
              <w:sz w:val="22"/>
              <w:szCs w:val="22"/>
              <w:lang w:val="en-US" w:eastAsia="en-US"/>
            </w:rPr>
          </w:r>
        </w:p>
        <w:p>
          <w:pPr>
            <w:pStyle w:val="1242"/>
            <w:pBdr/>
            <w:tabs>
              <w:tab w:val="right" w:leader="dot" w:pos="7361"/>
            </w:tabs>
            <w:spacing/>
            <w:ind/>
            <w:rPr>
              <w:rFonts w:asciiTheme="minorHAnsi" w:hAnsiTheme="minorHAnsi" w:eastAsiaTheme="minorEastAsia" w:cstheme="minorBidi"/>
              <w:i w:val="0"/>
              <w:iCs w:val="0"/>
              <w:sz w:val="22"/>
              <w:szCs w:val="22"/>
              <w:lang w:val="en-US" w:eastAsia="en-US"/>
            </w:rPr>
          </w:pPr>
          <w:r/>
          <w:hyperlink w:tooltip="#_Toc171151238" w:anchor="_Toc171151238" w:history="1">
            <w:r>
              <w:rPr>
                <w:rStyle w:val="1169"/>
              </w:rPr>
              <w:t xml:space="preserve">Iulie</w:t>
            </w:r>
            <w:r>
              <w:tab/>
            </w:r>
            <w:r>
              <w:fldChar w:fldCharType="begin"/>
            </w:r>
            <w:r>
              <w:instrText xml:space="preserve"> PAGEREF _Toc171151238 \h </w:instrText>
            </w:r>
            <w:r>
              <w:fldChar w:fldCharType="separate"/>
            </w:r>
            <w:r>
              <w:t xml:space="preserve">17</w:t>
            </w:r>
            <w:r>
              <w:fldChar w:fldCharType="end"/>
            </w:r>
          </w:hyperlink>
          <w:r/>
          <w:r>
            <w:rPr>
              <w:rFonts w:asciiTheme="minorHAnsi" w:hAnsiTheme="minorHAnsi" w:eastAsiaTheme="minorEastAsia" w:cstheme="minorBidi"/>
              <w:i w:val="0"/>
              <w:iCs w:val="0"/>
              <w:sz w:val="22"/>
              <w:szCs w:val="22"/>
              <w:lang w:val="en-US" w:eastAsia="en-US"/>
            </w:rPr>
          </w:r>
        </w:p>
        <w:p>
          <w:pPr>
            <w:pStyle w:val="1242"/>
            <w:pBdr/>
            <w:tabs>
              <w:tab w:val="right" w:leader="dot" w:pos="7361"/>
            </w:tabs>
            <w:spacing/>
            <w:ind/>
            <w:rPr>
              <w:rFonts w:asciiTheme="minorHAnsi" w:hAnsiTheme="minorHAnsi" w:eastAsiaTheme="minorEastAsia" w:cstheme="minorBidi"/>
              <w:i w:val="0"/>
              <w:iCs w:val="0"/>
              <w:sz w:val="22"/>
              <w:szCs w:val="22"/>
              <w:lang w:val="en-US" w:eastAsia="en-US"/>
            </w:rPr>
          </w:pPr>
          <w:r/>
          <w:hyperlink w:tooltip="#_Toc171151239" w:anchor="_Toc171151239" w:history="1">
            <w:r>
              <w:rPr>
                <w:rStyle w:val="1169"/>
              </w:rPr>
              <w:t xml:space="preserve">11 iul., Proverbe 1, Chemarea fiilor la ascultarea înțelepciunii</w:t>
            </w:r>
            <w:r>
              <w:rPr>
                <w:rStyle w:val="1169"/>
                <w:rFonts w:ascii="Times New Roman" w:hAnsi="Times New Roman" w:eastAsia="Times New Roman"/>
              </w:rPr>
              <w:t xml:space="preserve">, 1:8-9</w:t>
            </w:r>
            <w:r>
              <w:tab/>
            </w:r>
            <w:r>
              <w:fldChar w:fldCharType="begin"/>
            </w:r>
            <w:r>
              <w:instrText xml:space="preserve"> PAGEREF _Toc171151239 \h </w:instrText>
            </w:r>
            <w:r>
              <w:fldChar w:fldCharType="separate"/>
            </w:r>
            <w:r>
              <w:t xml:space="preserve">17</w:t>
            </w:r>
            <w:r>
              <w:fldChar w:fldCharType="end"/>
            </w:r>
          </w:hyperlink>
          <w:r/>
          <w:r>
            <w:rPr>
              <w:rFonts w:asciiTheme="minorHAnsi" w:hAnsiTheme="minorHAnsi" w:eastAsiaTheme="minorEastAsia" w:cstheme="minorBidi"/>
              <w:i w:val="0"/>
              <w:iCs w:val="0"/>
              <w:sz w:val="22"/>
              <w:szCs w:val="22"/>
              <w:lang w:val="en-US" w:eastAsia="en-US"/>
            </w:rPr>
          </w:r>
        </w:p>
        <w:p>
          <w:pPr>
            <w:pStyle w:val="1242"/>
            <w:pBdr/>
            <w:tabs>
              <w:tab w:val="right" w:leader="dot" w:pos="7361"/>
            </w:tabs>
            <w:spacing/>
            <w:ind/>
            <w:rPr>
              <w:rFonts w:asciiTheme="minorHAnsi" w:hAnsiTheme="minorHAnsi" w:eastAsiaTheme="minorEastAsia" w:cstheme="minorBidi"/>
              <w:i w:val="0"/>
              <w:iCs w:val="0"/>
              <w:sz w:val="22"/>
              <w:szCs w:val="22"/>
              <w:lang w:val="en-US" w:eastAsia="en-US"/>
            </w:rPr>
          </w:pPr>
          <w:r/>
          <w:hyperlink w:tooltip="#_Toc171151240" w:anchor="_Toc171151240" w:history="1">
            <w:r>
              <w:rPr>
                <w:rStyle w:val="1169"/>
              </w:rPr>
              <w:t xml:space="preserve">18 iul., Proverbe 2, Chemarea fiilor la căutarea  înțelepciunii, 2:20</w:t>
            </w:r>
            <w:r>
              <w:tab/>
            </w:r>
            <w:r>
              <w:fldChar w:fldCharType="begin"/>
            </w:r>
            <w:r>
              <w:instrText xml:space="preserve"> PAGEREF _Toc171151240 \h </w:instrText>
            </w:r>
            <w:r>
              <w:fldChar w:fldCharType="separate"/>
            </w:r>
            <w:r>
              <w:t xml:space="preserve">21</w:t>
            </w:r>
            <w:r>
              <w:fldChar w:fldCharType="end"/>
            </w:r>
          </w:hyperlink>
          <w:r/>
          <w:r>
            <w:rPr>
              <w:rFonts w:asciiTheme="minorHAnsi" w:hAnsiTheme="minorHAnsi" w:eastAsiaTheme="minorEastAsia" w:cstheme="minorBidi"/>
              <w:i w:val="0"/>
              <w:iCs w:val="0"/>
              <w:sz w:val="22"/>
              <w:szCs w:val="22"/>
              <w:lang w:val="en-US" w:eastAsia="en-US"/>
            </w:rPr>
          </w:r>
        </w:p>
        <w:p>
          <w:pPr>
            <w:pStyle w:val="1242"/>
            <w:pBdr/>
            <w:tabs>
              <w:tab w:val="right" w:leader="dot" w:pos="7361"/>
            </w:tabs>
            <w:spacing/>
            <w:ind/>
            <w:rPr>
              <w:rFonts w:asciiTheme="minorHAnsi" w:hAnsiTheme="minorHAnsi" w:eastAsiaTheme="minorEastAsia" w:cstheme="minorBidi"/>
              <w:i w:val="0"/>
              <w:iCs w:val="0"/>
              <w:sz w:val="22"/>
              <w:szCs w:val="22"/>
              <w:lang w:val="en-US" w:eastAsia="en-US"/>
            </w:rPr>
          </w:pPr>
          <w:r/>
          <w:hyperlink w:tooltip="#_Toc171151241" w:anchor="_Toc171151241" w:history="1">
            <w:r>
              <w:rPr>
                <w:rStyle w:val="1169"/>
              </w:rPr>
              <w:t xml:space="preserve">25 iul., Prover</w:t>
            </w:r>
            <w:r>
              <w:rPr>
                <w:rStyle w:val="1169"/>
                <w:rFonts w:eastAsia="Gentium" w:cs="Gentium"/>
              </w:rPr>
              <w:t xml:space="preserve">be 3, Chemarea fiilor la practicarea înţelepciunii, 3:7-8</w:t>
            </w:r>
            <w:r>
              <w:tab/>
            </w:r>
            <w:r>
              <w:fldChar w:fldCharType="begin"/>
            </w:r>
            <w:r>
              <w:instrText xml:space="preserve"> PAGEREF _Toc171151241 \h </w:instrText>
            </w:r>
            <w:r>
              <w:fldChar w:fldCharType="separate"/>
            </w:r>
            <w:r>
              <w:t xml:space="preserve">25</w:t>
            </w:r>
            <w:r>
              <w:fldChar w:fldCharType="end"/>
            </w:r>
          </w:hyperlink>
          <w:r/>
          <w:r>
            <w:rPr>
              <w:rFonts w:asciiTheme="minorHAnsi" w:hAnsiTheme="minorHAnsi" w:eastAsiaTheme="minorEastAsia" w:cstheme="minorBidi"/>
              <w:i w:val="0"/>
              <w:iCs w:val="0"/>
              <w:sz w:val="22"/>
              <w:szCs w:val="22"/>
              <w:lang w:val="en-US" w:eastAsia="en-US"/>
            </w:rPr>
          </w:r>
        </w:p>
        <w:p>
          <w:pPr>
            <w:pStyle w:val="1242"/>
            <w:pBdr/>
            <w:tabs>
              <w:tab w:val="right" w:leader="dot" w:pos="7361"/>
            </w:tabs>
            <w:spacing/>
            <w:ind/>
            <w:rPr>
              <w:rStyle w:val="1169"/>
            </w:rPr>
          </w:pPr>
          <w:r/>
          <w:r>
            <w:rPr>
              <w:rStyle w:val="1169"/>
            </w:rPr>
          </w:r>
        </w:p>
        <w:p>
          <w:pPr>
            <w:pStyle w:val="1242"/>
            <w:pBdr/>
            <w:tabs>
              <w:tab w:val="right" w:leader="dot" w:pos="7361"/>
            </w:tabs>
            <w:spacing/>
            <w:ind/>
            <w:rPr>
              <w:rFonts w:asciiTheme="minorHAnsi" w:hAnsiTheme="minorHAnsi" w:eastAsiaTheme="minorEastAsia" w:cstheme="minorBidi"/>
              <w:i w:val="0"/>
              <w:iCs w:val="0"/>
              <w:sz w:val="22"/>
              <w:szCs w:val="22"/>
              <w:lang w:val="en-US" w:eastAsia="en-US"/>
            </w:rPr>
          </w:pPr>
          <w:r/>
          <w:hyperlink w:tooltip="#_Toc171151242" w:anchor="_Toc171151242" w:history="1">
            <w:r>
              <w:rPr>
                <w:rStyle w:val="1169"/>
              </w:rPr>
              <w:t xml:space="preserve">August</w:t>
            </w:r>
            <w:r>
              <w:tab/>
            </w:r>
            <w:r>
              <w:fldChar w:fldCharType="begin"/>
            </w:r>
            <w:r>
              <w:instrText xml:space="preserve"> PAGEREF _Toc171151242 \h </w:instrText>
            </w:r>
            <w:r>
              <w:fldChar w:fldCharType="separate"/>
            </w:r>
            <w:r>
              <w:t xml:space="preserve">30</w:t>
            </w:r>
            <w:r>
              <w:fldChar w:fldCharType="end"/>
            </w:r>
          </w:hyperlink>
          <w:r/>
          <w:r>
            <w:rPr>
              <w:rFonts w:asciiTheme="minorHAnsi" w:hAnsiTheme="minorHAnsi" w:eastAsiaTheme="minorEastAsia" w:cstheme="minorBidi"/>
              <w:i w:val="0"/>
              <w:iCs w:val="0"/>
              <w:sz w:val="22"/>
              <w:szCs w:val="22"/>
              <w:lang w:val="en-US" w:eastAsia="en-US"/>
            </w:rPr>
          </w:r>
        </w:p>
        <w:p>
          <w:pPr>
            <w:pStyle w:val="1242"/>
            <w:pBdr/>
            <w:tabs>
              <w:tab w:val="right" w:leader="dot" w:pos="7361"/>
            </w:tabs>
            <w:spacing/>
            <w:ind/>
            <w:rPr>
              <w:rFonts w:asciiTheme="minorHAnsi" w:hAnsiTheme="minorHAnsi" w:eastAsiaTheme="minorEastAsia" w:cstheme="minorBidi"/>
              <w:i w:val="0"/>
              <w:iCs w:val="0"/>
              <w:sz w:val="22"/>
              <w:szCs w:val="22"/>
              <w:lang w:val="en-US" w:eastAsia="en-US"/>
            </w:rPr>
          </w:pPr>
          <w:r/>
          <w:hyperlink w:tooltip="#_Toc171151243" w:anchor="_Toc171151243" w:history="1">
            <w:r>
              <w:rPr>
                <w:rStyle w:val="1169"/>
              </w:rPr>
              <w:t xml:space="preserve">1 aug., Proverbe 4, Chemarea fiilor la viață înțeleaptă, de calitate, 4:7-8</w:t>
            </w:r>
            <w:r>
              <w:tab/>
            </w:r>
            <w:r>
              <w:fldChar w:fldCharType="begin"/>
            </w:r>
            <w:r>
              <w:instrText xml:space="preserve"> PAGEREF _Toc171151243 \h </w:instrText>
            </w:r>
            <w:r>
              <w:fldChar w:fldCharType="separate"/>
            </w:r>
            <w:r>
              <w:t xml:space="preserve">30</w:t>
            </w:r>
            <w:r>
              <w:fldChar w:fldCharType="end"/>
            </w:r>
          </w:hyperlink>
          <w:r/>
          <w:r>
            <w:rPr>
              <w:rFonts w:asciiTheme="minorHAnsi" w:hAnsiTheme="minorHAnsi" w:eastAsiaTheme="minorEastAsia" w:cstheme="minorBidi"/>
              <w:i w:val="0"/>
              <w:iCs w:val="0"/>
              <w:sz w:val="22"/>
              <w:szCs w:val="22"/>
              <w:lang w:val="en-US" w:eastAsia="en-US"/>
            </w:rPr>
          </w:r>
        </w:p>
        <w:p>
          <w:pPr>
            <w:pStyle w:val="1242"/>
            <w:pBdr/>
            <w:tabs>
              <w:tab w:val="right" w:leader="dot" w:pos="7361"/>
            </w:tabs>
            <w:spacing/>
            <w:ind/>
            <w:rPr>
              <w:rFonts w:asciiTheme="minorHAnsi" w:hAnsiTheme="minorHAnsi" w:eastAsiaTheme="minorEastAsia" w:cstheme="minorBidi"/>
              <w:i w:val="0"/>
              <w:iCs w:val="0"/>
              <w:sz w:val="22"/>
              <w:szCs w:val="22"/>
              <w:lang w:val="en-US" w:eastAsia="en-US"/>
            </w:rPr>
          </w:pPr>
          <w:r/>
          <w:hyperlink w:tooltip="#_Toc171151244" w:anchor="_Toc171151244" w:history="1">
            <w:r>
              <w:rPr>
                <w:rStyle w:val="1169"/>
              </w:rPr>
              <w:t xml:space="preserve">8 aug., Proverbe 5, Chemarea fiilor la fidelitate în căsătorie, 5:22-23</w:t>
            </w:r>
            <w:r>
              <w:tab/>
            </w:r>
            <w:r>
              <w:fldChar w:fldCharType="begin"/>
            </w:r>
            <w:r>
              <w:instrText xml:space="preserve"> PAGEREF _Toc171151244 \h </w:instrText>
            </w:r>
            <w:r>
              <w:fldChar w:fldCharType="separate"/>
            </w:r>
            <w:r>
              <w:t xml:space="preserve">34</w:t>
            </w:r>
            <w:r>
              <w:fldChar w:fldCharType="end"/>
            </w:r>
          </w:hyperlink>
          <w:r/>
          <w:r>
            <w:rPr>
              <w:rFonts w:asciiTheme="minorHAnsi" w:hAnsiTheme="minorHAnsi" w:eastAsiaTheme="minorEastAsia" w:cstheme="minorBidi"/>
              <w:i w:val="0"/>
              <w:iCs w:val="0"/>
              <w:sz w:val="22"/>
              <w:szCs w:val="22"/>
              <w:lang w:val="en-US" w:eastAsia="en-US"/>
            </w:rPr>
          </w:r>
        </w:p>
        <w:p>
          <w:pPr>
            <w:pStyle w:val="1242"/>
            <w:pBdr/>
            <w:tabs>
              <w:tab w:val="right" w:leader="dot" w:pos="7361"/>
            </w:tabs>
            <w:spacing/>
            <w:ind/>
            <w:rPr>
              <w:rFonts w:asciiTheme="minorHAnsi" w:hAnsiTheme="minorHAnsi" w:eastAsiaTheme="minorEastAsia" w:cstheme="minorBidi"/>
              <w:i w:val="0"/>
              <w:iCs w:val="0"/>
              <w:sz w:val="22"/>
              <w:szCs w:val="22"/>
              <w:lang w:val="en-US" w:eastAsia="en-US"/>
            </w:rPr>
          </w:pPr>
          <w:r/>
          <w:hyperlink w:tooltip="#_Toc171151245" w:anchor="_Toc171151245" w:history="1">
            <w:r>
              <w:rPr>
                <w:rStyle w:val="1169"/>
              </w:rPr>
              <w:t xml:space="preserve">15 aug., Proverbe 6, Înțelepciunea și etica muncii, 6:16-19</w:t>
            </w:r>
            <w:r>
              <w:tab/>
            </w:r>
            <w:r>
              <w:fldChar w:fldCharType="begin"/>
            </w:r>
            <w:r>
              <w:instrText xml:space="preserve"> PAGEREF _Toc171151245 \h </w:instrText>
            </w:r>
            <w:r>
              <w:fldChar w:fldCharType="separate"/>
            </w:r>
            <w:r>
              <w:t xml:space="preserve">39</w:t>
            </w:r>
            <w:r>
              <w:fldChar w:fldCharType="end"/>
            </w:r>
          </w:hyperlink>
          <w:r/>
          <w:r>
            <w:rPr>
              <w:rFonts w:asciiTheme="minorHAnsi" w:hAnsiTheme="minorHAnsi" w:eastAsiaTheme="minorEastAsia" w:cstheme="minorBidi"/>
              <w:i w:val="0"/>
              <w:iCs w:val="0"/>
              <w:sz w:val="22"/>
              <w:szCs w:val="22"/>
              <w:lang w:val="en-US" w:eastAsia="en-US"/>
            </w:rPr>
          </w:r>
        </w:p>
        <w:p>
          <w:pPr>
            <w:pStyle w:val="1242"/>
            <w:pBdr/>
            <w:tabs>
              <w:tab w:val="right" w:leader="dot" w:pos="7361"/>
            </w:tabs>
            <w:spacing/>
            <w:ind/>
            <w:rPr>
              <w:rFonts w:asciiTheme="minorHAnsi" w:hAnsiTheme="minorHAnsi" w:eastAsiaTheme="minorEastAsia" w:cstheme="minorBidi"/>
              <w:i w:val="0"/>
              <w:iCs w:val="0"/>
              <w:sz w:val="22"/>
              <w:szCs w:val="22"/>
              <w:lang w:val="en-US" w:eastAsia="en-US"/>
            </w:rPr>
          </w:pPr>
          <w:r/>
          <w:hyperlink w:tooltip="#_Toc171151246" w:anchor="_Toc171151246" w:history="1">
            <w:r>
              <w:rPr>
                <w:rStyle w:val="1169"/>
              </w:rPr>
              <w:t xml:space="preserve">22 aug., Proverbe 7, Înțelepciunea și ispita, 7:4-5</w:t>
            </w:r>
            <w:r>
              <w:tab/>
            </w:r>
            <w:r>
              <w:fldChar w:fldCharType="begin"/>
            </w:r>
            <w:r>
              <w:instrText xml:space="preserve"> PAGEREF _Toc171151246 \h </w:instrText>
            </w:r>
            <w:r>
              <w:fldChar w:fldCharType="separate"/>
            </w:r>
            <w:r>
              <w:t xml:space="preserve">43</w:t>
            </w:r>
            <w:r>
              <w:fldChar w:fldCharType="end"/>
            </w:r>
          </w:hyperlink>
          <w:r/>
          <w:r>
            <w:rPr>
              <w:rFonts w:asciiTheme="minorHAnsi" w:hAnsiTheme="minorHAnsi" w:eastAsiaTheme="minorEastAsia" w:cstheme="minorBidi"/>
              <w:i w:val="0"/>
              <w:iCs w:val="0"/>
              <w:sz w:val="22"/>
              <w:szCs w:val="22"/>
              <w:lang w:val="en-US" w:eastAsia="en-US"/>
            </w:rPr>
          </w:r>
        </w:p>
        <w:p>
          <w:pPr>
            <w:pStyle w:val="1242"/>
            <w:pBdr/>
            <w:tabs>
              <w:tab w:val="right" w:leader="dot" w:pos="7361"/>
            </w:tabs>
            <w:spacing/>
            <w:ind/>
            <w:rPr>
              <w:rFonts w:asciiTheme="minorHAnsi" w:hAnsiTheme="minorHAnsi" w:eastAsiaTheme="minorEastAsia" w:cstheme="minorBidi"/>
              <w:i w:val="0"/>
              <w:iCs w:val="0"/>
              <w:sz w:val="22"/>
              <w:szCs w:val="22"/>
              <w:lang w:val="en-US" w:eastAsia="en-US"/>
            </w:rPr>
          </w:pPr>
          <w:r/>
          <w:hyperlink w:tooltip="#_Toc171151247" w:anchor="_Toc171151247" w:history="1">
            <w:r>
              <w:rPr>
                <w:rStyle w:val="1169"/>
              </w:rPr>
              <w:t xml:space="preserve">29 aug., Proverbe 8, Înțelepciunea, știința și creația lui Dumnezeu, 8:12-13</w:t>
            </w:r>
            <w:r>
              <w:tab/>
            </w:r>
            <w:r>
              <w:fldChar w:fldCharType="begin"/>
            </w:r>
            <w:r>
              <w:instrText xml:space="preserve"> PAGEREF _Toc171151247 \h </w:instrText>
            </w:r>
            <w:r>
              <w:fldChar w:fldCharType="separate"/>
            </w:r>
            <w:r>
              <w:t xml:space="preserve">47</w:t>
            </w:r>
            <w:r>
              <w:fldChar w:fldCharType="end"/>
            </w:r>
          </w:hyperlink>
          <w:r/>
          <w:r>
            <w:rPr>
              <w:rFonts w:asciiTheme="minorHAnsi" w:hAnsiTheme="minorHAnsi" w:eastAsiaTheme="minorEastAsia" w:cstheme="minorBidi"/>
              <w:i w:val="0"/>
              <w:iCs w:val="0"/>
              <w:sz w:val="22"/>
              <w:szCs w:val="22"/>
              <w:lang w:val="en-US" w:eastAsia="en-US"/>
            </w:rPr>
          </w:r>
        </w:p>
        <w:p>
          <w:pPr>
            <w:pStyle w:val="1242"/>
            <w:pBdr/>
            <w:tabs>
              <w:tab w:val="right" w:leader="dot" w:pos="7361"/>
            </w:tabs>
            <w:spacing/>
            <w:ind/>
            <w:rPr>
              <w:rStyle w:val="1169"/>
            </w:rPr>
          </w:pPr>
          <w:r/>
          <w:r>
            <w:rPr>
              <w:rStyle w:val="1169"/>
            </w:rPr>
          </w:r>
        </w:p>
        <w:p>
          <w:pPr>
            <w:pStyle w:val="1242"/>
            <w:pBdr/>
            <w:tabs>
              <w:tab w:val="right" w:leader="dot" w:pos="7361"/>
            </w:tabs>
            <w:spacing/>
            <w:ind/>
            <w:rPr>
              <w:rFonts w:asciiTheme="minorHAnsi" w:hAnsiTheme="minorHAnsi" w:eastAsiaTheme="minorEastAsia" w:cstheme="minorBidi"/>
              <w:i w:val="0"/>
              <w:iCs w:val="0"/>
              <w:sz w:val="22"/>
              <w:szCs w:val="22"/>
              <w:lang w:val="en-US" w:eastAsia="en-US"/>
            </w:rPr>
          </w:pPr>
          <w:r/>
          <w:hyperlink w:tooltip="#_Toc171151248" w:anchor="_Toc171151248" w:history="1">
            <w:r>
              <w:rPr>
                <w:rStyle w:val="1169"/>
              </w:rPr>
              <w:t xml:space="preserve">Septembrie</w:t>
            </w:r>
            <w:r>
              <w:tab/>
            </w:r>
            <w:r>
              <w:fldChar w:fldCharType="begin"/>
            </w:r>
            <w:r>
              <w:instrText xml:space="preserve"> PAGEREF _Toc171151248 \h </w:instrText>
            </w:r>
            <w:r>
              <w:fldChar w:fldCharType="separate"/>
            </w:r>
            <w:r>
              <w:t xml:space="preserve">53</w:t>
            </w:r>
            <w:r>
              <w:fldChar w:fldCharType="end"/>
            </w:r>
          </w:hyperlink>
          <w:r/>
          <w:r>
            <w:rPr>
              <w:rFonts w:asciiTheme="minorHAnsi" w:hAnsiTheme="minorHAnsi" w:eastAsiaTheme="minorEastAsia" w:cstheme="minorBidi"/>
              <w:i w:val="0"/>
              <w:iCs w:val="0"/>
              <w:sz w:val="22"/>
              <w:szCs w:val="22"/>
              <w:lang w:val="en-US" w:eastAsia="en-US"/>
            </w:rPr>
          </w:r>
        </w:p>
        <w:p>
          <w:pPr>
            <w:pStyle w:val="1242"/>
            <w:pBdr/>
            <w:tabs>
              <w:tab w:val="right" w:leader="dot" w:pos="7361"/>
            </w:tabs>
            <w:spacing/>
            <w:ind/>
            <w:rPr>
              <w:rFonts w:asciiTheme="minorHAnsi" w:hAnsiTheme="minorHAnsi" w:eastAsiaTheme="minorEastAsia" w:cstheme="minorBidi"/>
              <w:i w:val="0"/>
              <w:iCs w:val="0"/>
              <w:sz w:val="22"/>
              <w:szCs w:val="22"/>
              <w:lang w:val="en-US" w:eastAsia="en-US"/>
            </w:rPr>
          </w:pPr>
          <w:r/>
          <w:hyperlink w:tooltip="#_Toc171151249" w:anchor="_Toc171151249" w:history="1">
            <w:r>
              <w:rPr>
                <w:rStyle w:val="1169"/>
              </w:rPr>
              <w:t xml:space="preserve">5 sept., Proverbe 9, Înțelepciunea și maturizarea, 9:9</w:t>
            </w:r>
            <w:r>
              <w:tab/>
            </w:r>
            <w:r>
              <w:fldChar w:fldCharType="begin"/>
            </w:r>
            <w:r>
              <w:instrText xml:space="preserve"> PAGEREF _Toc171151249 \h </w:instrText>
            </w:r>
            <w:r>
              <w:fldChar w:fldCharType="separate"/>
            </w:r>
            <w:r>
              <w:t xml:space="preserve">53</w:t>
            </w:r>
            <w:r>
              <w:fldChar w:fldCharType="end"/>
            </w:r>
          </w:hyperlink>
          <w:r/>
          <w:r>
            <w:rPr>
              <w:rFonts w:asciiTheme="minorHAnsi" w:hAnsiTheme="minorHAnsi" w:eastAsiaTheme="minorEastAsia" w:cstheme="minorBidi"/>
              <w:i w:val="0"/>
              <w:iCs w:val="0"/>
              <w:sz w:val="22"/>
              <w:szCs w:val="22"/>
              <w:lang w:val="en-US" w:eastAsia="en-US"/>
            </w:rPr>
          </w:r>
        </w:p>
        <w:p>
          <w:pPr>
            <w:pStyle w:val="1242"/>
            <w:pBdr/>
            <w:tabs>
              <w:tab w:val="right" w:leader="dot" w:pos="7361"/>
            </w:tabs>
            <w:spacing/>
            <w:ind/>
            <w:rPr>
              <w:rFonts w:asciiTheme="minorHAnsi" w:hAnsiTheme="minorHAnsi" w:eastAsiaTheme="minorEastAsia" w:cstheme="minorBidi"/>
              <w:i w:val="0"/>
              <w:iCs w:val="0"/>
              <w:sz w:val="22"/>
              <w:szCs w:val="22"/>
              <w:lang w:val="en-US" w:eastAsia="en-US"/>
            </w:rPr>
          </w:pPr>
          <w:r/>
          <w:hyperlink w:tooltip="#_Toc171151250" w:anchor="_Toc171151250" w:history="1">
            <w:r>
              <w:rPr>
                <w:rStyle w:val="1169"/>
              </w:rPr>
              <w:t xml:space="preserve">12 sept., Proverbe 10, Înțelepciunea, comunicarea și caracterul, 10:16</w:t>
            </w:r>
            <w:r>
              <w:tab/>
            </w:r>
            <w:r>
              <w:fldChar w:fldCharType="begin"/>
            </w:r>
            <w:r>
              <w:instrText xml:space="preserve"> PAGEREF _Toc171151250 \h </w:instrText>
            </w:r>
            <w:r>
              <w:fldChar w:fldCharType="separate"/>
            </w:r>
            <w:r>
              <w:t xml:space="preserve">59</w:t>
            </w:r>
            <w:r>
              <w:fldChar w:fldCharType="end"/>
            </w:r>
          </w:hyperlink>
          <w:r/>
          <w:r>
            <w:rPr>
              <w:rFonts w:asciiTheme="minorHAnsi" w:hAnsiTheme="minorHAnsi" w:eastAsiaTheme="minorEastAsia" w:cstheme="minorBidi"/>
              <w:i w:val="0"/>
              <w:iCs w:val="0"/>
              <w:sz w:val="22"/>
              <w:szCs w:val="22"/>
              <w:lang w:val="en-US" w:eastAsia="en-US"/>
            </w:rPr>
          </w:r>
        </w:p>
        <w:p>
          <w:pPr>
            <w:pStyle w:val="1242"/>
            <w:pBdr/>
            <w:tabs>
              <w:tab w:val="right" w:leader="dot" w:pos="7361"/>
            </w:tabs>
            <w:spacing/>
            <w:ind/>
            <w:rPr>
              <w:rFonts w:asciiTheme="minorHAnsi" w:hAnsiTheme="minorHAnsi" w:eastAsiaTheme="minorEastAsia" w:cstheme="minorBidi"/>
              <w:i w:val="0"/>
              <w:iCs w:val="0"/>
              <w:sz w:val="22"/>
              <w:szCs w:val="22"/>
              <w:lang w:val="en-US" w:eastAsia="en-US"/>
            </w:rPr>
          </w:pPr>
          <w:r>
            <w:rPr>
              <w:rStyle w:val="1200"/>
            </w:rPr>
            <w:fldChar w:fldCharType="end"/>
          </w:r>
          <w:r>
            <w:rPr>
              <w:rFonts w:asciiTheme="minorHAnsi" w:hAnsiTheme="minorHAnsi" w:eastAsiaTheme="minorEastAsia" w:cstheme="minorBidi"/>
              <w:i w:val="0"/>
              <w:iCs w:val="0"/>
              <w:sz w:val="22"/>
              <w:szCs w:val="22"/>
              <w:lang w:val="en-US" w:eastAsia="en-US"/>
            </w:rPr>
          </w:r>
        </w:p>
      </w:sdtContent>
    </w:sdt>
    <w:p>
      <w:pPr>
        <w:pBdr/>
        <w:spacing/>
        <w:ind/>
        <w:rPr/>
      </w:pPr>
      <w:r/>
      <w:r/>
    </w:p>
    <w:p>
      <w:pPr>
        <w:pStyle w:val="1243"/>
        <w:pBdr/>
        <w:tabs>
          <w:tab w:val="right" w:leader="dot" w:pos="7371"/>
        </w:tabs>
        <w:spacing/>
        <w:ind/>
        <w:rPr>
          <w:b/>
          <w:bCs/>
          <w:sz w:val="22"/>
          <w:szCs w:val="22"/>
        </w:rPr>
      </w:pPr>
      <w:r>
        <w:br w:type="page" w:clear="all"/>
      </w:r>
      <w:r>
        <w:rPr>
          <w:b/>
          <w:bCs/>
          <w:sz w:val="22"/>
          <w:szCs w:val="22"/>
        </w:rPr>
      </w:r>
    </w:p>
    <w:p>
      <w:pPr>
        <w:pStyle w:val="883"/>
        <w:pBdr/>
        <w:spacing/>
        <w:ind/>
        <w:rPr/>
      </w:pPr>
      <w:r/>
      <w:bookmarkStart w:id="8" w:name="_Toc171151232"/>
      <w:r>
        <w:t xml:space="preserve">Partea 1: Prezentarea Cărții Proverbelor</w:t>
      </w:r>
      <w:bookmarkEnd w:id="8"/>
      <w:r/>
      <w:r/>
    </w:p>
    <w:p>
      <w:pPr>
        <w:pBdr/>
        <w:spacing/>
        <w:ind w:firstLine="0"/>
        <w:rPr>
          <w:szCs w:val="22"/>
        </w:rPr>
      </w:pPr>
      <w:r>
        <w:rPr>
          <w:szCs w:val="22"/>
        </w:rPr>
      </w:r>
      <w:r>
        <w:rPr>
          <w:szCs w:val="22"/>
        </w:rPr>
      </w:r>
    </w:p>
    <w:p>
      <w:pPr>
        <w:pStyle w:val="884"/>
        <w:pBdr/>
        <w:spacing/>
        <w:ind w:firstLine="0"/>
        <w:rPr/>
      </w:pPr>
      <w:r/>
      <w:bookmarkStart w:id="9" w:name="_Toc171151233"/>
      <w:r>
        <w:t xml:space="preserve">Autori: cine a scris cărțile Proverbelor?</w:t>
      </w:r>
      <w:bookmarkEnd w:id="9"/>
      <w:r/>
      <w:r/>
    </w:p>
    <w:p>
      <w:pPr>
        <w:pBdr/>
        <w:spacing/>
        <w:ind w:firstLine="0"/>
        <w:rPr/>
      </w:pPr>
      <w:r>
        <w:t xml:space="preserve">Cartea Proverbelor este o realizare deosebită a regelui Solomon, descris de Bibli</w:t>
      </w:r>
      <w:r>
        <w:t xml:space="preserve">e drept „cel mai înțelept om care a trăit vreodată”. El a fost foarte interesat de colectarea învățăturilor înțelepte care au apărut în Israel, în urma trăirii în ascultare de Dumnezeu, după cerințele Legii lui Moise, și în contrast cu obiceiurile păgâne a</w:t>
      </w:r>
      <w:r>
        <w:t xml:space="preserve">le popoarelor din jur. Cum ispitele trăirii imorale sau în răzvrătire ori violență, nu erau ceva nou, nici posibilitatea trăirii pur și simplu în prostie, sau ignoranță, fără pricepere, fără înțelepciune și fără smerenie, ori prevedere, în neascultare de D</w:t>
      </w:r>
      <w:r>
        <w:t xml:space="preserve">umnezeu, și erau o realitate pentru mulți din popor, Solomon a strâns o colecție de proverbe care să slujească drept carte de înțelepciune, sau ca manual, dacă vrem, mai ales pentru tinerii care aspirau la conducere în societate sau la o carieră deosebită.</w:t>
      </w:r>
      <w:r/>
    </w:p>
    <w:p>
      <w:pPr>
        <w:pBdr/>
        <w:spacing/>
        <w:ind/>
        <w:rPr/>
      </w:pPr>
      <w:r>
        <w:t xml:space="preserve">Cu siguranță, el a adunat multe proverbe de la oamenii înțelepți și de </w:t>
      </w:r>
      <w:r>
        <w:t xml:space="preserve">la liderii dinaintea lui, fie preoți, fie regi, fie judecători. Se pare în prima parte a proverbelor lui Solomon, se găsesc multe poeme sau sfaturi în versuri venite de la părinții lui Solomon, de la regele David, precum și de la Batșeba, mama lui Solomon.</w:t>
      </w:r>
      <w:r/>
    </w:p>
    <w:p>
      <w:pPr>
        <w:pBdr/>
        <w:spacing/>
        <w:ind/>
        <w:rPr/>
      </w:pPr>
      <w:r>
        <w:t xml:space="preserve">L</w:t>
      </w:r>
      <w:r>
        <w:t xml:space="preserve">a data scrierii și a primei publicării, cartea lui Solomon cuprindea capitolele 1-9, unde găsim introducerea și câteva poeme și sfaturi de consiliere importante, apoi, porțiunea de tip divers, mosaic-de-sfaturi, din 10-24, și foarte posibil, capitolul fina</w:t>
      </w:r>
      <w:r>
        <w:t xml:space="preserve">l, Proverbe 31 (deși unii comentatori cred că ar putea proveni de la înțelepții din timpul exilului în Babilon și Persia). Totuși, Proverbe 31, pare să se refere la Solomon și mama sa, Batșeba, într-un mod foarte credibil, care corespunde cu locul pe care </w:t>
      </w:r>
      <w:r>
        <w:t xml:space="preserve">Solomon îl dă învățăturilor în familie, de la tată și mamă, așa cum face el în secțiunea Proverbe 1-9. Numele Lemuel, „cel al lui Dumnezeu”, era o alintare pentru Solomon, la tinerețe, iar el, după ce a devenit rege, a rămas fără tatăl său David, foarte cu</w:t>
      </w:r>
      <w:r>
        <w:t xml:space="preserve">rând după întronare, beneficiind în continuare de sfaturile mamei sale, mai tinere. În afară de acestea, se pare că printre autori putem enumera diverși alți înțelepți, rămași anonimi, care au contribuit cu proverbe incluse în 22:17-24:22, și în 24:23-34. </w:t>
      </w:r>
      <w:r/>
    </w:p>
    <w:p>
      <w:pPr>
        <w:pBdr/>
        <w:spacing/>
        <w:ind/>
        <w:rPr/>
      </w:pPr>
      <w:r>
        <w:t xml:space="preserve">Cartea Proverbe a fost completată în timpul regelui Ezechia, r</w:t>
      </w:r>
      <w:r>
        <w:t xml:space="preserve">ege în Iuda, între 716–687 î.H., fiul lui Ahaz, al 13 rege din dinastia lui David, care a adăugat în spiritul proverbelor adunate de Solomon, și altele, care să sublinieze și mai mult nevoia de a asculta de Legea Domnului, nu doar nevoia după înțelepciune.</w:t>
      </w:r>
      <w:r/>
    </w:p>
    <w:p>
      <w:pPr>
        <w:pBdr/>
        <w:spacing/>
        <w:ind/>
        <w:rPr/>
      </w:pPr>
      <w:r>
        <w:t xml:space="preserve">Astfel, Ezechia adaugă o nouă colecție, separată, de proverbe strânse de Solomon, în secțiunea 25:1-29:27. Apoi, tot Ezechia și revizorii săi au adăugat și proverbele lui Agur, fiul lui Iache, un le</w:t>
      </w:r>
      <w:r>
        <w:t xml:space="preserve">vit înțelept (30:1-33). Unii consideră că adăugirile au fost bine așezate în materialul lăsat de Solomon, adică până la capitolul 31, care reprezintă încheierea, alții văd și capitolul 31 tot ca pe un material adăugat, dar care putea proveni de la Solomon.</w:t>
      </w:r>
      <w:r/>
    </w:p>
    <w:p>
      <w:pPr>
        <w:pBdr/>
        <w:spacing/>
        <w:ind/>
        <w:rPr/>
      </w:pPr>
      <w:r>
        <w:t xml:space="preserve">Așadar, când citim cartea Proverbe, a lui Solomon, ne întâlnim cu proverbele celor credincioși provenite chiar din vremea judecătorilor și apoi, de la David, chiar de la Batșeba, sigur de la Solomon și înțelepții săi, la care se mai ad</w:t>
      </w:r>
      <w:r>
        <w:t xml:space="preserve">augă unele proverbe adunate de la preoții de mai târziu, și găsite și evaluate de preoții de la curtea regelui Ezechia, când a avut loc o mare reformă religioasă de întoarcere la Dumnezeu și renunțare la idolatrie, o mare trezire spirituală. Așa cum spune </w:t>
      </w:r>
      <w:r>
        <w:t xml:space="preserve">cartea 2 Împărați 18:2-6, „Ezechia avea douăzeci şi cinci de ani când a ajuns împărat şi a domnit douăzeci şi nouă de ani la Ierusalim. Mama sa se chema Abi, fata lui Zaharia. 3. El a făcut ce este plăcut înaintea Domnului, întocmai cum făcuse tatăl său Da</w:t>
      </w:r>
      <w:r>
        <w:t xml:space="preserve">vid. 4. A îndepărtat înălţimile, a sfărâmat stâlpii idoleşti, a tăiat Astarteele şi a sfărâmat în bucăţi şarpele de aramă pe care-l făcuse Moise, căci copiii lui Israel arseseră până atunci tămâie înaintea lui: îl numeau Nehuştan. 5. El şi-a pus încrederea</w:t>
      </w:r>
      <w:r>
        <w:t xml:space="preserve"> în Domnul Dumnezeul lui Israel; şi dintre toţi împăraţii lui Iuda, care au venit după el sau care au fost înainte de el, n-a fost niciunul ca el. 6. El s-a alipit de Domnul, nu s-a abătut de la El şi a păzit poruncile pe care le dăduse lui Moise, Domnul.”</w:t>
      </w:r>
      <w:r/>
    </w:p>
    <w:p>
      <w:pPr>
        <w:pStyle w:val="884"/>
        <w:pBdr/>
        <w:spacing/>
        <w:ind w:firstLine="0"/>
        <w:rPr/>
      </w:pPr>
      <w:r/>
      <w:bookmarkStart w:id="10" w:name="_Toc171151234"/>
      <w:r>
        <w:t xml:space="preserve">Scop și metodă</w:t>
      </w:r>
      <w:bookmarkEnd w:id="10"/>
      <w:r/>
      <w:r/>
    </w:p>
    <w:p>
      <w:pPr>
        <w:pStyle w:val="885"/>
        <w:pBdr/>
        <w:spacing/>
        <w:ind/>
        <w:rPr/>
      </w:pPr>
      <w:r>
        <w:t xml:space="preserve">Ce scop are cartea proverbelor</w:t>
      </w:r>
      <w:r/>
    </w:p>
    <w:p>
      <w:pPr>
        <w:pBdr/>
        <w:spacing/>
        <w:ind w:firstLine="0"/>
        <w:rPr/>
      </w:pPr>
      <w:r>
        <w:t xml:space="preserve">Cartea Proverbe are două teme majore: cautarea înțelepciunii și încrederea în Dumnezeu. Cartea pare scrisă pentru cei tineri (numiți în 4:1 „fii”) și cei care au scris sunt priviți ca păr</w:t>
      </w:r>
      <w:r>
        <w:t xml:space="preserve">inți spirituali, mentori, profesori. Această utilizare o avea și cartea Eclesiastul, sau Iov. Totuși, cartea este îndreptată spre toți credincioșii, spre toți cetățenii lui Israel și Iuda, care caută credința, înțelepciunea, echilibrul practic, eficiența ș</w:t>
      </w:r>
      <w:r>
        <w:t xml:space="preserve">i transmiterea adevăratelor valori către noile generații. Pe rând, fiecare credincios, trece prin aceste etape ale vieții: de copil în casa părinților care învață de la ei, de tânăr îndrăgostit căutând să întemeieze o familie și care are nevoie de îndrumar</w:t>
      </w:r>
      <w:r>
        <w:t xml:space="preserve">e, de tânăr adult în luptele și ispitele vieții, și în final, de părinte care își învață copiii cum să crească și să devină adulți de încredere, la rândul lor. În aceste ultime două etape ale vieții, omul este devine tot mai capabil să îi învețe pe alții. </w:t>
      </w:r>
      <w:r/>
    </w:p>
    <w:p>
      <w:pPr>
        <w:pBdr/>
        <w:spacing/>
        <w:ind/>
        <w:rPr/>
      </w:pPr>
      <w:r>
        <w:t xml:space="preserve">Între acești învățători apare cu siguranță, foarte bine subliniată, și figura mamei. Acest </w:t>
      </w:r>
      <w:r>
        <w:t xml:space="preserve">lucru ne aduce aminte de 1 Timotei 2:15, unde ni se spune că femeile au un rol deosebit în educația copiiilor: „ea va fi reabilitată prin naşterea de fii, dacă stăruie cu smerenie în credinţă, în dragoste şi în sfinţenie.”                                  </w:t>
      </w:r>
      <w:r/>
    </w:p>
    <w:p>
      <w:pPr>
        <w:pBdr/>
        <w:spacing/>
        <w:ind/>
        <w:rPr/>
      </w:pPr>
      <w:r>
        <w:t xml:space="preserve">Alături de tați, cartea Proverbelor dă un loc deosebit femeii și rolului ei de învățătoare în familie. La modul general, femeia poate fi soție binecuvântată,</w:t>
      </w:r>
      <w:r>
        <w:t xml:space="preserve"> mamă înțeleaptă, sau femeie adulteră, ori prostituată versată. Ea poate fi o femeie credincioasă, de caracter, întreprinzătoare, și înțeleaptă, sau o femeie de moravuri ușoare, neînțeleaptă, cicălitoare, a cărei frumusețe nu este dublată de înțelepciune. </w:t>
      </w:r>
      <w:r/>
    </w:p>
    <w:p>
      <w:pPr>
        <w:pBdr/>
        <w:spacing/>
        <w:ind/>
        <w:rPr/>
      </w:pPr>
      <w:r>
        <w:t xml:space="preserve">În mod suprem se observă că atât în Înțelepciunea divină, cât și Prostia umană, sunt prezentate prin chipul unei femei care întinde o masă, sau dă o mare petrecere, și fiecare îi cheamă pe oamenii la festinul ei propriu. Așadar, suntem invitați </w:t>
      </w:r>
      <w:r>
        <w:t xml:space="preserve">la o masă sărbătorească a Înțelepciunii divine (8:1-9:12), sau putem primi, din contră, invitația la o masă de petreceri destrăbălate și hoțești dată de însăși mama Prostie (9:13-18). Cartea Proverbe ne invită să decidem singuri ce dorim să facem în viață.</w:t>
      </w:r>
      <w:r/>
    </w:p>
    <w:p>
      <w:pPr>
        <w:pBdr/>
        <w:spacing/>
        <w:ind/>
        <w:rPr/>
      </w:pPr>
      <w:r>
        <w:t xml:space="preserve">Între materialele de tip etic au loc și dezbateri teologice mai profunde. Unele se referă la creație și teologia revelației (de exemplu, 3:19–20; 8:22–31; 30:2–6). </w:t>
      </w:r>
      <w:r/>
    </w:p>
    <w:p>
      <w:pPr>
        <w:pBdr/>
        <w:spacing/>
        <w:ind/>
        <w:rPr/>
      </w:pPr>
      <w:r>
        <w:t xml:space="preserve">Pentru credincioșii creștini, cartea are aceeași utilitate ca și pentru vechii evrei.</w:t>
      </w:r>
      <w:r>
        <w:t xml:space="preserve"> Este o carte de îndrumare și consiliere în familie, în dragoste, în viața socială, în cea profesională. Nu există altă carte care să ne avertizeze mai clar de primejdiile adulterului și să ne atragă spre înțelepciune și bucurie în ascultarea de Dumnezeu. </w:t>
      </w:r>
      <w:r/>
    </w:p>
    <w:p>
      <w:pPr>
        <w:pBdr/>
        <w:spacing/>
        <w:ind/>
        <w:rPr/>
      </w:pPr>
      <w:r>
        <w:t xml:space="preserve">În al doilea rând, creștinul știe că tezaurul înțelepciunii pentru no</w:t>
      </w:r>
      <w:r>
        <w:t xml:space="preserve">i este Hristos. În El sunt ascunse toate comorile științei și înțelepciunii. Așadar, ce devine înțeleptul Solomon și ceilalți înțelepții asociați cu el, pentru un cititor creștin? El devine omul prin care așa cum spune 2 Timotei 3:16, primim sfaturi bune, </w:t>
      </w:r>
      <w:r>
        <w:t xml:space="preserve">esențiale, ca să fim echipați pentru orice lucrare bună. Este cel care ne introduce și ne aplică învățătura despre ascultarea de Dumnezeu pe care o găsim în Noul Testament, exprimată clar în toate principiile ei, de Hristos, de apostoli și de evangheliști.</w:t>
      </w:r>
      <w:r/>
    </w:p>
    <w:p>
      <w:pPr>
        <w:pBdr/>
        <w:spacing/>
        <w:ind/>
        <w:rPr/>
      </w:pPr>
      <w:r>
        <w:t xml:space="preserve">În mod deo</w:t>
      </w:r>
      <w:r>
        <w:t xml:space="preserve">sebit, cartea atrage atenția asupra nevoiei de a căuta înțelepciunea și credința, călăuzirea practică în viața de zi cu zi din cuvântul lui Dumnezeu. Pentru cei lipsiți de experiență socială, cartea oferă perspective prețioase cu privire la primejdia imora</w:t>
      </w:r>
      <w:r>
        <w:t xml:space="preserve">lității, prefăcătoria oamenilor, primejdia hotărârilor pripite, fără consilieri, și fără rugăciune. Găsim o mulțime de sfaturi privind la relevanța legilor și poruncilor lui Dumnezeu, cu privire la defectele umane și la ispite, adevăruri majore despre educ</w:t>
      </w:r>
      <w:r>
        <w:t xml:space="preserve">ație, credință, autocontrol. Cine citește Proverbele cu o inimă credincioasă și gata să asculte Cuvântul inspirat al lui Dumnezeu va găsi multe beneficii, multă maturitate, uneori umor, o bună cunoaștere a naturii umane și a voiei lui Dumnezeu pentru noi. </w:t>
      </w:r>
      <w:r/>
    </w:p>
    <w:p>
      <w:pPr>
        <w:pBdr/>
        <w:spacing/>
        <w:ind/>
        <w:rPr/>
      </w:pPr>
      <w:r/>
      <w:r/>
    </w:p>
    <w:p>
      <w:pPr>
        <w:pStyle w:val="885"/>
        <w:pBdr/>
        <w:spacing/>
        <w:ind/>
        <w:rPr/>
      </w:pPr>
      <w:r>
        <w:t xml:space="preserve">Metoda Cărții Proverbelor</w:t>
      </w:r>
      <w:r/>
    </w:p>
    <w:p>
      <w:pPr>
        <w:pBdr/>
        <w:spacing/>
        <w:ind w:firstLine="0"/>
        <w:rPr/>
      </w:pPr>
      <w:r>
        <w:t xml:space="preserve">Metoda folosită de autor (sau autori) în prezentarea acestor proverbe este sfătuirea practică, repetată, diversă, care pleacă de la observarea directă a vieții, și la care se adaugă o cunoașter</w:t>
      </w:r>
      <w:r>
        <w:t xml:space="preserve">e și apreciere deosebită a legilor și principiilor Domnului. Omul nu trăiește și nu crește doar cu pâine, cum a zis Domnul Hristos, atunci când a fost ispitit de Satan, ci cu orice cuvânt care iese din gura lui Dumnezeu. Aceasta este și metoda lui Solomon.</w:t>
      </w:r>
      <w:r/>
    </w:p>
    <w:p>
      <w:pPr>
        <w:pBdr/>
        <w:spacing/>
        <w:ind/>
        <w:rPr/>
      </w:pPr>
      <w:r>
        <w:t xml:space="preserve">În plus, cartea are multe reluari de subiecte, în cheie diferită, adică cu aplicații noi, în alte domenii ale vieții. În felul acesta, se observă că înțelepciunea trebuie să rămână un subiect permament în viața creștinului.</w:t>
      </w:r>
      <w:r/>
    </w:p>
    <w:p>
      <w:pPr>
        <w:pStyle w:val="884"/>
        <w:pBdr/>
        <w:spacing/>
        <w:ind w:firstLine="0"/>
        <w:rPr/>
      </w:pPr>
      <w:r/>
      <w:bookmarkStart w:id="11" w:name="_Toc171151235"/>
      <w:r>
        <w:t xml:space="preserve">Structura și temele principale ale Proverbelor</w:t>
      </w:r>
      <w:bookmarkEnd w:id="11"/>
      <w:r>
        <w:t xml:space="preserve"> </w:t>
      </w:r>
      <w:r/>
    </w:p>
    <w:p>
      <w:pPr>
        <w:pBdr/>
        <w:spacing/>
        <w:ind w:firstLine="0"/>
        <w:rPr/>
      </w:pPr>
      <w:r>
        <w:t xml:space="preserve">Așa cum s-a menționat, cartea Proverbe are două teme majore: cautarea înțelepciunii și încrederea în Dumnezeu. Mediul de învățare scos în evidență este fa</w:t>
      </w:r>
      <w:r>
        <w:t xml:space="preserve">milia, școala de tip rabinic (pe lângă Templu) și școala de conducere de pe lângă palatul regal. Mediul general de aplicare al învățăturilor este viața socială, viața de familie, viața de credință (de închinare și de slujire, de viață sfântă, neprihănită).</w:t>
      </w:r>
      <w:r/>
    </w:p>
    <w:p>
      <w:pPr>
        <w:pBdr/>
        <w:spacing/>
        <w:ind/>
        <w:rPr/>
      </w:pPr>
      <w:r>
        <w:t xml:space="preserve">În general, cărțile de înțelepciune au o tematică foarte variată. Aici este vorba despre viață morală, despre relații de familie, desp</w:t>
      </w:r>
      <w:r>
        <w:t xml:space="preserve">re educația în familie și apoi în școală, despre conducere, despre autocontrol, despre valorile credinței și ale vieții sociale, despre defectele umane generale (lene, bârfă, cicăleală, neatenție, mândrie, prostie etc.), despre credință și răsplătirile ei.</w:t>
      </w:r>
      <w:r/>
    </w:p>
    <w:p>
      <w:pPr>
        <w:pBdr/>
        <w:spacing/>
        <w:ind/>
        <w:rPr/>
      </w:pPr>
      <w:r/>
      <w:r/>
    </w:p>
    <w:p>
      <w:pPr>
        <w:pStyle w:val="885"/>
        <w:pBdr/>
        <w:spacing/>
        <w:ind/>
        <w:rPr/>
      </w:pPr>
      <w:r>
        <w:t xml:space="preserve">Structura cărții Proverbe</w:t>
      </w:r>
      <w:r/>
    </w:p>
    <w:p>
      <w:pPr>
        <w:pBdr/>
        <w:spacing/>
        <w:ind/>
        <w:rPr/>
      </w:pPr>
      <w:r>
        <w:t xml:space="preserve">Cartea se </w:t>
      </w:r>
      <w:r>
        <w:t xml:space="preserve">poate împărți</w:t>
      </w:r>
      <w:r>
        <w:t xml:space="preserve"> astfel:</w:t>
      </w:r>
      <w:r/>
    </w:p>
    <w:p>
      <w:pPr>
        <w:pStyle w:val="886"/>
        <w:pBdr/>
        <w:spacing/>
        <w:ind/>
        <w:rPr/>
      </w:pPr>
      <w:r>
        <w:t xml:space="preserve">Introducerea. Scopul cărții Proverbe (1:1-6)</w:t>
      </w:r>
      <w:r/>
    </w:p>
    <w:p>
      <w:pPr>
        <w:pStyle w:val="886"/>
        <w:pBdr/>
        <w:spacing/>
        <w:ind/>
        <w:rPr/>
      </w:pPr>
      <w:r>
        <w:t xml:space="preserve">Cartea 1. Poeme despre educație și viața morală a celui tânăr (1:7-9:18)</w:t>
      </w:r>
      <w:r/>
    </w:p>
    <w:p>
      <w:pPr>
        <w:pBdr/>
        <w:spacing/>
        <w:ind w:firstLine="0"/>
        <w:rPr/>
      </w:pPr>
      <w:r>
        <w:t xml:space="preserve">Partea aceasta are o funcţie de introducere și conține multe sfaturi adunate </w:t>
      </w:r>
      <w:r>
        <w:t xml:space="preserve">tematic sub formă de poeme şi serii de consilieri despre viaţă sfântă, înţeleaptă şi cu credinţă în Domnul. Unele este posibil să vină de la regele David însuși, și unele chiar de la soția sa Batșeba, o femeie foarte înțeleaptă, de la care Solomon a învăţa</w:t>
      </w:r>
      <w:r>
        <w:t xml:space="preserve">t mult, aşa cum scrie în Proverbe („sfaturile mamei”, „când eram fiu gingaş la mama mea”, etc.). Nu este de mirare că aceste proverbe sunt focalizate pe sfaturi despre căutarea înțelepciunii, ale evitării adulterului, ale întemeierii pe credință și asculta</w:t>
      </w:r>
      <w:r>
        <w:t xml:space="preserve">rea de Dumnezeu. În această secțiune se subliniază foarte puternic că păcatul imoralității și al adulterului este o formă extremă nebuniei etice, a neascultării de Dumnezeu, un păcat față de Domnul, față de tine însuți și față de familie, față de ceilalți.</w:t>
      </w:r>
      <w:r/>
    </w:p>
    <w:p>
      <w:pPr>
        <w:pBdr/>
        <w:spacing/>
        <w:ind w:firstLine="0"/>
        <w:rPr/>
      </w:pPr>
      <w:r/>
      <w:r/>
    </w:p>
    <w:p>
      <w:pPr>
        <w:pStyle w:val="886"/>
        <w:pBdr/>
        <w:spacing/>
        <w:ind/>
        <w:rPr/>
      </w:pPr>
      <w:r>
        <w:t xml:space="preserve">Cartea 2. Proverbe diverse pentru situații diverse  (10:1–22:16) </w:t>
      </w:r>
      <w:r/>
    </w:p>
    <w:p>
      <w:pPr>
        <w:pBdr/>
        <w:spacing/>
        <w:ind w:firstLine="0"/>
        <w:rPr/>
      </w:pPr>
      <w:r>
        <w:t xml:space="preserve">Stilul celei de a doua părți este diferit. Nu mai găsim poeme scurte sau medii, cu scop de consiliere, ci o mulțime de proverbe individuale scurte, de sfaturi înțelepte și variate, verset cu</w:t>
      </w:r>
      <w:r>
        <w:t xml:space="preserve"> verset, care își schimbă tema frecvent. Deși dau impresia unui amestec nediferențiat, de fapt, există și aici anumite tematice care revin, anumite forme de structură și paralelism intern. Între subiectele abordate găsim nevoia de înțelepciune, de sfințeni</w:t>
      </w:r>
      <w:r>
        <w:t xml:space="preserve">e și fidelitate în relațiile sexuale, apoi de căutare a dreptății, de vorbire înțeleaptă și inspirată, de cinste la muncă și în viața socială, despre administrarea averilor și despre știința de a guverna ca rege sau lider militar, ori lider administrativ. </w:t>
      </w:r>
      <w:r/>
    </w:p>
    <w:p>
      <w:pPr>
        <w:pBdr/>
        <w:spacing/>
        <w:ind/>
        <w:rPr/>
      </w:pPr>
      <w:r>
        <w:t xml:space="preserve">Unii consideră, așa cum vom v</w:t>
      </w:r>
      <w:r>
        <w:t xml:space="preserve">edea mai târziu, că proverbele acestea pot fi împărțite simetric în două părți practic egale de o parte și de alta a miezului constituit de secțiunea 16:2-6. Această împărțire echilibrată, simetrică ar putea fi rezultatul editorilor din timpul lui Ezechia.</w:t>
      </w:r>
      <w:r/>
    </w:p>
    <w:p>
      <w:pPr>
        <w:pStyle w:val="886"/>
        <w:pBdr/>
        <w:spacing/>
        <w:ind/>
        <w:rPr/>
      </w:pPr>
      <w:r>
        <w:t xml:space="preserve">Cartea 3. Proverbe suplimentare la curtea lui Ezechia (22:17-30:33) </w:t>
      </w:r>
      <w:r/>
    </w:p>
    <w:p>
      <w:pPr>
        <w:pBdr/>
        <w:spacing/>
        <w:ind w:firstLine="0"/>
        <w:rPr/>
      </w:pPr>
      <w:r>
        <w:t xml:space="preserve">În această secțiune cu suplimente ulterioare se observă mai multe subsecțiuni, fiecare deschisă printr-o micro-introducere specifică. Primele două arată contribuțiile unor înțelepți diferiți de Solomon, rămași an</w:t>
      </w:r>
      <w:r>
        <w:t xml:space="preserve">onimi (22:17; 24:23). A treia se referă la o colecție de proverbe provenite tot de la Solomon (25:1-29:27), pe care le-au adăugat editorii biblici ai regelui Ezechia. Al patrulea supliment provine de la la Agur, fiul lui Iache, un levit înțelept (30:1-33).</w:t>
      </w:r>
      <w:r/>
    </w:p>
    <w:p>
      <w:pPr>
        <w:pStyle w:val="886"/>
        <w:pBdr/>
        <w:spacing/>
        <w:ind/>
        <w:rPr/>
      </w:pPr>
      <w:r>
        <w:t xml:space="preserve">Încheierea. Standardele familiei înțelepte, 31:1-31</w:t>
      </w:r>
      <w:r/>
    </w:p>
    <w:p>
      <w:pPr>
        <w:pBdr/>
        <w:spacing/>
        <w:ind w:firstLine="0"/>
        <w:rPr/>
      </w:pPr>
      <w:r>
        <w:t xml:space="preserve">Această secțiune, încheie seria de proverbe prin două subsecțiuni mai lungi, care ne aduc aminte de cele din prima parte a cărții (1:7-9:18). Prima parte conține poemul sfătuiri</w:t>
      </w:r>
      <w:r>
        <w:t xml:space="preserve">i mamei împăratului către fiul său, Lemuel, regele „dăruit Domnului”, un nume de alintare al lui Solomon cel tânăr (31:1-9), A doua parte este un imn complex de laudă pentru femeia matură, activă, înțeleaptă, și credincioasă (31:1-31), care se încheie cu e</w:t>
      </w:r>
      <w:r>
        <w:t xml:space="preserve">logiul partenerei credincioase din partea soțului și copiilor ei. Încheierea aceasta se potrivește cu stilul adoptat de Solomon în prezentarea colecției sale de poeme și proverbe, unde pune mult accent pe valoarea învățăturii tatălui și mamei, în familie. </w:t>
      </w:r>
      <w:r/>
    </w:p>
    <w:p>
      <w:pPr>
        <w:pBdr/>
        <w:spacing/>
        <w:ind/>
        <w:rPr/>
      </w:pPr>
      <w:r>
        <w:t xml:space="preserve">Reflectând înțelepciunea lui Solomon și pasiunea sa pentru contradicții și paradoxuri, această secțiune închei</w:t>
      </w:r>
      <w:r>
        <w:t xml:space="preserve">e cartea cu o dilemă. Cine are ultimul cuvânt în materie de înțelepciune, bărbatul sau femeia? Soțul sau soția? Mama sau fiul care o citează pe mamă, deci tot mama? Finalul este plin de înțelepciune, foarte aplicabil oricărei familii de oameni credincioși.</w:t>
      </w:r>
      <w:r/>
    </w:p>
    <w:p>
      <w:pPr>
        <w:pBdr/>
        <w:spacing/>
        <w:ind/>
        <w:rPr/>
      </w:pPr>
      <w:r>
        <w:t xml:space="preserve">Diverse cercetări asupra cărții au descoperit și alte elemente interesante de structură, deși acest</w:t>
      </w:r>
      <w:r>
        <w:t xml:space="preserve">e observații sunt încă motiv de dezbateri și discuții. S-a observat astfel, că secțiunea propriu-zisă de proverbe, 10:1-22:16, provenită de la Solomon, conține 375 de proverbe, ceea ce ar corespunde cu cifra caracteristică numelui lui Solomon, în ebraică: </w:t>
      </w:r>
      <w:r>
        <w:rPr>
          <w:b/>
        </w:rPr>
        <w:t xml:space="preserve">s</w:t>
      </w:r>
      <w:r>
        <w:t xml:space="preserve"> (300) + </w:t>
      </w:r>
      <w:r>
        <w:rPr>
          <w:b/>
        </w:rPr>
        <w:t xml:space="preserve">l</w:t>
      </w:r>
      <w:r>
        <w:t xml:space="preserve"> (30) + </w:t>
      </w:r>
      <w:r>
        <w:rPr>
          <w:b/>
        </w:rPr>
        <w:t xml:space="preserve">m</w:t>
      </w:r>
      <w:r>
        <w:t xml:space="preserve"> (40) + </w:t>
      </w:r>
      <w:r>
        <w:rPr>
          <w:b/>
        </w:rPr>
        <w:t xml:space="preserve">h</w:t>
      </w:r>
      <w:r>
        <w:t xml:space="preserve"> (5), adică </w:t>
      </w:r>
      <w:r>
        <w:rPr>
          <w:b/>
        </w:rPr>
        <w:t xml:space="preserve">slmh</w:t>
      </w:r>
      <w:r>
        <w:t xml:space="preserve"> (șlomoh), ceea ce adunat este 375.</w:t>
      </w:r>
      <w:r/>
    </w:p>
    <w:p>
      <w:pPr>
        <w:pStyle w:val="885"/>
        <w:pBdr/>
        <w:spacing/>
        <w:ind/>
        <w:rPr/>
      </w:pPr>
      <w:r>
        <w:t xml:space="preserve">Mini-introducerile subsecțiunilor din Proverbe</w:t>
      </w:r>
      <w:r/>
    </w:p>
    <w:p>
      <w:pPr>
        <w:pBdr/>
        <w:spacing/>
        <w:ind w:firstLine="0"/>
        <w:rPr>
          <w:szCs w:val="22"/>
        </w:rPr>
      </w:pPr>
      <w:r>
        <w:rPr>
          <w:szCs w:val="22"/>
        </w:rPr>
        <w:t xml:space="preserve">Vom observa în continuare, mini-prefețele sau mini-introducerile la secțiunile cărții Proverbe, șapte de toate </w:t>
      </w:r>
      <w:r>
        <w:t xml:space="preserve">(1:1; 10:1; 22:17; 24:23; 25:1; 30:1; 31:1).</w:t>
      </w:r>
      <w:r>
        <w:rPr>
          <w:szCs w:val="22"/>
        </w:rPr>
      </w:r>
    </w:p>
    <w:p>
      <w:pPr>
        <w:pStyle w:val="886"/>
        <w:pBdr/>
        <w:spacing/>
        <w:ind/>
        <w:rPr/>
      </w:pPr>
      <w:r>
        <w:t xml:space="preserve">1.1-5, Solomon I (introducere)</w:t>
      </w:r>
      <w:r/>
    </w:p>
    <w:p>
      <w:pPr>
        <w:pBdr/>
        <w:spacing/>
        <w:ind w:firstLine="0"/>
        <w:rPr/>
      </w:pPr>
      <w:r>
        <w:t xml:space="preserve">1. Pildele lui Solomon, fiul lui David, împăratul lui Israel, 2. pentru cunoaşterea înţelepciunii şi învăţăturii, pentru înţelegerea cuvintelor minţii; etc.</w:t>
      </w:r>
      <w:r/>
    </w:p>
    <w:p>
      <w:pPr>
        <w:pStyle w:val="886"/>
        <w:pBdr/>
        <w:spacing/>
        <w:ind/>
        <w:rPr/>
      </w:pPr>
      <w:r>
        <w:t xml:space="preserve">4:1, Poeme și sfătuiri sub formă poetică (secțiune davidică?)</w:t>
      </w:r>
      <w:r/>
    </w:p>
    <w:p>
      <w:pPr>
        <w:pBdr/>
        <w:spacing/>
        <w:ind w:firstLine="0"/>
        <w:rPr/>
      </w:pPr>
      <w:r>
        <w:t xml:space="preserve">Ascultaţi, fiilor, învăţătura unui tată şi luaţi aminte, ca să pricepeţi;</w:t>
      </w:r>
      <w:r>
        <w:t xml:space="preserve"> 2. căci eu vă dau sfaturi bune: nu lepădaţi învăţătura mea. 3. Căci când eram încă fiu la tatăl meu şi fiu gingaş şi singur la mama mea, 4. el mă învăţa atunci şi-mi zicea: "Păstrează bine în inima ta cuvintele mele, păzeşte învăţăturile mele şi vei trăi!</w:t>
      </w:r>
      <w:r/>
    </w:p>
    <w:p>
      <w:pPr>
        <w:pStyle w:val="886"/>
        <w:pBdr/>
        <w:spacing/>
        <w:ind/>
        <w:rPr/>
      </w:pPr>
      <w:r>
        <w:t xml:space="preserve">10:1, Solomon II (secțiunea principală, colecție de proverbe)</w:t>
      </w:r>
      <w:r/>
    </w:p>
    <w:p>
      <w:pPr>
        <w:pBdr/>
        <w:spacing/>
        <w:ind w:firstLine="0"/>
        <w:rPr/>
      </w:pPr>
      <w:r>
        <w:t xml:space="preserve">Pildele lui Solomon. Un fiu înţelept este bucuria tatălui, dar un fiu nebun este mâhnirea mamei sale.</w:t>
      </w:r>
      <w:r/>
    </w:p>
    <w:p>
      <w:pPr>
        <w:pStyle w:val="886"/>
        <w:pBdr/>
        <w:spacing/>
        <w:ind/>
        <w:rPr/>
      </w:pPr>
      <w:r>
        <w:t xml:space="preserve">22:17;  Supliment 1 (diverse proverbe înțelepte)</w:t>
      </w:r>
      <w:r/>
    </w:p>
    <w:p>
      <w:pPr>
        <w:pBdr/>
        <w:spacing/>
        <w:ind w:firstLine="0"/>
        <w:rPr/>
      </w:pPr>
      <w:r>
        <w:t xml:space="preserve">17. Pleacă-ţi urechea şi ascultă cuvintele înţelepţilor, şi ia învăţătura mea în inimă. </w:t>
      </w:r>
      <w:r/>
    </w:p>
    <w:p>
      <w:pPr>
        <w:pStyle w:val="886"/>
        <w:pBdr/>
        <w:spacing/>
        <w:ind/>
        <w:rPr/>
      </w:pPr>
      <w:r>
        <w:t xml:space="preserve">24:23; Supliment 2 (diverse proverbe înțelepte)</w:t>
      </w:r>
      <w:r/>
    </w:p>
    <w:p>
      <w:pPr>
        <w:pBdr/>
        <w:spacing/>
        <w:ind w:firstLine="0"/>
        <w:rPr>
          <w:szCs w:val="22"/>
        </w:rPr>
      </w:pPr>
      <w:r>
        <w:t xml:space="preserve">23. Iată ce mai spun înţelepţii: "Nu este bine să ai în vedere faţa oamenilor în judecăţi." </w:t>
      </w:r>
      <w:r>
        <w:rPr>
          <w:szCs w:val="22"/>
        </w:rPr>
      </w:r>
    </w:p>
    <w:p>
      <w:pPr>
        <w:pStyle w:val="886"/>
        <w:pBdr/>
        <w:spacing/>
        <w:ind/>
        <w:rPr/>
      </w:pPr>
      <w:r>
        <w:t xml:space="preserve">25:1; Solomon III (cartea proverbelor lui Solomon, adăugată de Ezechia)</w:t>
      </w:r>
      <w:r/>
    </w:p>
    <w:p>
      <w:pPr>
        <w:pBdr/>
        <w:spacing/>
        <w:ind w:firstLine="0"/>
        <w:rPr/>
      </w:pPr>
      <w:r>
        <w:t xml:space="preserve">1.Iată încă vreo câteva din Pildele lui Solomon, strânse de oamenii lui Ezechia, împăratul lui Iuda. </w:t>
      </w:r>
      <w:r/>
    </w:p>
    <w:p>
      <w:pPr>
        <w:pStyle w:val="886"/>
        <w:pBdr/>
        <w:spacing/>
        <w:ind/>
        <w:rPr/>
      </w:pPr>
      <w:r>
        <w:t xml:space="preserve">30:1;  Proverbele lui Agur, al lui Iache (un levit înțelept).</w:t>
      </w:r>
      <w:r/>
    </w:p>
    <w:p>
      <w:pPr>
        <w:pBdr/>
        <w:spacing/>
        <w:ind w:firstLine="0"/>
        <w:rPr/>
      </w:pPr>
      <w:r>
        <w:t xml:space="preserve">1.Cuvintele lui Agur, fiul lui Iache. Cuvintele înţelepte rostite de omul acesta pentru Itiel, pentru Itiel şi pentru Ucal.</w:t>
      </w:r>
      <w:r/>
    </w:p>
    <w:p>
      <w:pPr>
        <w:pStyle w:val="886"/>
        <w:pBdr/>
        <w:spacing/>
        <w:ind/>
        <w:rPr/>
      </w:pPr>
      <w:r>
        <w:t xml:space="preserve">31:1, Invățături pentru regele Lemuel, de la mama sa (Batșeba)</w:t>
      </w:r>
      <w:r/>
    </w:p>
    <w:p>
      <w:pPr>
        <w:pBdr/>
        <w:spacing/>
        <w:ind w:firstLine="0"/>
        <w:rPr/>
      </w:pPr>
      <w:r>
        <w:t xml:space="preserve">1.Cuvintele împăratului Lemuel. Învăţătura pe care i-o dădea mama sa. </w:t>
      </w:r>
      <w:r/>
    </w:p>
    <w:p>
      <w:pPr>
        <w:pBdr/>
        <w:spacing/>
        <w:ind w:firstLine="0"/>
        <w:rPr>
          <w:szCs w:val="22"/>
        </w:rPr>
      </w:pPr>
      <w:r>
        <w:rPr>
          <w:szCs w:val="22"/>
        </w:rPr>
      </w:r>
      <w:r>
        <w:rPr>
          <w:szCs w:val="22"/>
        </w:rPr>
      </w:r>
    </w:p>
    <w:p>
      <w:pPr>
        <w:pStyle w:val="885"/>
        <w:pBdr/>
        <w:spacing/>
        <w:ind/>
        <w:rPr/>
      </w:pPr>
      <w:r>
        <w:t xml:space="preserve">Locul familiei în educație, locul femeii în educația fiilor</w:t>
      </w:r>
      <w:r/>
    </w:p>
    <w:p>
      <w:pPr>
        <w:pBdr/>
        <w:spacing/>
        <w:ind w:firstLine="0"/>
        <w:rPr>
          <w:szCs w:val="22"/>
        </w:rPr>
      </w:pPr>
      <w:r>
        <w:rPr>
          <w:szCs w:val="22"/>
        </w:rPr>
        <w:t xml:space="preserve">Deși principalele învățături din proverbe su</w:t>
      </w:r>
      <w:r>
        <w:rPr>
          <w:szCs w:val="22"/>
        </w:rPr>
        <w:t xml:space="preserve">nt date de părinte (un tată, un învățător) către fiul său (fiul său, studenții săi – în al doilea caz), există multe precizării care ne arată că învățarea credinței se face din familie, iar mama este un educator foarte important pentru fiii și fiicele sale</w:t>
      </w:r>
      <w:r>
        <w:rPr>
          <w:szCs w:val="22"/>
        </w:rPr>
        <w:t xml:space="preserve">, alături de tată, și într-un mod anume, specific ei</w:t>
      </w:r>
      <w:r>
        <w:rPr>
          <w:szCs w:val="22"/>
        </w:rPr>
        <w:t xml:space="preserve">. Următoarele versete din Proverbe ne arată textele principale în care apare amintită figura mamei, ca învățător al copiilor ei</w:t>
      </w:r>
      <w:r>
        <w:rPr>
          <w:szCs w:val="22"/>
        </w:rPr>
        <w:t xml:space="preserve">, alături de cea a tatălui</w:t>
      </w:r>
      <w:r>
        <w:rPr>
          <w:szCs w:val="22"/>
        </w:rPr>
        <w:t xml:space="preserve">:</w:t>
      </w:r>
      <w:r>
        <w:rPr>
          <w:szCs w:val="22"/>
        </w:rPr>
      </w:r>
    </w:p>
    <w:p>
      <w:pPr>
        <w:pBdr/>
        <w:spacing/>
        <w:ind w:firstLine="0"/>
        <w:rPr>
          <w:szCs w:val="22"/>
        </w:rPr>
      </w:pPr>
      <w:r>
        <w:rPr>
          <w:szCs w:val="22"/>
        </w:rPr>
      </w:r>
      <w:r>
        <w:rPr>
          <w:szCs w:val="22"/>
        </w:rPr>
      </w:r>
    </w:p>
    <w:p>
      <w:pPr>
        <w:pBdr/>
        <w:spacing/>
        <w:ind w:firstLine="0" w:left="576"/>
        <w:rPr/>
      </w:pPr>
      <w:r>
        <w:rPr>
          <w:szCs w:val="22"/>
        </w:rPr>
        <w:t xml:space="preserve">1:8, </w:t>
      </w:r>
      <w:r>
        <w:t xml:space="preserve"> Ascultă, fiule, învăţătura tatălui tău şi nu lepăda îndrumările mamei tale!</w:t>
      </w:r>
      <w:r/>
    </w:p>
    <w:p>
      <w:pPr>
        <w:pBdr/>
        <w:spacing/>
        <w:ind w:left="576"/>
        <w:rPr/>
      </w:pPr>
      <w:r/>
      <w:r/>
    </w:p>
    <w:p>
      <w:pPr>
        <w:pBdr/>
        <w:spacing/>
        <w:ind/>
        <w:rPr/>
      </w:pPr>
      <w:r>
        <w:t xml:space="preserve">4:3, Căci (pe) când eram încă fiu</w:t>
      </w:r>
      <w:r>
        <w:rPr>
          <w:b/>
        </w:rPr>
        <w:t xml:space="preserve"> </w:t>
      </w:r>
      <w:r>
        <w:t xml:space="preserve">la tatăl meu şi fiu gingaș la mama mea,</w:t>
      </w:r>
      <w:r/>
    </w:p>
    <w:p>
      <w:pPr>
        <w:pBdr/>
        <w:spacing/>
        <w:ind w:left="576"/>
        <w:rPr>
          <w:szCs w:val="22"/>
        </w:rPr>
      </w:pPr>
      <w:r>
        <w:rPr>
          <w:szCs w:val="22"/>
        </w:rPr>
      </w:r>
      <w:r>
        <w:rPr>
          <w:szCs w:val="22"/>
        </w:rPr>
      </w:r>
    </w:p>
    <w:p>
      <w:pPr>
        <w:pBdr/>
        <w:spacing/>
        <w:ind w:firstLine="0" w:left="576"/>
        <w:rPr>
          <w:szCs w:val="22"/>
        </w:rPr>
      </w:pPr>
      <w:r>
        <w:rPr>
          <w:szCs w:val="22"/>
        </w:rPr>
        <w:t xml:space="preserve">6:20, </w:t>
      </w:r>
      <w:r>
        <w:t xml:space="preserve">Fiule, păzeşte sfaturile tatălui tău şi nu lepăda învăţătura mamei tale:</w:t>
      </w:r>
      <w:r>
        <w:br/>
      </w:r>
      <w:r>
        <w:rPr>
          <w:szCs w:val="22"/>
        </w:rPr>
      </w:r>
    </w:p>
    <w:p>
      <w:pPr>
        <w:pBdr/>
        <w:spacing/>
        <w:ind w:firstLine="0" w:left="576"/>
        <w:rPr/>
      </w:pPr>
      <w:r>
        <w:rPr>
          <w:szCs w:val="22"/>
        </w:rPr>
        <w:t xml:space="preserve">10:1, </w:t>
      </w:r>
      <w:r>
        <w:t xml:space="preserve">Un fiu înţelept este bucuria tatălui, dar un fiu nebun este mâhnirea mamei sale.</w:t>
      </w:r>
      <w:r/>
    </w:p>
    <w:p>
      <w:pPr>
        <w:pBdr/>
        <w:spacing/>
        <w:ind w:left="576"/>
        <w:rPr/>
      </w:pPr>
      <w:r/>
      <w:r/>
    </w:p>
    <w:p>
      <w:pPr>
        <w:pBdr/>
        <w:spacing/>
        <w:ind w:firstLine="0" w:left="576"/>
        <w:rPr/>
      </w:pPr>
      <w:r>
        <w:t xml:space="preserve">15:20 Un fiu înţelept este bucuria tatălui său, dar un om nesocotit dispreţuieşte pe mama sa. </w:t>
      </w:r>
      <w:r/>
    </w:p>
    <w:p>
      <w:pPr>
        <w:pBdr/>
        <w:spacing/>
        <w:ind w:left="576"/>
        <w:rPr/>
      </w:pPr>
      <w:r/>
      <w:r/>
    </w:p>
    <w:p>
      <w:pPr>
        <w:pBdr/>
        <w:spacing/>
        <w:ind w:firstLine="0" w:left="576"/>
        <w:rPr/>
      </w:pPr>
      <w:r>
        <w:t xml:space="preserve">19:26, Cine jefuieşte pe tatăl său şi izgoneşte pe mama sa, este un fiu care aduce ruşine şi ocară.</w:t>
      </w:r>
      <w:r/>
    </w:p>
    <w:p>
      <w:pPr>
        <w:pBdr/>
        <w:spacing/>
        <w:ind w:left="576"/>
        <w:rPr/>
      </w:pPr>
      <w:r/>
      <w:r/>
    </w:p>
    <w:p>
      <w:pPr>
        <w:pBdr/>
        <w:spacing/>
        <w:ind w:firstLine="0" w:left="576"/>
        <w:rPr/>
      </w:pPr>
      <w:r>
        <w:t xml:space="preserve">20:20</w:t>
      </w:r>
      <w:r>
        <w:t xml:space="preserve">,</w:t>
      </w:r>
      <w:r>
        <w:t xml:space="preserve"> Dacă cineva blestemă pe tatăl său şi pe mama sa, i se va stinge lumina în mijlocul întunericului. –</w:t>
      </w:r>
      <w:r/>
    </w:p>
    <w:p>
      <w:pPr>
        <w:pBdr/>
        <w:spacing/>
        <w:ind w:left="576"/>
        <w:rPr/>
      </w:pPr>
      <w:r/>
      <w:r/>
    </w:p>
    <w:p>
      <w:pPr>
        <w:pBdr/>
        <w:spacing/>
        <w:ind w:firstLine="0" w:left="576"/>
        <w:rPr/>
      </w:pPr>
      <w:r>
        <w:t xml:space="preserve">23:22-25, 22. </w:t>
      </w:r>
      <w:r>
        <w:t xml:space="preserve">Ascultă pe tatăl tău, care te-a născut, şi nu nesocoti pe mama ta, când a îmbătrânit... 24. Tatăl celui neprihănit se înveseleşte, şi cel ce dă naştere unui înţelept se bucură. 25. Să se bucure tatăl tău şi mama ta, să se înveselească cea care te-a născut.</w:t>
      </w:r>
      <w:r/>
    </w:p>
    <w:p>
      <w:pPr>
        <w:pBdr/>
        <w:spacing/>
        <w:ind w:left="576"/>
        <w:rPr/>
      </w:pPr>
      <w:r/>
      <w:r/>
    </w:p>
    <w:p>
      <w:pPr>
        <w:pBdr/>
        <w:spacing/>
        <w:ind w:firstLine="0" w:left="576"/>
        <w:rPr/>
      </w:pPr>
      <w:r>
        <w:t xml:space="preserve">29:15, Nuiaua şi certarea dau înţelepciunea, dar copilul lăsat de capul lui face ruşine mamei sale.</w:t>
      </w:r>
      <w:r/>
    </w:p>
    <w:p>
      <w:pPr>
        <w:pBdr/>
        <w:spacing/>
        <w:ind w:left="576"/>
        <w:rPr/>
      </w:pPr>
      <w:r>
        <w:br/>
        <w:t xml:space="preserve">30:11, 11. Este un neam de oameni care blestemă pe tatăl său şi nu binecuvântă pe mama sa.</w:t>
      </w:r>
      <w:r/>
    </w:p>
    <w:p>
      <w:pPr>
        <w:pBdr/>
        <w:spacing/>
        <w:ind w:left="576"/>
        <w:rPr/>
      </w:pPr>
      <w:r/>
      <w:r/>
    </w:p>
    <w:p>
      <w:pPr>
        <w:pBdr/>
        <w:spacing/>
        <w:ind w:firstLine="0" w:left="576"/>
        <w:rPr/>
      </w:pPr>
      <w:r>
        <w:t xml:space="preserve">30:17, Pe ochiul care îşi bate joc de tatăl său şi nesocoteşte ascultarea de mamă, îl vor scobi corbii de la pârâu şi îl vor mânca puii de vultur. -</w:t>
      </w:r>
      <w:r/>
    </w:p>
    <w:p>
      <w:pPr>
        <w:pBdr/>
        <w:spacing/>
        <w:ind w:firstLine="0"/>
        <w:rPr>
          <w:szCs w:val="22"/>
        </w:rPr>
      </w:pPr>
      <w:r>
        <w:rPr>
          <w:szCs w:val="22"/>
        </w:rPr>
      </w:r>
      <w:r>
        <w:rPr>
          <w:szCs w:val="22"/>
        </w:rPr>
      </w:r>
    </w:p>
    <w:p>
      <w:pPr>
        <w:pBdr/>
        <w:spacing/>
        <w:ind w:firstLine="0" w:left="576"/>
        <w:rPr/>
      </w:pPr>
      <w:r>
        <w:rPr>
          <w:szCs w:val="22"/>
        </w:rPr>
        <w:t xml:space="preserve">31:1,</w:t>
      </w:r>
      <w:r>
        <w:rPr>
          <w:szCs w:val="22"/>
        </w:rPr>
        <w:t xml:space="preserve"> </w:t>
      </w:r>
      <w:r>
        <w:t xml:space="preserve">Cuvintele împăratului Lemuel. Învăţătura pe care i-o dădea mama sa.</w:t>
      </w:r>
      <w:r/>
    </w:p>
    <w:p>
      <w:pPr>
        <w:pBdr/>
        <w:spacing/>
        <w:ind w:firstLine="0"/>
        <w:rPr>
          <w:i/>
          <w:szCs w:val="22"/>
        </w:rPr>
      </w:pPr>
      <w:r>
        <w:rPr>
          <w:i/>
          <w:szCs w:val="22"/>
        </w:rPr>
      </w:r>
      <w:r>
        <w:rPr>
          <w:i/>
          <w:szCs w:val="22"/>
        </w:rPr>
      </w:r>
    </w:p>
    <w:p>
      <w:pPr>
        <w:pStyle w:val="884"/>
        <w:pBdr/>
        <w:spacing/>
        <w:ind w:firstLine="0"/>
        <w:rPr/>
      </w:pPr>
      <w:r/>
      <w:bookmarkStart w:id="12" w:name="_Toc171151236"/>
      <w:r>
        <w:t xml:space="preserve">Planul lecțiilor din ghid</w:t>
      </w:r>
      <w:bookmarkEnd w:id="12"/>
      <w:r/>
      <w:r/>
    </w:p>
    <w:p>
      <w:pPr>
        <w:pBdr/>
        <w:spacing/>
        <w:ind w:firstLine="0"/>
        <w:rPr>
          <w:szCs w:val="22"/>
        </w:rPr>
      </w:pPr>
      <w:r>
        <w:rPr>
          <w:szCs w:val="22"/>
        </w:rPr>
        <w:t xml:space="preserve">Lecțiile din acest ghid de studiu acoperă perioada iulie-septembrie, capitolele fiind împărțite tematic, în felul următor:</w:t>
      </w:r>
      <w:r>
        <w:rPr>
          <w:szCs w:val="22"/>
        </w:rPr>
      </w:r>
    </w:p>
    <w:p>
      <w:pPr>
        <w:pStyle w:val="885"/>
        <w:pBdr/>
        <w:spacing/>
        <w:ind/>
        <w:rPr/>
      </w:pPr>
      <w:r>
        <w:t xml:space="preserve">Iulie</w:t>
      </w:r>
      <w:r/>
    </w:p>
    <w:tbl>
      <w:tblPr>
        <w:tblpPr w:horzAnchor="margin" w:tblpXSpec="left" w:vertAnchor="page" w:tblpY="2868" w:leftFromText="180" w:topFromText="0" w:rightFromText="180" w:bottomFromText="0"/>
        <w:tblW w:w="7415" w:type="dxa"/>
        <w:tblInd w:w="115" w:type="dxa"/>
        <w:tblBorders/>
        <w:tblLayout w:type="fixed"/>
        <w:tblCellMar>
          <w:left w:w="115" w:type="dxa"/>
          <w:right w:w="5" w:type="dxa"/>
        </w:tblCellMar>
        <w:tblLook w:val="04A0" w:firstRow="1" w:lastRow="0" w:firstColumn="1" w:lastColumn="0" w:noHBand="0" w:noVBand="1"/>
      </w:tblPr>
      <w:tblGrid>
        <w:gridCol w:w="7415"/>
      </w:tblGrid>
      <w:tr>
        <w:trPr>
          <w:trHeight w:val="96"/>
        </w:trPr>
        <w:tc>
          <w:tcPr>
            <w:tcBorders>
              <w:top w:val="single" w:color="000000" w:sz="4" w:space="0"/>
              <w:left w:val="single" w:color="000000" w:sz="4" w:space="0"/>
              <w:bottom w:val="single" w:color="000000" w:sz="4" w:space="0"/>
              <w:right w:val="single" w:color="000000" w:sz="4" w:space="0"/>
            </w:tcBorders>
            <w:tcW w:w="7415" w:type="dxa"/>
            <w:textDirection w:val="lrTb"/>
            <w:noWrap w:val="false"/>
          </w:tcPr>
          <w:p>
            <w:pPr>
              <w:widowControl w:val="false"/>
              <w:pBdr/>
              <w:spacing w:after="144" w:beforeAutospacing="1" w:line="96" w:lineRule="atLeast"/>
              <w:ind w:firstLine="0"/>
              <w:jc w:val="left"/>
              <w:rPr>
                <w:rFonts w:ascii="Times New Roman" w:hAnsi="Times New Roman" w:eastAsia="Times New Roman" w:cs="Times New Roman"/>
                <w:color w:val="000000"/>
                <w:sz w:val="20"/>
                <w:szCs w:val="20"/>
              </w:rPr>
            </w:pPr>
            <w:r>
              <w:rPr>
                <w:rFonts w:ascii="Times New Roman" w:hAnsi="Times New Roman" w:eastAsia="Times New Roman" w:cs="Times New Roman"/>
                <w:b/>
                <w:bCs/>
                <w:color w:val="000000"/>
                <w:sz w:val="20"/>
                <w:szCs w:val="20"/>
              </w:rPr>
              <w:t xml:space="preserve">11 Prov. 1, Ascultarea inţelepciunii, 1:8-9</w:t>
            </w:r>
            <w:r>
              <w:rPr>
                <w:rFonts w:ascii="Times New Roman" w:hAnsi="Times New Roman" w:eastAsia="Times New Roman" w:cs="Times New Roman"/>
                <w:color w:val="000000"/>
                <w:sz w:val="20"/>
                <w:szCs w:val="20"/>
              </w:rPr>
            </w:r>
          </w:p>
        </w:tc>
      </w:tr>
      <w:tr>
        <w:trPr/>
        <w:tc>
          <w:tcPr>
            <w:tcBorders>
              <w:top w:val="single" w:color="000000" w:sz="4" w:space="0"/>
              <w:left w:val="single" w:color="000000" w:sz="4" w:space="0"/>
              <w:bottom w:val="single" w:color="000000" w:sz="4" w:space="0"/>
              <w:right w:val="single" w:color="000000" w:sz="4" w:space="0"/>
            </w:tcBorders>
            <w:tcW w:w="7415" w:type="dxa"/>
            <w:textDirection w:val="lrTb"/>
            <w:noWrap w:val="false"/>
          </w:tcPr>
          <w:p>
            <w:pPr>
              <w:widowControl w:val="false"/>
              <w:pBdr/>
              <w:spacing w:after="144" w:beforeAutospacing="1" w:line="276" w:lineRule="auto"/>
              <w:ind w:firstLine="0"/>
              <w:jc w:val="left"/>
              <w:rPr>
                <w:rFonts w:ascii="Times New Roman" w:hAnsi="Times New Roman" w:eastAsia="Times New Roman" w:cs="Times New Roman"/>
                <w:color w:val="000000"/>
                <w:sz w:val="20"/>
                <w:szCs w:val="20"/>
              </w:rPr>
            </w:pPr>
            <w:r>
              <w:rPr>
                <w:rFonts w:ascii="Times New Roman" w:hAnsi="Times New Roman" w:eastAsia="Times New Roman" w:cs="Times New Roman"/>
                <w:b/>
                <w:bCs/>
                <w:color w:val="000000"/>
                <w:sz w:val="20"/>
                <w:szCs w:val="20"/>
              </w:rPr>
              <w:t xml:space="preserve">18, Prov. 2, Inţelepciune şi evitarea răului, 2:20</w:t>
            </w:r>
            <w:r>
              <w:rPr>
                <w:rFonts w:ascii="Times New Roman" w:hAnsi="Times New Roman" w:eastAsia="Times New Roman" w:cs="Times New Roman"/>
                <w:color w:val="000000"/>
                <w:sz w:val="20"/>
                <w:szCs w:val="20"/>
              </w:rPr>
            </w:r>
          </w:p>
        </w:tc>
      </w:tr>
      <w:tr>
        <w:trPr/>
        <w:tc>
          <w:tcPr>
            <w:tcBorders>
              <w:top w:val="single" w:color="000000" w:sz="4" w:space="0"/>
              <w:left w:val="single" w:color="000000" w:sz="4" w:space="0"/>
              <w:bottom w:val="single" w:color="000000" w:sz="4" w:space="0"/>
              <w:right w:val="single" w:color="000000" w:sz="4" w:space="0"/>
            </w:tcBorders>
            <w:tcW w:w="7415" w:type="dxa"/>
            <w:textDirection w:val="lrTb"/>
            <w:noWrap w:val="false"/>
          </w:tcPr>
          <w:p>
            <w:pPr>
              <w:widowControl w:val="false"/>
              <w:pBdr/>
              <w:spacing w:after="144" w:beforeAutospacing="1" w:line="276" w:lineRule="auto"/>
              <w:ind w:firstLine="0"/>
              <w:jc w:val="left"/>
              <w:rPr>
                <w:rFonts w:ascii="Times New Roman" w:hAnsi="Times New Roman" w:eastAsia="Times New Roman" w:cs="Times New Roman"/>
                <w:color w:val="000000"/>
                <w:sz w:val="20"/>
                <w:szCs w:val="20"/>
              </w:rPr>
            </w:pPr>
            <w:r>
              <w:rPr>
                <w:rFonts w:ascii="Times New Roman" w:hAnsi="Times New Roman" w:eastAsia="Times New Roman" w:cs="Times New Roman"/>
                <w:b/>
                <w:bCs/>
                <w:color w:val="000000"/>
                <w:sz w:val="20"/>
                <w:szCs w:val="20"/>
              </w:rPr>
              <w:t xml:space="preserve">25, Prov. 3, Câştigul înţelepciunii, 3:7-8</w:t>
            </w:r>
            <w:r>
              <w:rPr>
                <w:rFonts w:ascii="Times New Roman" w:hAnsi="Times New Roman" w:eastAsia="Times New Roman" w:cs="Times New Roman"/>
                <w:color w:val="000000"/>
                <w:sz w:val="20"/>
                <w:szCs w:val="20"/>
              </w:rPr>
            </w:r>
          </w:p>
        </w:tc>
      </w:tr>
    </w:tbl>
    <w:p>
      <w:pPr>
        <w:pBdr/>
        <w:spacing/>
        <w:ind w:firstLine="0"/>
        <w:rPr>
          <w:szCs w:val="22"/>
        </w:rPr>
      </w:pPr>
      <w:r>
        <w:rPr>
          <w:szCs w:val="22"/>
        </w:rPr>
      </w:r>
      <w:r>
        <w:rPr>
          <w:szCs w:val="22"/>
        </w:rPr>
      </w:r>
    </w:p>
    <w:p>
      <w:pPr>
        <w:pStyle w:val="885"/>
        <w:pBdr/>
        <w:spacing/>
        <w:ind/>
        <w:rPr/>
      </w:pPr>
      <w:r>
        <w:rPr>
          <w:szCs w:val="22"/>
        </w:rPr>
        <w:t xml:space="preserve">August</w:t>
      </w:r>
      <w:r/>
    </w:p>
    <w:tbl>
      <w:tblPr>
        <w:tblpPr w:horzAnchor="margin" w:tblpX="205" w:vertAnchor="text" w:tblpY="262" w:leftFromText="180" w:topFromText="0" w:rightFromText="180" w:bottomFromText="0"/>
        <w:tblW w:w="7405" w:type="dxa"/>
        <w:tblBorders/>
        <w:tblLayout w:type="fixed"/>
        <w:tblCellMar>
          <w:left w:w="115" w:type="dxa"/>
          <w:right w:w="5" w:type="dxa"/>
        </w:tblCellMar>
        <w:tblLook w:val="04A0" w:firstRow="1" w:lastRow="0" w:firstColumn="1" w:lastColumn="0" w:noHBand="0" w:noVBand="1"/>
      </w:tblPr>
      <w:tblGrid>
        <w:gridCol w:w="7405"/>
      </w:tblGrid>
      <w:tr>
        <w:trPr/>
        <w:tc>
          <w:tcPr>
            <w:tcBorders>
              <w:top w:val="single" w:color="000000" w:sz="4" w:space="0"/>
              <w:left w:val="single" w:color="000000" w:sz="4" w:space="0"/>
              <w:bottom w:val="single" w:color="000000" w:sz="4" w:space="0"/>
              <w:right w:val="single" w:color="000000" w:sz="4" w:space="0"/>
            </w:tcBorders>
            <w:tcW w:w="7405" w:type="dxa"/>
            <w:textDirection w:val="lrTb"/>
            <w:noWrap w:val="false"/>
          </w:tcPr>
          <w:p>
            <w:pPr>
              <w:widowControl w:val="false"/>
              <w:pBdr/>
              <w:spacing w:after="144" w:beforeAutospacing="1" w:line="276" w:lineRule="auto"/>
              <w:ind w:firstLine="0"/>
              <w:jc w:val="left"/>
              <w:rPr>
                <w:rFonts w:ascii="Times New Roman" w:hAnsi="Times New Roman" w:eastAsia="Times New Roman" w:cs="Times New Roman"/>
                <w:color w:val="000000"/>
                <w:sz w:val="20"/>
                <w:szCs w:val="20"/>
              </w:rPr>
            </w:pPr>
            <w:r>
              <w:rPr>
                <w:rFonts w:ascii="Times New Roman" w:hAnsi="Times New Roman" w:eastAsia="Times New Roman" w:cs="Times New Roman"/>
                <w:b/>
                <w:bCs/>
                <w:color w:val="000000"/>
                <w:sz w:val="20"/>
                <w:szCs w:val="20"/>
              </w:rPr>
              <w:t xml:space="preserve">1, Prov. 4, Înţelepciunea şi calitatea vieții, 4:7-8</w:t>
            </w:r>
            <w:r>
              <w:rPr>
                <w:rFonts w:ascii="Times New Roman" w:hAnsi="Times New Roman" w:eastAsia="Times New Roman" w:cs="Times New Roman"/>
                <w:color w:val="000000"/>
                <w:sz w:val="20"/>
                <w:szCs w:val="20"/>
              </w:rPr>
            </w:r>
          </w:p>
        </w:tc>
      </w:tr>
      <w:tr>
        <w:trPr>
          <w:trHeight w:val="108"/>
        </w:trPr>
        <w:tc>
          <w:tcPr>
            <w:tcBorders>
              <w:top w:val="single" w:color="000000" w:sz="4" w:space="0"/>
              <w:left w:val="single" w:color="000000" w:sz="4" w:space="0"/>
              <w:bottom w:val="single" w:color="000000" w:sz="4" w:space="0"/>
              <w:right w:val="single" w:color="000000" w:sz="4" w:space="0"/>
            </w:tcBorders>
            <w:tcW w:w="7405" w:type="dxa"/>
            <w:textDirection w:val="lrTb"/>
            <w:noWrap w:val="false"/>
          </w:tcPr>
          <w:p>
            <w:pPr>
              <w:widowControl w:val="false"/>
              <w:pBdr/>
              <w:spacing w:after="144" w:beforeAutospacing="1" w:line="108" w:lineRule="atLeast"/>
              <w:ind w:firstLine="0"/>
              <w:jc w:val="left"/>
              <w:rPr>
                <w:rFonts w:ascii="Times New Roman" w:hAnsi="Times New Roman" w:eastAsia="Times New Roman" w:cs="Times New Roman"/>
                <w:color w:val="000000"/>
                <w:sz w:val="20"/>
                <w:szCs w:val="20"/>
              </w:rPr>
            </w:pPr>
            <w:r>
              <w:rPr>
                <w:rFonts w:ascii="Times New Roman" w:hAnsi="Times New Roman" w:eastAsia="Times New Roman" w:cs="Times New Roman"/>
                <w:b/>
                <w:bCs/>
                <w:color w:val="000000"/>
                <w:sz w:val="20"/>
                <w:szCs w:val="20"/>
              </w:rPr>
              <w:t xml:space="preserve">8, Prov. 5, Înţelepciunea şi fidelitatea, 5:22-23</w:t>
            </w:r>
            <w:r>
              <w:rPr>
                <w:rFonts w:ascii="Times New Roman" w:hAnsi="Times New Roman" w:eastAsia="Times New Roman" w:cs="Times New Roman"/>
                <w:color w:val="000000"/>
                <w:sz w:val="20"/>
                <w:szCs w:val="20"/>
              </w:rPr>
            </w:r>
          </w:p>
        </w:tc>
      </w:tr>
      <w:tr>
        <w:trPr/>
        <w:tc>
          <w:tcPr>
            <w:tcBorders>
              <w:top w:val="single" w:color="000000" w:sz="4" w:space="0"/>
              <w:left w:val="single" w:color="000000" w:sz="4" w:space="0"/>
              <w:bottom w:val="single" w:color="000000" w:sz="4" w:space="0"/>
              <w:right w:val="single" w:color="000000" w:sz="4" w:space="0"/>
            </w:tcBorders>
            <w:tcW w:w="7405" w:type="dxa"/>
            <w:textDirection w:val="lrTb"/>
            <w:noWrap w:val="false"/>
          </w:tcPr>
          <w:p>
            <w:pPr>
              <w:widowControl w:val="false"/>
              <w:pBdr/>
              <w:spacing w:after="144" w:beforeAutospacing="1" w:line="276" w:lineRule="auto"/>
              <w:ind w:firstLine="0"/>
              <w:jc w:val="left"/>
              <w:rPr>
                <w:rFonts w:ascii="Times New Roman" w:hAnsi="Times New Roman" w:eastAsia="Times New Roman" w:cs="Times New Roman"/>
                <w:color w:val="000000"/>
                <w:sz w:val="20"/>
                <w:szCs w:val="20"/>
              </w:rPr>
            </w:pPr>
            <w:r>
              <w:rPr>
                <w:rFonts w:ascii="Times New Roman" w:hAnsi="Times New Roman" w:eastAsia="Times New Roman" w:cs="Times New Roman"/>
                <w:b/>
                <w:bCs/>
                <w:color w:val="000000"/>
                <w:sz w:val="20"/>
                <w:szCs w:val="20"/>
              </w:rPr>
              <w:t xml:space="preserve">15, Prov. 6, Inţelepciunea şi etica, 6:16-19</w:t>
            </w:r>
            <w:r>
              <w:rPr>
                <w:rFonts w:ascii="Times New Roman" w:hAnsi="Times New Roman" w:eastAsia="Times New Roman" w:cs="Times New Roman"/>
                <w:color w:val="000000"/>
                <w:sz w:val="20"/>
                <w:szCs w:val="20"/>
              </w:rPr>
            </w:r>
          </w:p>
        </w:tc>
      </w:tr>
      <w:tr>
        <w:trPr/>
        <w:tc>
          <w:tcPr>
            <w:tcBorders>
              <w:top w:val="single" w:color="000000" w:sz="4" w:space="0"/>
              <w:left w:val="single" w:color="000000" w:sz="4" w:space="0"/>
              <w:bottom w:val="single" w:color="000000" w:sz="4" w:space="0"/>
              <w:right w:val="single" w:color="000000" w:sz="4" w:space="0"/>
            </w:tcBorders>
            <w:tcW w:w="7405" w:type="dxa"/>
            <w:textDirection w:val="lrTb"/>
            <w:noWrap w:val="false"/>
          </w:tcPr>
          <w:p>
            <w:pPr>
              <w:widowControl w:val="false"/>
              <w:pBdr/>
              <w:spacing w:after="144" w:beforeAutospacing="1" w:line="276" w:lineRule="auto"/>
              <w:ind w:firstLine="0"/>
              <w:jc w:val="left"/>
              <w:rPr>
                <w:rFonts w:ascii="Times New Roman" w:hAnsi="Times New Roman" w:eastAsia="Times New Roman" w:cs="Times New Roman"/>
                <w:color w:val="000000"/>
                <w:sz w:val="20"/>
                <w:szCs w:val="20"/>
              </w:rPr>
            </w:pPr>
            <w:r>
              <w:rPr>
                <w:rFonts w:ascii="Times New Roman" w:hAnsi="Times New Roman" w:eastAsia="Times New Roman" w:cs="Times New Roman"/>
                <w:b/>
                <w:bCs/>
                <w:color w:val="000000"/>
                <w:sz w:val="20"/>
                <w:szCs w:val="20"/>
              </w:rPr>
              <w:t xml:space="preserve">22, Prov. 7, Înţelepciunea şi ispita, 7:4-5</w:t>
            </w:r>
            <w:r>
              <w:rPr>
                <w:rFonts w:ascii="Times New Roman" w:hAnsi="Times New Roman" w:eastAsia="Times New Roman" w:cs="Times New Roman"/>
                <w:color w:val="000000"/>
                <w:sz w:val="20"/>
                <w:szCs w:val="20"/>
              </w:rPr>
            </w:r>
          </w:p>
        </w:tc>
      </w:tr>
      <w:tr>
        <w:trPr/>
        <w:tc>
          <w:tcPr>
            <w:tcBorders>
              <w:top w:val="single" w:color="000000" w:sz="4" w:space="0"/>
              <w:left w:val="single" w:color="000000" w:sz="4" w:space="0"/>
              <w:bottom w:val="single" w:color="000000" w:sz="4" w:space="0"/>
              <w:right w:val="single" w:color="000000" w:sz="4" w:space="0"/>
            </w:tcBorders>
            <w:tcW w:w="7405" w:type="dxa"/>
            <w:textDirection w:val="lrTb"/>
            <w:noWrap w:val="false"/>
          </w:tcPr>
          <w:p>
            <w:pPr>
              <w:widowControl w:val="false"/>
              <w:pBdr/>
              <w:spacing w:after="144" w:beforeAutospacing="1" w:line="276" w:lineRule="auto"/>
              <w:ind w:firstLine="0"/>
              <w:jc w:val="left"/>
              <w:rPr>
                <w:rFonts w:ascii="Times New Roman" w:hAnsi="Times New Roman" w:eastAsia="Times New Roman" w:cs="Times New Roman"/>
                <w:color w:val="000000"/>
                <w:sz w:val="20"/>
                <w:szCs w:val="20"/>
              </w:rPr>
            </w:pPr>
            <w:r>
              <w:rPr>
                <w:rFonts w:ascii="Times New Roman" w:hAnsi="Times New Roman" w:eastAsia="Times New Roman" w:cs="Times New Roman"/>
                <w:b/>
                <w:bCs/>
                <w:color w:val="000000"/>
                <w:sz w:val="20"/>
                <w:szCs w:val="20"/>
              </w:rPr>
              <w:t xml:space="preserve">29, Prov. 8, Înţelepciunea şi ştiinţa, 8:12-13</w:t>
            </w:r>
            <w:r>
              <w:rPr>
                <w:rFonts w:ascii="Times New Roman" w:hAnsi="Times New Roman" w:eastAsia="Times New Roman" w:cs="Times New Roman"/>
                <w:color w:val="000000"/>
                <w:sz w:val="20"/>
                <w:szCs w:val="20"/>
              </w:rPr>
            </w:r>
          </w:p>
        </w:tc>
      </w:tr>
    </w:tbl>
    <w:p>
      <w:pPr>
        <w:pStyle w:val="885"/>
        <w:pBdr/>
        <w:spacing/>
        <w:ind/>
        <w:rPr/>
      </w:pPr>
      <w:r>
        <w:t xml:space="preserve">Septembrie</w:t>
      </w:r>
      <w:r/>
    </w:p>
    <w:tbl>
      <w:tblPr>
        <w:tblW w:w="7512" w:type="dxa"/>
        <w:tblInd w:w="115" w:type="dxa"/>
        <w:tblBorders/>
        <w:tblLayout w:type="fixed"/>
        <w:tblCellMar>
          <w:left w:w="115" w:type="dxa"/>
          <w:right w:w="115" w:type="dxa"/>
        </w:tblCellMar>
        <w:tblLook w:val="04A0" w:firstRow="1" w:lastRow="0" w:firstColumn="1" w:lastColumn="0" w:noHBand="0" w:noVBand="1"/>
      </w:tblPr>
      <w:tblGrid>
        <w:gridCol w:w="7512"/>
      </w:tblGrid>
      <w:tr>
        <w:trPr/>
        <w:tc>
          <w:tcPr>
            <w:tcBorders>
              <w:top w:val="single" w:color="000000" w:sz="4" w:space="0"/>
              <w:left w:val="single" w:color="000000" w:sz="4" w:space="0"/>
              <w:bottom w:val="single" w:color="000000" w:sz="4" w:space="0"/>
              <w:right w:val="single" w:color="000000" w:sz="4" w:space="0"/>
            </w:tcBorders>
            <w:tcW w:w="7512" w:type="dxa"/>
            <w:textDirection w:val="lrTb"/>
            <w:noWrap w:val="false"/>
          </w:tcPr>
          <w:p>
            <w:pPr>
              <w:widowControl w:val="false"/>
              <w:pBdr/>
              <w:spacing w:after="144" w:beforeAutospacing="1" w:line="276" w:lineRule="auto"/>
              <w:ind w:firstLine="0"/>
              <w:jc w:val="left"/>
              <w:rPr>
                <w:rFonts w:ascii="Times New Roman" w:hAnsi="Times New Roman" w:eastAsia="Times New Roman" w:cs="Times New Roman"/>
                <w:color w:val="000000"/>
                <w:sz w:val="20"/>
                <w:szCs w:val="20"/>
              </w:rPr>
            </w:pPr>
            <w:r>
              <w:rPr>
                <w:rFonts w:ascii="Times New Roman" w:hAnsi="Times New Roman" w:eastAsia="Times New Roman" w:cs="Times New Roman"/>
                <w:b/>
                <w:bCs/>
                <w:color w:val="000000"/>
                <w:sz w:val="20"/>
                <w:szCs w:val="20"/>
              </w:rPr>
              <w:t xml:space="preserve">5, Prov. 9, Înţelepciunea şi maturizarea, 9:9</w:t>
            </w:r>
            <w:r>
              <w:rPr>
                <w:rFonts w:ascii="Times New Roman" w:hAnsi="Times New Roman" w:eastAsia="Times New Roman" w:cs="Times New Roman"/>
                <w:color w:val="000000"/>
                <w:sz w:val="20"/>
                <w:szCs w:val="20"/>
              </w:rPr>
            </w:r>
          </w:p>
        </w:tc>
      </w:tr>
      <w:tr>
        <w:trPr>
          <w:trHeight w:val="96"/>
        </w:trPr>
        <w:tc>
          <w:tcPr>
            <w:tcBorders>
              <w:top w:val="single" w:color="000000" w:sz="4" w:space="0"/>
              <w:left w:val="single" w:color="000000" w:sz="4" w:space="0"/>
              <w:bottom w:val="single" w:color="000000" w:sz="4" w:space="0"/>
              <w:right w:val="single" w:color="000000" w:sz="4" w:space="0"/>
            </w:tcBorders>
            <w:tcW w:w="7512" w:type="dxa"/>
            <w:textDirection w:val="lrTb"/>
            <w:noWrap w:val="false"/>
          </w:tcPr>
          <w:p>
            <w:pPr>
              <w:widowControl w:val="false"/>
              <w:pBdr/>
              <w:spacing w:after="144" w:beforeAutospacing="1" w:line="96" w:lineRule="atLeast"/>
              <w:ind w:firstLine="0"/>
              <w:jc w:val="left"/>
              <w:rPr>
                <w:rFonts w:ascii="Times New Roman" w:hAnsi="Times New Roman" w:eastAsia="Times New Roman" w:cs="Times New Roman"/>
                <w:color w:val="000000"/>
                <w:sz w:val="20"/>
                <w:szCs w:val="20"/>
              </w:rPr>
            </w:pPr>
            <w:r>
              <w:rPr>
                <w:rFonts w:ascii="Times New Roman" w:hAnsi="Times New Roman" w:eastAsia="Times New Roman" w:cs="Times New Roman"/>
                <w:b/>
                <w:bCs/>
                <w:color w:val="000000"/>
                <w:sz w:val="20"/>
                <w:szCs w:val="20"/>
              </w:rPr>
              <w:t xml:space="preserve">12, Prov. 10, Înţelepciunea şi câştigurile ei, 10:16</w:t>
            </w:r>
            <w:r>
              <w:rPr>
                <w:rFonts w:ascii="Times New Roman" w:hAnsi="Times New Roman" w:eastAsia="Times New Roman" w:cs="Times New Roman"/>
                <w:color w:val="000000"/>
                <w:sz w:val="20"/>
                <w:szCs w:val="20"/>
              </w:rPr>
            </w:r>
          </w:p>
        </w:tc>
      </w:tr>
    </w:tbl>
    <w:p>
      <w:pPr>
        <w:pBdr/>
        <w:spacing/>
        <w:ind w:firstLine="0"/>
        <w:rPr>
          <w:szCs w:val="22"/>
        </w:rPr>
      </w:pPr>
      <w:r>
        <w:rPr>
          <w:szCs w:val="22"/>
        </w:rPr>
      </w:r>
      <w:r>
        <w:rPr>
          <w:szCs w:val="22"/>
        </w:rPr>
      </w:r>
    </w:p>
    <w:p>
      <w:pPr>
        <w:pBdr/>
        <w:spacing/>
        <w:ind w:firstLine="0"/>
        <w:rPr>
          <w:szCs w:val="22"/>
        </w:rPr>
      </w:pPr>
      <w:r>
        <w:rPr>
          <w:szCs w:val="22"/>
        </w:rPr>
      </w:r>
      <w:r>
        <w:rPr>
          <w:szCs w:val="22"/>
        </w:rPr>
      </w:r>
    </w:p>
    <w:p>
      <w:pPr>
        <w:pBdr/>
        <w:spacing/>
        <w:ind w:firstLine="0"/>
        <w:rPr>
          <w:szCs w:val="22"/>
        </w:rPr>
      </w:pPr>
      <w:r>
        <w:rPr>
          <w:szCs w:val="22"/>
        </w:rPr>
      </w:r>
      <w:r>
        <w:rPr>
          <w:szCs w:val="22"/>
        </w:rPr>
      </w:r>
    </w:p>
    <w:p>
      <w:pPr>
        <w:pBdr/>
        <w:spacing/>
        <w:ind w:firstLine="0"/>
        <w:rPr>
          <w:szCs w:val="22"/>
        </w:rPr>
      </w:pPr>
      <w:r>
        <w:rPr>
          <w:szCs w:val="22"/>
        </w:rPr>
      </w:r>
      <w:r>
        <w:rPr>
          <w:szCs w:val="22"/>
        </w:rPr>
      </w:r>
    </w:p>
    <w:p>
      <w:pPr>
        <w:pBdr/>
        <w:spacing w:after="0" w:line="240" w:lineRule="auto"/>
        <w:ind w:firstLine="0"/>
        <w:jc w:val="left"/>
        <w:rPr/>
      </w:pPr>
      <w:r>
        <w:br w:type="page" w:clear="all"/>
      </w:r>
      <w:r/>
    </w:p>
    <w:p>
      <w:pPr>
        <w:pStyle w:val="1213"/>
        <w:pBdr/>
        <w:spacing/>
        <w:ind w:firstLine="0"/>
        <w:rPr/>
      </w:pPr>
      <w:r/>
      <w:r/>
    </w:p>
    <w:p>
      <w:pPr>
        <w:pStyle w:val="883"/>
        <w:pBdr/>
        <w:spacing/>
        <w:ind/>
        <w:rPr/>
      </w:pPr>
      <w:r/>
      <w:bookmarkStart w:id="13" w:name="_Toc171151237"/>
      <w:r>
        <w:t xml:space="preserve">Partea 2: Studiul biblic Proverbe 1-10</w:t>
      </w:r>
      <w:bookmarkEnd w:id="13"/>
      <w:r/>
      <w:r/>
    </w:p>
    <w:p>
      <w:pPr>
        <w:pStyle w:val="884"/>
        <w:pBdr/>
        <w:spacing/>
        <w:ind/>
        <w:jc w:val="center"/>
        <w:rPr/>
      </w:pPr>
      <w:r/>
      <w:bookmarkStart w:id="14" w:name="_Toc171151238"/>
      <w:r>
        <w:t xml:space="preserve">Iulie</w:t>
      </w:r>
      <w:bookmarkEnd w:id="14"/>
      <w:r/>
      <w:r/>
    </w:p>
    <w:p>
      <w:pPr>
        <w:pStyle w:val="884"/>
        <w:pBdr/>
        <w:spacing/>
        <w:ind w:firstLine="0"/>
        <w:rPr/>
      </w:pPr>
      <w:r/>
      <w:bookmarkStart w:id="15" w:name="__RefHeading___Toc4190_2779400921"/>
      <w:r/>
      <w:bookmarkStart w:id="16" w:name="_Toc171151239"/>
      <w:r/>
      <w:bookmarkEnd w:id="15"/>
      <w:r>
        <w:t xml:space="preserve">11 iul., Proverbe 1</w:t>
      </w:r>
      <w:bookmarkStart w:id="17" w:name="__RefHeading___Toc21276_3275012411"/>
      <w:r/>
      <w:bookmarkEnd w:id="17"/>
      <w:r>
        <w:t xml:space="preserve">, Chemarea fiilor la ascultarea înțelepciunii</w:t>
      </w:r>
      <w:r>
        <w:rPr>
          <w:rFonts w:ascii="Times New Roman" w:hAnsi="Times New Roman" w:eastAsia="Times New Roman" w:cs="Times New Roman"/>
          <w:color w:val="000000"/>
          <w:sz w:val="20"/>
          <w:szCs w:val="20"/>
        </w:rPr>
        <w:t xml:space="preserve">, 1:8-9</w:t>
      </w:r>
      <w:bookmarkEnd w:id="16"/>
      <w:r/>
      <w:r/>
    </w:p>
    <w:p>
      <w:pPr>
        <w:pBdr/>
        <w:spacing/>
        <w:ind w:firstLine="0"/>
        <w:rPr/>
      </w:pPr>
      <w:r>
        <w:t xml:space="preserve">Capitolele 1-9 cuprind introducerea la cartea Proverbe, imnurile înțelepciunii și moralității, și sunt apoi urmate de începutul sfaturilor generale de viață (10).</w:t>
      </w:r>
      <w:r>
        <w:t xml:space="preserve"> În primul capitol, Solomon ne invită </w:t>
      </w:r>
      <w:r>
        <w:t xml:space="preserve">să observăm</w:t>
      </w:r>
      <w:r>
        <w:t xml:space="preserve"> trei bogații ale înțelepciunii</w:t>
      </w:r>
      <w:r>
        <w:t xml:space="preserve">, sau cele trei chemări la înțelepciune</w:t>
      </w:r>
      <w:r>
        <w:t xml:space="preserve">: </w:t>
      </w:r>
      <w:r>
        <w:t xml:space="preserve">învățarea priceperii, </w:t>
      </w:r>
      <w:r>
        <w:t xml:space="preserve">citirea Scripturii în familie, și la evitarea asocierii cu cei violenți și necredincioși</w:t>
      </w:r>
      <w:r>
        <w:t xml:space="preserve">, ca să fie oprită decăderea societății</w:t>
      </w:r>
      <w:r>
        <w:t xml:space="preserve">.</w:t>
      </w:r>
      <w:r/>
    </w:p>
    <w:p>
      <w:pPr>
        <w:pStyle w:val="885"/>
        <w:pBdr/>
        <w:spacing/>
        <w:ind/>
        <w:rPr/>
      </w:pPr>
      <w:r>
        <w:t xml:space="preserve">Invitația lui Solomon la </w:t>
      </w:r>
      <w:r>
        <w:t xml:space="preserve">învățarea înțelepciunii</w:t>
      </w:r>
      <w:r>
        <w:t xml:space="preserve"> (1-7)</w:t>
      </w:r>
      <w:r/>
    </w:p>
    <w:p>
      <w:pPr>
        <w:pBdr/>
        <w:spacing/>
        <w:ind w:firstLine="0"/>
        <w:rPr/>
      </w:pPr>
      <w:r>
        <w:t xml:space="preserve">Introducerea scrisă de Solomon ne arată de ce a adunat el și a rescris, iar alteori a compus, </w:t>
      </w:r>
      <w:r>
        <w:t xml:space="preserve">atât de multe cuvinte înțelepte.</w:t>
      </w:r>
      <w:r>
        <w:t xml:space="preserve"> Desigur, a </w:t>
      </w:r>
      <w:r>
        <w:t xml:space="preserve">dorit să le lase ca moștenire</w:t>
      </w:r>
      <w:r>
        <w:t xml:space="preserve"> ca </w:t>
      </w:r>
      <w:r>
        <w:t xml:space="preserve">pe un fel de </w:t>
      </w:r>
      <w:r>
        <w:t xml:space="preserve">manual pentru orice copil al său (fiu sau fiică) și pentru orice tânăr care dorește să progrese</w:t>
      </w:r>
      <w:r>
        <w:t xml:space="preserve">ze</w:t>
      </w:r>
      <w:r>
        <w:t xml:space="preserve">,  să se maturizare și </w:t>
      </w:r>
      <w:r>
        <w:t xml:space="preserve">care </w:t>
      </w:r>
      <w:r>
        <w:t xml:space="preserve">caută promovare în </w:t>
      </w:r>
      <w:r>
        <w:t xml:space="preserve">viață și succes</w:t>
      </w:r>
      <w:r>
        <w:t xml:space="preserve">. Acești tineri sunt în general, </w:t>
      </w:r>
      <w:r>
        <w:t xml:space="preserve">numiți </w:t>
      </w:r>
      <w:r>
        <w:t xml:space="preserve">în Proverbe, „fii” și prin acest cuvânt, Solomon se gândește la ascultători așa cum </w:t>
      </w:r>
      <w:r>
        <w:t xml:space="preserve">am spune astăzi „dragi elevi” – sau „dragi studenți”, sau „dragi c</w:t>
      </w:r>
      <w:r>
        <w:t xml:space="preserve">reștini doritori de învățătură”</w:t>
      </w:r>
      <w:r>
        <w:t xml:space="preserve">. Intenția lui Solomon pentru toți cititorii </w:t>
      </w:r>
      <w:r>
        <w:t xml:space="preserve">cărții </w:t>
      </w:r>
      <w:r>
        <w:t xml:space="preserve">Proverbelor este anunțată în versetele 1-7</w:t>
      </w:r>
      <w:r>
        <w:t xml:space="preserve"> și are șapte propoziții principale</w:t>
      </w:r>
      <w:r>
        <w:t xml:space="preserve">.</w:t>
      </w:r>
      <w:r/>
    </w:p>
    <w:p>
      <w:pPr>
        <w:pBdr/>
        <w:spacing/>
        <w:ind w:firstLine="0" w:left="720"/>
        <w:rPr/>
      </w:pPr>
      <w:r>
        <w:t xml:space="preserve">a. Să cunoască înțelepciunea lui Dumnezeu.</w:t>
      </w:r>
      <w:r/>
    </w:p>
    <w:p>
      <w:pPr>
        <w:pBdr/>
        <w:spacing/>
        <w:ind w:firstLine="0" w:left="720"/>
        <w:rPr/>
      </w:pPr>
      <w:r>
        <w:t xml:space="preserve">b. Să înțeleagă regulile comunicării înțelepte.</w:t>
      </w:r>
      <w:r/>
    </w:p>
    <w:p>
      <w:pPr>
        <w:pBdr/>
        <w:spacing/>
        <w:ind w:firstLine="0" w:left="720"/>
        <w:rPr/>
      </w:pPr>
      <w:r>
        <w:t xml:space="preserve">c. Să încurajeze educația, bunul simț, dreptatea, discernământul.</w:t>
      </w:r>
      <w:r/>
    </w:p>
    <w:p>
      <w:pPr>
        <w:pBdr/>
        <w:spacing/>
        <w:ind w:firstLine="0" w:left="720"/>
        <w:rPr/>
      </w:pPr>
      <w:r>
        <w:t xml:space="preserve">d. Să antreneze la viteză în gândire și agerime de minte.</w:t>
      </w:r>
      <w:r/>
    </w:p>
    <w:p>
      <w:pPr>
        <w:pBdr/>
        <w:spacing/>
        <w:ind w:firstLine="0" w:left="720"/>
        <w:rPr/>
      </w:pPr>
      <w:r>
        <w:t xml:space="preserve">e. Să îi ajute pe înțelepți</w:t>
      </w:r>
      <w:r>
        <w:t xml:space="preserve"> să devină mai profunzi, mai iscusiți.</w:t>
      </w:r>
      <w:r/>
    </w:p>
    <w:p>
      <w:pPr>
        <w:pBdr/>
        <w:spacing/>
        <w:ind w:firstLine="0" w:left="720"/>
        <w:rPr/>
      </w:pPr>
      <w:r>
        <w:t xml:space="preserve">f. Să încurajeze exersarea simțului critic, a evaluării.</w:t>
      </w:r>
      <w:r/>
    </w:p>
    <w:p>
      <w:pPr>
        <w:pBdr/>
        <w:spacing/>
        <w:ind w:firstLine="0" w:left="720"/>
        <w:rPr/>
      </w:pPr>
      <w:r>
        <w:t xml:space="preserve">g. Să prezinte că temelia înțelepciunii este frica de Domnul.</w:t>
      </w:r>
      <w:r/>
    </w:p>
    <w:p>
      <w:pPr>
        <w:pBdr/>
        <w:spacing/>
        <w:ind/>
        <w:rPr/>
      </w:pPr>
      <w:r/>
      <w:r/>
    </w:p>
    <w:p>
      <w:pPr>
        <w:pBdr/>
        <w:spacing/>
        <w:ind/>
        <w:rPr/>
      </w:pPr>
      <w:r>
        <w:t xml:space="preserve">Proverbele lui Solomon, atrag atenția că opusul căutării înțelepciunii și al temerii de puterea și dreptatea Domnului, poate fi numit „nebunie”. În acest sens, ce</w:t>
      </w:r>
      <w:r>
        <w:t xml:space="preserve">i</w:t>
      </w:r>
      <w:r>
        <w:t xml:space="preserve"> ce sunt conduși de asemenea nebunie nu au timp de învățătură, și nu consideră că Scriptura le poate da vreo înțelepc</w:t>
      </w:r>
      <w:r>
        <w:t xml:space="preserve">iune anume</w:t>
      </w:r>
      <w:r>
        <w:t xml:space="preserve">.</w:t>
      </w:r>
      <w:r/>
    </w:p>
    <w:p>
      <w:pPr>
        <w:pStyle w:val="885"/>
        <w:pBdr/>
        <w:spacing/>
        <w:ind/>
        <w:rPr/>
      </w:pPr>
      <w:r>
        <w:t xml:space="preserve">I</w:t>
      </w:r>
      <w:r>
        <w:t xml:space="preserve">nvitația la educație</w:t>
      </w:r>
      <w:r>
        <w:t xml:space="preserve"> </w:t>
      </w:r>
      <w:r>
        <w:t xml:space="preserve">biblică în </w:t>
      </w:r>
      <w:r>
        <w:t xml:space="preserve">familie  (8-19)</w:t>
      </w:r>
      <w:r/>
    </w:p>
    <w:p>
      <w:pPr>
        <w:pBdr/>
        <w:spacing/>
        <w:ind w:firstLine="0"/>
        <w:rPr/>
      </w:pPr>
      <w:r>
        <w:t xml:space="preserve">După introducere, începe o serie de cugetări înțelepte care se adresează „fiului” (8, 10, 14), adică unui tânăr credincios și implicit și părinților săi. V</w:t>
      </w:r>
      <w:r>
        <w:t xml:space="preserve">er</w:t>
      </w:r>
      <w:r>
        <w:t xml:space="preserve">s. 8 spune că educația în credință începe din familie: „8. Ascultă, </w:t>
      </w:r>
      <w:r>
        <w:rPr>
          <w:b/>
        </w:rPr>
        <w:t xml:space="preserve">fiule</w:t>
      </w:r>
      <w:r>
        <w:t xml:space="preserve">, învăţătura tatălui tău şi nu lepăda îndrumările mamei tale!” Dacă am asculta toți părinții de acest proverb, am vedea cu alți ochi citirea Bi</w:t>
      </w:r>
      <w:r>
        <w:t xml:space="preserve">bliei</w:t>
      </w:r>
      <w:r>
        <w:t xml:space="preserve"> în familie, discuțiile de la mamă la fiică sau de la tată la fiu, sau rugăciunea cu toată familia.</w:t>
      </w:r>
      <w:r/>
    </w:p>
    <w:p>
      <w:pPr>
        <w:pBdr/>
        <w:spacing/>
        <w:ind/>
        <w:rPr/>
      </w:pPr>
      <w:r>
        <w:t xml:space="preserve">Sfaturile bune și înțelepte ale părinților credincioși sunt asemănate cu o podoabă (cunună pe cap, lanț de aur la gât), în v.9. Nu este adevărat că înțelepciunea și bunătatea, și credința, te fac mai slab, mai lipsit de îndrăzneală</w:t>
      </w:r>
      <w:r>
        <w:t xml:space="preserve">, mai naiv</w:t>
      </w:r>
      <w:r>
        <w:t xml:space="preserve">.</w:t>
      </w:r>
      <w:r>
        <w:t xml:space="preserve"> Ele te mai fac mai puternic, </w:t>
      </w:r>
      <w:r>
        <w:t xml:space="preserve">sunt ca o podoabă, ca un accesoriu </w:t>
      </w:r>
      <w:r>
        <w:t xml:space="preserve">prețios și </w:t>
      </w:r>
      <w:r>
        <w:t xml:space="preserve">de bun gust.</w:t>
      </w:r>
      <w:r/>
    </w:p>
    <w:p>
      <w:pPr>
        <w:pBdr/>
        <w:spacing/>
        <w:ind/>
        <w:rPr/>
      </w:pPr>
      <w:r>
        <w:t xml:space="preserve"> Versetele 9-19, amintesc de 2 Timotei 3:1-9, care descrie dep</w:t>
      </w:r>
      <w:r>
        <w:t xml:space="preserve">ravarea oamenilor din vremurile din urmă și, de asemenea, de Psalmul 1. Una din trăsăturile societății contemporane este violența, agresivitatea, apariția de bande și asociații de cartier unde tinerii își găsesc identitatea. Caracteristica acestor grupuri </w:t>
      </w:r>
      <w:r>
        <w:t xml:space="preserve">este îndrăzneala, bravura, provocarea</w:t>
      </w:r>
      <w:r>
        <w:t xml:space="preserve">. Ei se laudă ca știu să acțiuneze în grup, unitar, și </w:t>
      </w:r>
      <w:r>
        <w:t xml:space="preserve">pot să pună la punct pe oricine: „Haidem să întindem curse ca să vărsăm sânge, să întindem fără temei laţuri celui nevinovat”. Lăcomia, hoția, dorința de câștig sau pur și simplu dorința de influență și violență îi fac să se poarte agresiv cu cei din jur. </w:t>
      </w:r>
      <w:r>
        <w:t xml:space="preserve">Ei promit identitate de grup și câștig la grămadă, egal. „</w:t>
      </w:r>
      <w:r>
        <w:t xml:space="preserve">Spune-mi cu cine te însoțești, ca să îți spun cine ești</w:t>
      </w:r>
      <w:r>
        <w:t xml:space="preserve">”</w:t>
      </w:r>
      <w:r>
        <w:t xml:space="preserve">, zice un proverb românesc. Asocierea cu răul duce la pierderi imense, iar Cuvântul Domnului ne învață să fim înțelepți.</w:t>
      </w:r>
      <w:r/>
    </w:p>
    <w:p>
      <w:pPr>
        <w:pStyle w:val="885"/>
        <w:pBdr/>
        <w:spacing/>
        <w:ind/>
        <w:rPr/>
      </w:pPr>
      <w:r>
        <w:t xml:space="preserve">Rugămintea de a nu ne asocia cu cei violenți și</w:t>
      </w:r>
      <w:r>
        <w:t xml:space="preserve"> ne</w:t>
      </w:r>
      <w:r>
        <w:t xml:space="preserve">drepți</w:t>
      </w:r>
      <w:r>
        <w:t xml:space="preserve"> (20-33)</w:t>
      </w:r>
      <w:r/>
    </w:p>
    <w:p>
      <w:pPr>
        <w:pBdr/>
        <w:spacing/>
        <w:ind w:firstLine="0"/>
        <w:rPr/>
      </w:pPr>
      <w:r>
        <w:t xml:space="preserve">Solomon își imaginează înțelepciunea ca pe o doamnă de mare influență, bogată,</w:t>
      </w:r>
      <w:r>
        <w:t xml:space="preserve"> aristocrată,</w:t>
      </w:r>
      <w:r>
        <w:t xml:space="preserve"> gata să îi certe pe cei neînțelepți și să îi invite pe toți la masa ei </w:t>
      </w:r>
      <w:r>
        <w:t xml:space="preserve">generoasă și îmbelșugată</w:t>
      </w:r>
      <w:r>
        <w:t xml:space="preserve">. Invitațiile ei </w:t>
      </w:r>
      <w:r>
        <w:t xml:space="preserve">la viață curată, sfântă, la familii frumoase, </w:t>
      </w:r>
      <w:r>
        <w:t xml:space="preserve">apar de două ori foarte clar în capitolele 8 și 9. Dar înainte de acele capitole, înțelepciunea are o strigare importantă, aici în capitolul 1:20-33.</w:t>
      </w:r>
      <w:r/>
    </w:p>
    <w:p>
      <w:pPr>
        <w:pBdr/>
        <w:spacing/>
        <w:ind/>
        <w:rPr/>
      </w:pPr>
      <w:r>
        <w:t xml:space="preserve">Observăm că doamna sau baroneasa Înțelepciune, </w:t>
      </w:r>
      <w:r>
        <w:t xml:space="preserve">o persoană princiară, cu autoritate, </w:t>
      </w:r>
      <w:r>
        <w:t xml:space="preserve">este prezentă în agora, adică în pi</w:t>
      </w:r>
      <w:r>
        <w:t xml:space="preserve">ețele cetății, și pe străzi, </w:t>
      </w:r>
      <w:r>
        <w:t xml:space="preserve">ac</w:t>
      </w:r>
      <w:r>
        <w:t xml:space="preserve">olo unde este zarvă și unde sunt dezbateri</w:t>
      </w:r>
      <w:r>
        <w:t xml:space="preserve"> </w:t>
      </w:r>
      <w:r>
        <w:t xml:space="preserve">și</w:t>
      </w:r>
      <w:r>
        <w:t xml:space="preserve"> vine cu </w:t>
      </w:r>
      <w:r>
        <w:t xml:space="preserve">chemările e</w:t>
      </w:r>
      <w:r>
        <w:t xml:space="preserve">i. </w:t>
      </w:r>
      <w:r>
        <w:t xml:space="preserve">Adică, </w:t>
      </w:r>
      <w:r>
        <w:t xml:space="preserve">ea se face auzită</w:t>
      </w:r>
      <w:r>
        <w:t xml:space="preserve"> în viața socială și în mass-media. </w:t>
      </w:r>
      <w:r>
        <w:t xml:space="preserve">Mai întâi, în 21-22, Înțelepciunea</w:t>
      </w:r>
      <w:r>
        <w:t xml:space="preserve"> spune lucrurilor pe nume</w:t>
      </w:r>
      <w:r>
        <w:t xml:space="preserve">. E</w:t>
      </w:r>
      <w:r>
        <w:t xml:space="preserve">a numește prostia – prostie, și batjocura – batjocură, și lipsa de știință – nebunie. Nu poți discuta despre acceptarea înțelepciunii, până </w:t>
      </w:r>
      <w:r>
        <w:t xml:space="preserve">când </w:t>
      </w:r>
      <w:r>
        <w:t xml:space="preserve">nu pui un diagnostic corect prostiei</w:t>
      </w:r>
      <w:r>
        <w:t xml:space="preserve"> și răutății</w:t>
      </w:r>
      <w:r>
        <w:t xml:space="preserve">. Relativismul de a</w:t>
      </w:r>
      <w:r>
        <w:t xml:space="preserve">zi t</w:t>
      </w:r>
      <w:r>
        <w:t xml:space="preserve">inde să șteargă </w:t>
      </w:r>
      <w:r>
        <w:t xml:space="preserve">granițele</w:t>
      </w:r>
      <w:r>
        <w:t xml:space="preserve"> între bine și rău</w:t>
      </w:r>
      <w:r>
        <w:t xml:space="preserve">. </w:t>
      </w:r>
      <w:r/>
    </w:p>
    <w:p>
      <w:pPr>
        <w:pBdr/>
        <w:spacing/>
        <w:ind/>
        <w:rPr/>
      </w:pPr>
      <w:r>
        <w:t xml:space="preserve">În al doilea rând, Înțelepciunea adoptă un ton </w:t>
      </w:r>
      <w:r>
        <w:t xml:space="preserve">de autoritate </w:t>
      </w:r>
      <w:r>
        <w:t xml:space="preserve">divin</w:t>
      </w:r>
      <w:r>
        <w:t xml:space="preserve">ă</w:t>
      </w:r>
      <w:r>
        <w:t xml:space="preserve">, și se asocia</w:t>
      </w:r>
      <w:r>
        <w:t xml:space="preserve">ză cu însuși Dumnezeu.  Astfel, ea îi ceartă și îi mustră pe cei neînțelepți, îi cheamă să toarne duhul său peste ei (v. 23). Expresiile sunt aceleași cu cele folosite de Dumnezeu în alte pasaje din Vechiul Testament, cum sunt Ezechiel 39:29, Ioel 2:28, Is</w:t>
      </w:r>
      <w:r>
        <w:t xml:space="preserve">aia 44:3. Solomon înțelege și vede că Înțelepciunea are o relație specială cu Dumnezeu. Prin înțelepciunea sa, Dumnezeu îi mustră pe oameni și le critică răzvrătirea (vv.24-25) și le promite o pedeapsă pe măsură, anume în vremea necazului nu vor fi ajutați</w:t>
      </w:r>
      <w:r>
        <w:t xml:space="preserve"> deloc</w:t>
      </w:r>
      <w:r>
        <w:t xml:space="preserve">, ci vor cădea pradă groaze</w:t>
      </w:r>
      <w:r>
        <w:t xml:space="preserve">i (vv.26-27). „Mă vor chema și nu v</w:t>
      </w:r>
      <w:r>
        <w:t xml:space="preserve">oi răspunde, mă vor căuta și nu mă vor găsi” (v. 28). Avem o mare mângâiere când vedem că Domnul spune ceva </w:t>
      </w:r>
      <w:r>
        <w:t xml:space="preserve">similar, dar pozitiv, către toți cei credincioși, în </w:t>
      </w:r>
      <w:r>
        <w:t xml:space="preserve">Ieremia 29:12-13, „12. Voi Mă veţi chema şi veţi pleca; Mă veţi ruga, şi vă voi asculta.</w:t>
      </w:r>
      <w:r>
        <w:t xml:space="preserve"> </w:t>
      </w:r>
      <w:r>
        <w:t xml:space="preserve">13. Mă veţi căuta, şi Mă veţi găsi, dacă Mă veţi căuta cu toată inima.”</w:t>
      </w:r>
      <w:r/>
    </w:p>
    <w:p>
      <w:pPr>
        <w:pBdr/>
        <w:spacing/>
        <w:ind/>
        <w:rPr>
          <w:lang w:eastAsia="en-GB"/>
        </w:rPr>
      </w:pPr>
      <w:r>
        <w:t xml:space="preserve">Cine respinge frica de Domnul, nu este înțelept, ci nebun (v.29). Cine se preface că totul este bine și liniștit, și nu ascultă de Domnul, va fi confruntat cu o catastrofă (v. 32). Parcă auzim cuvintele apostolului Pavel din 1Tes. 5:2-3</w:t>
      </w:r>
      <w:r>
        <w:rPr>
          <w:lang w:eastAsia="en-GB"/>
        </w:rPr>
        <w:t xml:space="preserve"> „Pentru că voi înşivă ştiţi foarte bine că ziua Domnului va veni ca un hoţ noaptea. Cînd vor zice:</w:t>
      </w:r>
      <w:r>
        <w:rPr>
          <w:lang w:eastAsia="en-GB"/>
        </w:rPr>
        <w:t xml:space="preserve"> „</w:t>
      </w:r>
      <w:r>
        <w:rPr>
          <w:lang w:eastAsia="en-GB"/>
        </w:rPr>
        <w:t xml:space="preserve">Pace şi linişte!” atunci o prăpădenie neaşteptată va veni peste ei, ca durerile naşterii peste femeia însărcinată, şi nu va fi chip de scăpare” (vezi și Prov. 1:32-33).</w:t>
      </w:r>
      <w:r>
        <w:rPr>
          <w:lang w:eastAsia="en-GB"/>
        </w:rPr>
        <w:t xml:space="preserve"> Să nu ne odihnim în liniștea și sigura</w:t>
      </w:r>
      <w:r>
        <w:rPr>
          <w:lang w:eastAsia="en-GB"/>
        </w:rPr>
        <w:t xml:space="preserve">nța falsă a celor necredincioși, ci să venim cu pocăință la Dumnezeu. </w:t>
      </w:r>
      <w:r>
        <w:rPr>
          <w:lang w:eastAsia="en-GB"/>
        </w:rPr>
        <w:t xml:space="preserve">Dacă ascultăm, devenim un fel de sare a Domnului în viața socială, pentru că avem alt stil de viață, care aduce binecuvântarea Domnului, și care aduce sănătate spirituală în societate.</w:t>
      </w:r>
      <w:r>
        <w:rPr>
          <w:lang w:eastAsia="en-GB"/>
        </w:rPr>
      </w:r>
    </w:p>
    <w:p>
      <w:pPr>
        <w:pBdr/>
        <w:spacing/>
        <w:ind/>
        <w:rPr>
          <w:lang w:eastAsia="en-GB"/>
        </w:rPr>
      </w:pPr>
      <w:r>
        <w:rPr>
          <w:lang w:eastAsia="en-GB"/>
        </w:rPr>
      </w:r>
      <w:r>
        <w:rPr>
          <w:lang w:eastAsia="en-GB"/>
        </w:rPr>
      </w:r>
    </w:p>
    <w:p>
      <w:pPr>
        <w:pStyle w:val="885"/>
        <w:pBdr/>
        <w:spacing/>
        <w:ind/>
        <w:rPr/>
      </w:pPr>
      <w:r>
        <w:t xml:space="preserve">Aplicații: </w:t>
      </w:r>
      <w:r/>
    </w:p>
    <w:p>
      <w:pPr>
        <w:pBdr/>
        <w:spacing/>
        <w:ind w:firstLine="0"/>
        <w:rPr/>
      </w:pPr>
      <w:r/>
      <w:r/>
    </w:p>
    <w:p>
      <w:pPr>
        <w:pBdr/>
        <w:spacing/>
        <w:ind w:firstLine="0"/>
        <w:rPr/>
      </w:pPr>
      <w:r>
        <w:t xml:space="preserve">Care sunt beneficiile omului care învață înțelepciunea lui Dumnezeu din Scriptură?</w:t>
      </w:r>
      <w:r/>
    </w:p>
    <w:p>
      <w:pPr>
        <w:pBdr/>
        <w:spacing/>
        <w:ind w:firstLine="0"/>
        <w:rPr/>
      </w:pPr>
      <w:r>
        <w:t xml:space="preserve">..................................................................................................................................................</w:t>
      </w:r>
      <w:r/>
    </w:p>
    <w:p>
      <w:pPr>
        <w:pBdr/>
        <w:spacing/>
        <w:ind w:firstLine="0"/>
        <w:rPr/>
      </w:pPr>
      <w:r>
        <w:t xml:space="preserve">..................................................................................................................................................</w:t>
      </w:r>
      <w:r/>
    </w:p>
    <w:p>
      <w:pPr>
        <w:pBdr/>
        <w:spacing/>
        <w:ind w:firstLine="0"/>
        <w:rPr/>
      </w:pPr>
      <w:r>
        <w:t xml:space="preserve">..................................................................................................................................................</w:t>
      </w:r>
      <w:r/>
    </w:p>
    <w:p>
      <w:pPr>
        <w:pBdr/>
        <w:spacing/>
        <w:ind w:firstLine="0"/>
        <w:rPr/>
      </w:pPr>
      <w:r/>
      <w:r/>
    </w:p>
    <w:p>
      <w:pPr>
        <w:pBdr/>
        <w:spacing/>
        <w:ind w:firstLine="0"/>
        <w:rPr/>
      </w:pPr>
      <w:r>
        <w:t xml:space="preserve">De citirea Bibliei în familie este importantă? De ce Solomon îi amintește pe ambii părinți în această activitate, și pe tați și pe mame?</w:t>
      </w:r>
      <w:r/>
    </w:p>
    <w:p>
      <w:pPr>
        <w:pBdr/>
        <w:spacing w:after="0" w:line="240" w:lineRule="auto"/>
        <w:ind w:firstLine="0"/>
        <w:jc w:val="left"/>
        <w:rPr/>
      </w:pPr>
      <w:r>
        <w:t xml:space="preserve">......................................................................................................................................................................................</w:t>
      </w:r>
      <w:r>
        <w:t xml:space="preserve">................................................................................................................................................................................................................................................................</w:t>
      </w:r>
      <w:r/>
    </w:p>
    <w:p>
      <w:pPr>
        <w:pBdr/>
        <w:spacing w:after="0" w:line="240" w:lineRule="auto"/>
        <w:ind w:firstLine="0"/>
        <w:jc w:val="left"/>
        <w:rPr/>
      </w:pPr>
      <w:r/>
      <w:r/>
    </w:p>
    <w:p>
      <w:pPr>
        <w:pBdr/>
        <w:spacing w:after="0" w:line="240" w:lineRule="auto"/>
        <w:ind w:firstLine="0"/>
        <w:jc w:val="left"/>
        <w:rPr/>
      </w:pPr>
      <w:r>
        <w:t xml:space="preserve">Care sunt primejdiile asocierii cu cei violenți și necredincioși? De ce Solomon îi avertizează pe tineri în această privință?</w:t>
      </w:r>
      <w:r/>
    </w:p>
    <w:p>
      <w:pPr>
        <w:pBdr/>
        <w:spacing w:after="0" w:line="240" w:lineRule="auto"/>
        <w:ind w:firstLine="0"/>
        <w:jc w:val="left"/>
        <w:rPr/>
      </w:pPr>
      <w:r>
        <w:t xml:space="preserve">......................................................................................................................................................................................</w:t>
      </w:r>
      <w:r>
        <w:t xml:space="preserve">................................................................................................................................................................................................................................................................</w:t>
      </w:r>
      <w:r>
        <w:br w:type="page" w:clear="all"/>
      </w:r>
      <w:r/>
    </w:p>
    <w:p>
      <w:pPr>
        <w:pStyle w:val="884"/>
        <w:pBdr/>
        <w:spacing/>
        <w:ind/>
        <w:rPr/>
      </w:pPr>
      <w:r/>
      <w:bookmarkStart w:id="18" w:name="_Toc171151240"/>
      <w:r>
        <w:t xml:space="preserve">18 iul., Proverbe 2, Chemarea fiilor la căutarea  înțelepciunii, 2:20</w:t>
      </w:r>
      <w:bookmarkEnd w:id="18"/>
      <w:r/>
      <w:r/>
    </w:p>
    <w:p>
      <w:pPr>
        <w:pBdr/>
        <w:spacing/>
        <w:ind w:firstLine="0"/>
        <w:rPr/>
      </w:pPr>
      <w:r>
        <w:t xml:space="preserve">Mulți credincioși știu bine ve</w:t>
      </w:r>
      <w:r>
        <w:rPr>
          <w:lang w:val="en-US"/>
        </w:rPr>
        <w:t xml:space="preserve">rsetul</w:t>
      </w:r>
      <w:r>
        <w:t xml:space="preserve">: „începutul înțelepciunii este frica de Domnul” (din Proverbe 9:10, dar vezi și 1:7, etc.).</w:t>
      </w:r>
      <w:r>
        <w:rPr>
          <w:lang w:val="en-US"/>
        </w:rPr>
        <w:t xml:space="preserve"> </w:t>
      </w:r>
      <w:r>
        <w:t xml:space="preserve"> Adevărata prețuire și ascultare de Domnul le găsești când începi să cauți înțelepciunea ca pe o comoară de mare preț, mai presus </w:t>
      </w:r>
      <w:r>
        <w:t xml:space="preserve">de toate. Într-un fel, se aseamănă cu mântuirea sau cu Împărăția cerurilor, despre care Mântuitorul Isus a spus că se compară cu o comoară ascunsă într-un ogor, sau o perlă găsită într-o piață, pentru care merită să vinzi tot ca să ajungi proprietarul ei. </w:t>
      </w:r>
      <w:r/>
    </w:p>
    <w:p>
      <w:pPr>
        <w:pStyle w:val="885"/>
        <w:pBdr/>
        <w:spacing/>
        <w:ind/>
        <w:rPr/>
      </w:pPr>
      <w:r>
        <w:t xml:space="preserve">Cele șase condiții ale căutării înțelepciunii și efectele lor</w:t>
      </w:r>
      <w:r/>
    </w:p>
    <w:p>
      <w:pPr>
        <w:pBdr/>
        <w:spacing/>
        <w:ind w:firstLine="0"/>
        <w:rPr/>
      </w:pPr>
      <w:r>
        <w:t xml:space="preserve">Se pare că lui Solomon îi plăcea gramatica și logica. Astfel, el ne descrie șase condiții ale căutării și găsirii înțelepciunii prin șase conjuncții „dacă”. Toa</w:t>
      </w:r>
      <w:r>
        <w:t xml:space="preserve">te exprimă condițiile pentur ca un fiu ascultător să ajungă înțelept. Condițiile acestea nu sunt complet independente, ele se aseamănă uneori și se completează și se explică în mod poetic una pe cealaltă, prin paralelisme caracteristice poeziei evreiești. </w:t>
      </w:r>
      <w:r/>
    </w:p>
    <w:p>
      <w:pPr>
        <w:pBdr/>
        <w:spacing/>
        <w:ind w:firstLine="709"/>
        <w:jc w:val="left"/>
        <w:rPr>
          <w:lang w:val="en-US"/>
        </w:rPr>
      </w:pPr>
      <w:r>
        <w:rPr>
          <w:lang w:val="en-US"/>
        </w:rPr>
      </w:r>
      <w:r>
        <w:rPr>
          <w:lang w:val="en-US"/>
        </w:rPr>
      </w:r>
    </w:p>
    <w:p>
      <w:pPr>
        <w:pBdr/>
        <w:spacing/>
        <w:ind w:firstLine="0" w:left="709"/>
        <w:rPr/>
      </w:pPr>
      <w:r>
        <w:t xml:space="preserve">1. </w:t>
      </w:r>
      <w:r>
        <w:rPr>
          <w:b/>
        </w:rPr>
        <w:t xml:space="preserve">Fiule</w:t>
      </w:r>
      <w:r>
        <w:t xml:space="preserve">, </w:t>
      </w:r>
      <w:r>
        <w:rPr>
          <w:b/>
          <w:bCs/>
          <w:i/>
          <w:iCs/>
        </w:rPr>
        <w:t xml:space="preserve">dacă</w:t>
      </w:r>
      <w:r>
        <w:t xml:space="preserve"> vei primi cuvintele mele, Condiția primirii cuvintelor înțelepciunii, ale Scripturii (2:1a). Primire ca primirea unei mărturii, sau a unei comori, primite și crezute. Este condiția fiului care primește învățătura tatălui, sau a mentorului. </w:t>
      </w:r>
      <w:r/>
    </w:p>
    <w:p>
      <w:pPr>
        <w:pBdr/>
        <w:spacing/>
        <w:ind w:firstLine="0" w:left="709"/>
        <w:jc w:val="left"/>
        <w:rPr/>
      </w:pPr>
      <w:r>
        <w:t xml:space="preserve">2. </w:t>
      </w:r>
      <w:r>
        <w:rPr>
          <w:b/>
          <w:bCs/>
        </w:rPr>
        <w:t xml:space="preserve">dacă</w:t>
      </w:r>
      <w:r>
        <w:t xml:space="preserve"> vei păstra cu tine învăţăturile mele,... Cuvintele Domnului trebuie păstrate  la purtător” (2:1b), folosite, păstrate ca o trusă de unelte la care poți apela în orice clipă, în orice problemă. </w:t>
      </w:r>
      <w:r/>
    </w:p>
    <w:p>
      <w:pPr>
        <w:pBdr/>
        <w:spacing/>
        <w:ind w:firstLine="0" w:left="709"/>
        <w:rPr/>
      </w:pPr>
      <w:r>
        <w:t xml:space="preserve">3. </w:t>
      </w:r>
      <w:r>
        <w:rPr>
          <w:b/>
          <w:bCs/>
        </w:rPr>
        <w:t xml:space="preserve">dacă</w:t>
      </w:r>
      <w:r>
        <w:t xml:space="preserve"> vei lua aminte la înţelepciune. Condiția de a privi cu atenție, nu superficial la adevărurile rostite de înțelepciunea lui Dumnezeu. (2:2a).</w:t>
      </w:r>
      <w:r/>
    </w:p>
    <w:p>
      <w:pPr>
        <w:pBdr/>
        <w:spacing/>
        <w:ind w:firstLine="0" w:left="709"/>
        <w:rPr/>
      </w:pPr>
      <w:r>
        <w:t xml:space="preserve">4. şi </w:t>
      </w:r>
      <w:r>
        <w:rPr>
          <w:b/>
          <w:bCs/>
        </w:rPr>
        <w:t xml:space="preserve">dacă</w:t>
      </w:r>
      <w:r>
        <w:t xml:space="preserve">-ţi vei pleca inima la pricepere; Condiți ascultării înțelepciunii Scripturii (2:2b). Dacă înțelegi, îți faci timp pentru ea, și îi dai importanța cuvenită. </w:t>
      </w:r>
      <w:r/>
    </w:p>
    <w:p>
      <w:pPr>
        <w:pBdr/>
        <w:spacing/>
        <w:ind w:firstLine="0" w:left="709"/>
        <w:rPr/>
      </w:pPr>
      <w:r>
        <w:t xml:space="preserve">5. </w:t>
      </w:r>
      <w:r>
        <w:rPr>
          <w:b/>
          <w:bCs/>
        </w:rPr>
        <w:t xml:space="preserve">dacă</w:t>
      </w:r>
      <w:r>
        <w:t xml:space="preserve"> vei cere înţelepciune şi te vei ruga pentru pricepere (2:3). Condiția rugăciunii pentru înțelepciune. Să fie atât de importantă încât să te rogi pentru ea.</w:t>
      </w:r>
      <w:r/>
    </w:p>
    <w:p>
      <w:pPr>
        <w:pBdr/>
        <w:spacing/>
        <w:ind w:firstLine="0" w:left="709"/>
        <w:rPr/>
      </w:pPr>
      <w:r>
        <w:t xml:space="preserve">6. </w:t>
      </w:r>
      <w:r>
        <w:rPr>
          <w:b/>
          <w:bCs/>
        </w:rPr>
        <w:t xml:space="preserve">dacă</w:t>
      </w:r>
      <w:r>
        <w:t xml:space="preserve"> o vei căuta ca argintul şi</w:t>
      </w:r>
      <w:r>
        <w:rPr>
          <w:lang w:val="en-US"/>
        </w:rPr>
        <w:t xml:space="preserve"> </w:t>
      </w:r>
      <w:r>
        <w:t xml:space="preserve">vei umbla după ea ca după o comoară (2:4). Căutarea înțelepciunii trebuie să fie intensă și puternic motivată, ca și cum ai căuta o comoară.</w:t>
      </w:r>
      <w:r/>
    </w:p>
    <w:p>
      <w:pPr>
        <w:pBdr/>
        <w:spacing/>
        <w:ind w:firstLine="0"/>
        <w:rPr/>
      </w:pPr>
      <w:r/>
      <w:r/>
    </w:p>
    <w:p>
      <w:pPr>
        <w:pBdr/>
        <w:spacing/>
        <w:ind w:firstLine="0"/>
        <w:rPr/>
      </w:pPr>
      <w:r>
        <w:t xml:space="preserve">Toate aceste condiții sau premize conduc la o concluzie sau la un efect major în vs. 5, „</w:t>
      </w:r>
      <w:r>
        <w:rPr>
          <w:b/>
          <w:bCs/>
        </w:rPr>
        <w:t xml:space="preserve">atunci</w:t>
      </w:r>
      <w:r>
        <w:t xml:space="preserve"> vei înţelege frica de Domnul şi vei găsi cunoştinţa lui Dumnezeu.”. Desigur, veți întreba „cum” și „de ce”, iar răspunsul este în vss. 6-8, „6. </w:t>
      </w:r>
      <w:r>
        <w:rPr>
          <w:b/>
          <w:bCs/>
        </w:rPr>
        <w:t xml:space="preserve">Căci</w:t>
      </w:r>
      <w:r>
        <w:t xml:space="preserve"> Domnul dă înţelepciune; din gura Lui iese cunoştinţă şi pricepere.</w:t>
      </w:r>
      <w:r>
        <w:t xml:space="preserve"> 7. El dă izbândă celor fără prihană, dă un scut celor ce umblă în nevinovăţie. 8. Ocroteşte cărările neprihănirii, şi păzeşte calea credincioşilor Lui.” Așadar, toate aceste condiții despre căutarea înțelepciunii se referă la căutarea lui Dumnezeu, căci E</w:t>
      </w:r>
      <w:r>
        <w:t xml:space="preserve">l este sursa înțelepciunii. Așadar, este posibilă înțelepciunea sau găsirea ei, în timp ce îl ignori pe Dumnezeu? Răspunsul este „nu este posibil”. Să ne facem timp pentru o rugăciune scurtă „Doamne, vreau să te caut și aceasta să fie centrul vieții mele”.</w:t>
      </w:r>
      <w:r/>
    </w:p>
    <w:p>
      <w:pPr>
        <w:pStyle w:val="885"/>
        <w:pBdr/>
        <w:spacing/>
        <w:ind/>
        <w:rPr/>
      </w:pPr>
      <w:r>
        <w:t xml:space="preserve">Înțelepciunea Domnului conduce la evitarea capcanelor (9-19)</w:t>
      </w:r>
      <w:r/>
    </w:p>
    <w:p>
      <w:pPr>
        <w:pBdr/>
        <w:spacing/>
        <w:ind w:firstLine="0"/>
        <w:rPr/>
      </w:pPr>
      <w:r>
        <w:t xml:space="preserve">Așadar, dacă noi căutăm înțelepciunea, adică pe Dumnezeu, avem pa</w:t>
      </w:r>
      <w:r>
        <w:t xml:space="preserve">rte de un prim efect sau rezultat: înțelegem frica de Domnul și cunoașterea de Dumnezeu (v. 5).  Există însă și un al doilea efect, înțelegerea dreptății lui Dumnezeu (9) care ne dă satisfacții sufletești (10-11) și ne scapă de capcanele păcatului (12-19).</w:t>
      </w:r>
      <w:r/>
    </w:p>
    <w:p>
      <w:pPr>
        <w:pBdr/>
        <w:spacing/>
        <w:ind w:firstLine="720"/>
        <w:rPr/>
      </w:pPr>
      <w:r>
        <w:t xml:space="preserve">Dreptatea lui Dumnezeu trebuie înțeleasă, judecățile lui și </w:t>
      </w:r>
      <w:r>
        <w:t xml:space="preserve">nepărtinirea lui. Dumnezeu dă har celui ce se pocăiește, și pedepsește pe cei mândri. Înțelepciunea care vine de la Dumnezeu este în stare să ne păzească de capcanele răutății. La ce capcane se referă aici cuvântul lui Dumnezeu? Lista se află în vs. 12-19.</w:t>
      </w:r>
      <w:r>
        <w:rPr>
          <w:lang w:val="en-US"/>
        </w:rPr>
        <w:tab/>
      </w:r>
      <w:r>
        <w:rPr>
          <w:lang w:val="en-US"/>
        </w:rPr>
        <w:tab/>
      </w:r>
      <w:r/>
    </w:p>
    <w:p>
      <w:pPr>
        <w:pBdr/>
        <w:spacing/>
        <w:ind w:firstLine="0" w:left="709"/>
        <w:rPr/>
      </w:pPr>
      <w:r>
        <w:t xml:space="preserve">A.Calea cea rea, omul cu discurs stricat, murdar (12)</w:t>
      </w:r>
      <w:r/>
    </w:p>
    <w:p>
      <w:pPr>
        <w:pBdr/>
        <w:tabs>
          <w:tab w:val="left" w:leader="none" w:pos="2477"/>
        </w:tabs>
        <w:spacing/>
        <w:ind w:firstLine="0" w:left="709"/>
        <w:rPr/>
      </w:pPr>
      <w:r>
        <w:t xml:space="preserve">B.Părăsirea drumurilor adevărului și intrarea pe drumuri de viață întunecoase (13)</w:t>
      </w:r>
      <w:r>
        <w:tab/>
      </w:r>
      <w:r/>
    </w:p>
    <w:p>
      <w:pPr>
        <w:pBdr/>
        <w:spacing/>
        <w:ind w:firstLine="0" w:left="709"/>
        <w:rPr/>
      </w:pPr>
      <w:r>
        <w:t xml:space="preserve">C.Satisfacția în înfăptuirea răului (14)</w:t>
      </w:r>
      <w:r/>
    </w:p>
    <w:p>
      <w:pPr>
        <w:pBdr/>
        <w:spacing/>
        <w:ind w:firstLine="0" w:left="709"/>
        <w:rPr/>
      </w:pPr>
      <w:r>
        <w:t xml:space="preserve">D.Trăirea în feluri sucite, ambigui, neclare (15)</w:t>
      </w:r>
      <w:r/>
    </w:p>
    <w:p>
      <w:pPr>
        <w:pBdr/>
        <w:spacing/>
        <w:ind w:firstLine="0" w:left="709"/>
        <w:rPr/>
      </w:pPr>
      <w:r>
        <w:t xml:space="preserve">E.Trăirea în adulter (16-19).</w:t>
      </w:r>
      <w:r/>
    </w:p>
    <w:p>
      <w:pPr>
        <w:pBdr/>
        <w:spacing/>
        <w:ind w:firstLine="709" w:left="709"/>
        <w:jc w:val="left"/>
        <w:rPr/>
      </w:pPr>
      <w:r/>
      <w:r/>
    </w:p>
    <w:p>
      <w:pPr>
        <w:pBdr/>
        <w:spacing/>
        <w:ind w:firstLine="0"/>
        <w:rPr/>
      </w:pPr>
      <w:r>
        <w:t xml:space="preserve">Ultima capcană este descrisă de trei versete, deci este o capcană foarte primejdioasă.  Dumnezeu pune aici sub acuzație adulterul din câteva perspective, este o ademenire spre păcat, este o părăs</w:t>
      </w:r>
      <w:r>
        <w:t xml:space="preserve">ire a iubirii adevărate a tinereții, este o părăsirea a legământului cu soțul și cu Dumnezeu, duce la moarte spirituală și fizică, duce la dezorientarea oamenilor și imposibilitatea întoarcerii, a regăsirii drumului spre îndreptare sau a cărărilor vieții. </w:t>
      </w:r>
      <w:r/>
    </w:p>
    <w:p>
      <w:pPr>
        <w:pStyle w:val="885"/>
        <w:pBdr/>
        <w:spacing/>
        <w:ind/>
        <w:rPr/>
      </w:pPr>
      <w:r>
        <w:t xml:space="preserve">Beneficiile căutării înțelepciunii (20-22)</w:t>
      </w:r>
      <w:r/>
    </w:p>
    <w:p>
      <w:pPr>
        <w:pBdr/>
        <w:spacing/>
        <w:ind w:firstLine="0"/>
        <w:rPr/>
      </w:pPr>
      <w:r>
        <w:t xml:space="preserve">În concluzie, al doilea capitol din Proverbe, îl încurajează pe tânărul credincios să trăiască în căile oamenilor drepți, a oamenilor „de bine” adică, a oamenilor</w:t>
      </w:r>
      <w:r>
        <w:t xml:space="preserve"> buni (v.20). Ei vor primi binecuvântări de durată și vor locui țara, nu cei răi, adulteri, nedrepți. Aceia vor cunoaște nimicirea. Într-un fel, aici ne întâlnim cu a treia fericire, cea din Matei 5:5, „ferice de cei blânzi, căci ei vor moșteni pământul!”.</w:t>
      </w:r>
      <w:r/>
    </w:p>
    <w:p>
      <w:pPr>
        <w:pBdr/>
        <w:spacing/>
        <w:ind w:firstLine="720"/>
        <w:rPr/>
      </w:pPr>
      <w:r>
        <w:t xml:space="preserve">Durabilitate și binecuvântare vor primi, așadar, tinerii („fiii”) care caută înțelepciunea ca pe o comoară de preț a Domnului</w:t>
      </w:r>
      <w:r>
        <w:t xml:space="preserve">, a acelora care caută credința în Domnul. Nu există altfel de leadership de succes decât acesta. Restul tipurilor de conducere se numesc dictatură, lăcomie, lipsă de orientare etică și veșnică. Un succes care seamănă mai degrabă cu eșecul întregii vieți. </w:t>
      </w:r>
      <w:r/>
    </w:p>
    <w:p>
      <w:pPr>
        <w:pStyle w:val="885"/>
        <w:pBdr/>
        <w:spacing/>
        <w:ind/>
        <w:rPr/>
      </w:pPr>
      <w:r>
        <w:t xml:space="preserve">Aplicații:</w:t>
      </w:r>
      <w:r/>
    </w:p>
    <w:p>
      <w:pPr>
        <w:pBdr/>
        <w:spacing/>
        <w:ind w:firstLine="0"/>
        <w:rPr/>
      </w:pPr>
      <w:r>
        <w:t xml:space="preserve">Care sunt cele șase condiții ale căutării înțelepciunii?</w:t>
      </w:r>
      <w:r/>
    </w:p>
    <w:p>
      <w:pPr>
        <w:pBdr/>
        <w:spacing/>
        <w:ind w:firstLine="0"/>
        <w:rPr/>
      </w:pPr>
      <w:r>
        <w:t xml:space="preserve">..................................................................................................................................................</w:t>
      </w:r>
      <w:r/>
    </w:p>
    <w:p>
      <w:pPr>
        <w:pBdr/>
        <w:spacing/>
        <w:ind w:firstLine="0"/>
        <w:rPr/>
      </w:pPr>
      <w:r>
        <w:t xml:space="preserve">..................................................................................................................................................</w:t>
      </w:r>
      <w:r/>
    </w:p>
    <w:p>
      <w:pPr>
        <w:pBdr/>
        <w:spacing/>
        <w:ind w:firstLine="0"/>
        <w:rPr/>
      </w:pPr>
      <w:r>
        <w:t xml:space="preserve">..................................................................................................................................................</w:t>
      </w:r>
      <w:r/>
    </w:p>
    <w:p>
      <w:pPr>
        <w:pBdr/>
        <w:spacing/>
        <w:ind w:firstLine="0"/>
        <w:rPr/>
      </w:pPr>
      <w:r/>
      <w:r/>
    </w:p>
    <w:p>
      <w:pPr>
        <w:pBdr/>
        <w:spacing/>
        <w:ind w:firstLine="0"/>
        <w:rPr/>
      </w:pPr>
      <w:r>
        <w:t xml:space="preserve">Care sunt capcanele nebuniei și neascultării și păcatele pe care Dumnezeu le urăște și le judecă?</w:t>
      </w:r>
      <w:r/>
    </w:p>
    <w:p>
      <w:pPr>
        <w:pBdr/>
        <w:spacing/>
        <w:ind w:firstLine="0"/>
        <w:rPr/>
      </w:pPr>
      <w:r>
        <w:t xml:space="preserve">..................................................................................................................................................</w:t>
      </w:r>
      <w:r/>
    </w:p>
    <w:p>
      <w:pPr>
        <w:pBdr/>
        <w:spacing/>
        <w:ind w:firstLine="0"/>
        <w:rPr/>
      </w:pPr>
      <w:r>
        <w:t xml:space="preserve">..................................................................................................................................................</w:t>
      </w:r>
      <w:r/>
    </w:p>
    <w:p>
      <w:pPr>
        <w:pBdr/>
        <w:spacing/>
        <w:ind w:firstLine="0"/>
        <w:rPr/>
      </w:pPr>
      <w:r>
        <w:t xml:space="preserve">..................................................................................................................................................</w:t>
      </w:r>
      <w:r/>
    </w:p>
    <w:p>
      <w:pPr>
        <w:pBdr/>
        <w:spacing w:after="0" w:line="240" w:lineRule="auto"/>
        <w:ind w:firstLine="0"/>
        <w:jc w:val="left"/>
        <w:rPr/>
      </w:pPr>
      <w:r>
        <w:t xml:space="preserve">Care sunt beneficiile înțelepciunii, așa cum sunt prezentate în capitolul 2?</w:t>
      </w:r>
      <w:r/>
    </w:p>
    <w:p>
      <w:pPr>
        <w:pBdr/>
        <w:spacing w:after="0" w:line="240" w:lineRule="auto"/>
        <w:ind w:firstLine="0"/>
        <w:jc w:val="left"/>
        <w:rPr/>
      </w:pPr>
      <w:r/>
      <w:r/>
    </w:p>
    <w:p>
      <w:pPr>
        <w:pBdr/>
        <w:spacing/>
        <w:ind w:firstLine="0"/>
        <w:rPr/>
      </w:pPr>
      <w:r>
        <w:t xml:space="preserve">..................................................................................................................................................</w:t>
      </w:r>
      <w:r/>
    </w:p>
    <w:p>
      <w:pPr>
        <w:pBdr/>
        <w:spacing/>
        <w:ind w:firstLine="0"/>
        <w:rPr/>
      </w:pPr>
      <w:r>
        <w:t xml:space="preserve">..................................................................................................................................................</w:t>
      </w:r>
      <w:r/>
    </w:p>
    <w:p>
      <w:pPr>
        <w:pBdr/>
        <w:spacing/>
        <w:ind w:firstLine="0"/>
        <w:rPr/>
      </w:pPr>
      <w:r>
        <w:t xml:space="preserve">..................................................................................................................................................</w:t>
      </w:r>
      <w:r/>
    </w:p>
    <w:p>
      <w:pPr>
        <w:pBdr/>
        <w:spacing w:after="0" w:line="240" w:lineRule="auto"/>
        <w:ind w:firstLine="0"/>
        <w:jc w:val="left"/>
        <w:rPr/>
      </w:pPr>
      <w:r/>
      <w:r/>
    </w:p>
    <w:p>
      <w:pPr>
        <w:pBdr/>
        <w:spacing w:after="0" w:line="240" w:lineRule="auto"/>
        <w:ind w:firstLine="0"/>
        <w:jc w:val="left"/>
        <w:rPr/>
      </w:pPr>
      <w:r>
        <w:br w:type="page" w:clear="all"/>
      </w:r>
      <w:r/>
    </w:p>
    <w:p>
      <w:pPr>
        <w:pStyle w:val="884"/>
        <w:pBdr/>
        <w:spacing/>
        <w:ind w:firstLine="0"/>
        <w:rPr/>
      </w:pPr>
      <w:r/>
      <w:bookmarkStart w:id="19" w:name="_Toc171151241"/>
      <w:r>
        <w:t xml:space="preserve">25 iul., Prover</w:t>
      </w:r>
      <w:r>
        <w:rPr>
          <w:rFonts w:eastAsia="Gentium" w:cs="Gentium"/>
        </w:rPr>
        <w:t xml:space="preserve">be 3, </w:t>
      </w:r>
      <w:r>
        <w:rPr>
          <w:rFonts w:eastAsia="Gentium" w:cs="Gentium"/>
          <w:color w:val="000000"/>
        </w:rPr>
        <w:t xml:space="preserve">Chemarea fiilor la practicarea înţelepciunii, 3:7-8</w:t>
      </w:r>
      <w:bookmarkEnd w:id="19"/>
      <w:r/>
      <w:r/>
    </w:p>
    <w:p>
      <w:pPr>
        <w:pBdr/>
        <w:spacing/>
        <w:ind w:firstLine="0"/>
        <w:rPr/>
      </w:pPr>
      <w:r>
        <w:rPr>
          <w:lang w:val="en-US"/>
        </w:rPr>
        <w:t xml:space="preserve">Proverbe</w:t>
      </w:r>
      <w:r>
        <w:rPr>
          <w:lang w:val="en-US"/>
        </w:rPr>
        <w:t xml:space="preserve"> 3 începe </w:t>
      </w:r>
      <w:r>
        <w:t xml:space="preserve">tot </w:t>
      </w:r>
      <w:r>
        <w:rPr>
          <w:lang w:val="en-US"/>
        </w:rPr>
        <w:t xml:space="preserve">cu o chemare a </w:t>
      </w:r>
      <w:r>
        <w:t xml:space="preserve">„fiului” </w:t>
      </w:r>
      <w:r>
        <w:t xml:space="preserve">la o viață înțeleaptă </w:t>
      </w:r>
      <w:r>
        <w:t xml:space="preserve">(</w:t>
      </w:r>
      <w:r>
        <w:t xml:space="preserve">prin „fiu” autorul se referă la </w:t>
      </w:r>
      <w:r>
        <w:t xml:space="preserve">cititorul credincios, </w:t>
      </w:r>
      <w:r>
        <w:t xml:space="preserve">la </w:t>
      </w:r>
      <w:r>
        <w:t xml:space="preserve">tânărul student, liderul în formare</w:t>
      </w:r>
      <w:r>
        <w:t xml:space="preserve">, sau la credinciosul doritor de și mai multă înțelepciune</w:t>
      </w:r>
      <w:r>
        <w:t xml:space="preserve">)</w:t>
      </w:r>
      <w:r>
        <w:t xml:space="preserve">.</w:t>
      </w:r>
      <w:r>
        <w:t xml:space="preserve"> Chemarea apare în 3:1 („Fiule</w:t>
      </w:r>
      <w:r>
        <w:t xml:space="preserve">, nu uita învățăturile mele”),</w:t>
      </w:r>
      <w:r>
        <w:t xml:space="preserve"> în 3:11 („Fiule, nu disprețui mustrarea Domnului”), precum și în 3:21 („fiule, să nu se îndepărteze învățăturile acestea de ochii tăi”). Prima </w:t>
      </w:r>
      <w:r>
        <w:t xml:space="preserve">două chemări ne</w:t>
      </w:r>
      <w:r>
        <w:t xml:space="preserve"> aduc aminte de psalmii lui David, tatăl lui Solomon, iar a treia chemare aduce aminte de Epistola către Evrei 12, unde se dau sfaturi asemănătoare ca omul credincios să fie perseverent</w:t>
      </w:r>
      <w:r>
        <w:t xml:space="preserve"> și </w:t>
      </w:r>
      <w:r>
        <w:t xml:space="preserve">să nu își piardă curajul dacă Domnul îl mustră. </w:t>
      </w:r>
      <w:r>
        <w:t xml:space="preserve"> </w:t>
      </w:r>
      <w:r>
        <w:t xml:space="preserve">C</w:t>
      </w:r>
      <w:r>
        <w:t xml:space="preserve">urajul în credință, chiar prin încercări, apare clar și în cărțile profetului Ieremia (Ieremia și Plângerile lui Ieremia). </w:t>
      </w:r>
      <w:r/>
    </w:p>
    <w:p>
      <w:pPr>
        <w:pStyle w:val="885"/>
        <w:pBdr/>
        <w:spacing/>
        <w:ind/>
        <w:rPr/>
      </w:pPr>
      <w:r>
        <w:t xml:space="preserve">Chemarea la înțelepciune și credință (1-10)</w:t>
      </w:r>
      <w:r/>
    </w:p>
    <w:p>
      <w:pPr>
        <w:pStyle w:val="886"/>
        <w:pBdr/>
        <w:spacing/>
        <w:ind/>
        <w:rPr/>
      </w:pPr>
      <w:r>
        <w:t xml:space="preserve">C</w:t>
      </w:r>
      <w:r>
        <w:t xml:space="preserve">hemarea la </w:t>
      </w:r>
      <w:r>
        <w:t xml:space="preserve">primirea și alipirea de  înțelepciune</w:t>
      </w:r>
      <w:r>
        <w:t xml:space="preserve"> </w:t>
      </w:r>
      <w:r>
        <w:t xml:space="preserve">(1-3)</w:t>
      </w:r>
      <w:r/>
    </w:p>
    <w:p>
      <w:pPr>
        <w:pBdr/>
        <w:spacing/>
        <w:ind w:firstLine="0"/>
        <w:rPr/>
      </w:pPr>
      <w:r>
        <w:t xml:space="preserve">Dacă învățăm poruncile</w:t>
      </w:r>
      <w:r>
        <w:t xml:space="preserve"> Domnului și </w:t>
      </w:r>
      <w:r>
        <w:t xml:space="preserve">le memorizăm</w:t>
      </w:r>
      <w:r>
        <w:t xml:space="preserve"> („nu uita” și „păstrează în inimă”) </w:t>
      </w:r>
      <w:r>
        <w:t xml:space="preserve">ne alipim mai tare de credință</w:t>
      </w:r>
      <w:r>
        <w:t xml:space="preserve"> (v. 1). Ascultarea duce la o viață lungă și </w:t>
      </w:r>
      <w:r>
        <w:t xml:space="preserve">bogată în pace</w:t>
      </w:r>
      <w:r>
        <w:t xml:space="preserve"> (prima poruncă răsplătită cu viață lungă este ascultarea de părinți, iar aici o găsim pe a doua: învățarea înțelepciunii lui Dumnezeu, v. 2). </w:t>
      </w:r>
      <w:r>
        <w:t xml:space="preserve">Cum încearcă Solomon să ne învite la învațarea </w:t>
      </w:r>
      <w:r>
        <w:t xml:space="preserve">înțelepciunii</w:t>
      </w:r>
      <w:r>
        <w:t xml:space="preserve">? El se gândește la mai multe imagini:</w:t>
      </w:r>
      <w:r>
        <w:t xml:space="preserve"> leagă-ți poruncile la gât, scrie-le pe tăblița inimii (</w:t>
      </w:r>
      <w:r>
        <w:t xml:space="preserve">am putea completa și noi: </w:t>
      </w:r>
      <w:r>
        <w:t xml:space="preserve">notează-le pe telefon și pe tableta personală, pune-le în agenda ta zilnică</w:t>
      </w:r>
      <w:r>
        <w:t xml:space="preserve">, etc.</w:t>
      </w:r>
      <w:r>
        <w:t xml:space="preserve">). Răsplătirile </w:t>
      </w:r>
      <w:r>
        <w:t xml:space="preserve">acestei chemări </w:t>
      </w:r>
      <w:r>
        <w:t xml:space="preserve">sunt mari: d</w:t>
      </w:r>
      <w:r>
        <w:t xml:space="preserve">evii un om bun și credincios, obții minte sănătoase și reacții pozitive de la oameni și de la Dumnezeu. (v.3-4). Într-un fel, căutarea înțelepciunii în acești termeni biblici este o cale foarte solidă, o opțiune foarte serioasă pentru dezvoltare personală.</w:t>
      </w:r>
      <w:r/>
    </w:p>
    <w:p>
      <w:pPr>
        <w:pStyle w:val="886"/>
        <w:pBdr/>
        <w:spacing/>
        <w:ind/>
        <w:rPr/>
      </w:pPr>
      <w:r>
        <w:t xml:space="preserve">C</w:t>
      </w:r>
      <w:r>
        <w:t xml:space="preserve">hemarea la </w:t>
      </w:r>
      <w:r>
        <w:t xml:space="preserve">credință </w:t>
      </w:r>
      <w:r>
        <w:rPr>
          <w:rFonts w:ascii="Cambria Math" w:hAnsi="Cambria Math"/>
        </w:rPr>
        <w:t xml:space="preserve">ș</w:t>
      </w:r>
      <w:r>
        <w:t xml:space="preserve">i echilibru în evaluarea personală (5-8)</w:t>
      </w:r>
      <w:r/>
    </w:p>
    <w:p>
      <w:pPr>
        <w:pBdr/>
        <w:spacing/>
        <w:ind w:firstLine="0"/>
        <w:rPr/>
      </w:pPr>
      <w:r>
        <w:t xml:space="preserve">Sfaturile lui </w:t>
      </w:r>
      <w:r>
        <w:t xml:space="preserve">Solomon </w:t>
      </w:r>
      <w:r>
        <w:t xml:space="preserve">devin foarte practice. Cuvântul lui Dumnezeu ne invită să îi recunoaștem autoritatea și prioritatea în toate lucrurile. Versetele 5-7 sunt de o </w:t>
      </w:r>
      <w:r>
        <w:t xml:space="preserve">mare </w:t>
      </w:r>
      <w:r>
        <w:t xml:space="preserve">frumusețe </w:t>
      </w:r>
      <w:r>
        <w:t xml:space="preserve">și foarte bine cunoscute:</w:t>
      </w:r>
      <w:r>
        <w:t xml:space="preserve"> „5. Încrede-te în Domnul din toată inima ta şi nu te b</w:t>
      </w:r>
      <w:r>
        <w:t xml:space="preserve">izui pe înţelepciunea ta! 6. Recunoaşte-L în toate căile tale, şi El îţi va netezi cărările. 7. Nu te socoti singur înţelept; teme-te de Domnul şi abate-te de la rău!” Se apropie parcă și de Iacov 1:5-6, „5. Dacă vreunuia dintre voi îi lipseşte înţelepciun</w:t>
      </w:r>
      <w:r>
        <w:t xml:space="preserve">ea, s-o ceară de la Dumnezeu, care dă tuturor cu mână largă şi fără mustrare, şi ea îi va fi dată. 6. Dar s-o ceară cu credinţă, fără să se îndoiască deloc: pentru că cine se îndoieşte seamănă cu valul mării, tulburat şi împins de vânt încoace şi încolo.” </w:t>
      </w:r>
      <w:r/>
    </w:p>
    <w:p>
      <w:pPr>
        <w:pBdr/>
        <w:spacing/>
        <w:ind w:firstLine="720"/>
        <w:rPr/>
      </w:pPr>
      <w:r>
        <w:t xml:space="preserve">Fă o pauză și roagă-te </w:t>
      </w:r>
      <w:r>
        <w:t xml:space="preserve">pentru înțelepciune, chiar</w:t>
      </w:r>
      <w:r>
        <w:t xml:space="preserve"> acum! Rezultatele pe care le anunță Scriptura pentru o astfel de atitudine sunt „sănătate în trup” și „prospețime în oase” (v. 8). Încrederea în Dumnezeu are efecte fizice, somatice.  </w:t>
      </w:r>
      <w:r/>
    </w:p>
    <w:p>
      <w:pPr>
        <w:pStyle w:val="886"/>
        <w:pBdr/>
        <w:spacing/>
        <w:ind/>
        <w:rPr/>
      </w:pPr>
      <w:r>
        <w:t xml:space="preserve">Chemarea la închinare fa</w:t>
      </w:r>
      <w:r>
        <w:rPr>
          <w:rFonts w:ascii="Cambria Math" w:hAnsi="Cambria Math"/>
        </w:rPr>
        <w:t xml:space="preserve">ț</w:t>
      </w:r>
      <w:r>
        <w:t xml:space="preserve">ă de Domnul prin dărnicie (9-10)</w:t>
      </w:r>
      <w:r/>
    </w:p>
    <w:p>
      <w:pPr>
        <w:pBdr/>
        <w:spacing/>
        <w:ind w:firstLine="0"/>
        <w:rPr/>
      </w:pPr>
      <w:r>
        <w:t xml:space="preserve">Înțelepciunea ne invită</w:t>
      </w:r>
      <w:r>
        <w:t xml:space="preserve"> să fim recunoscători lui Dumnezeu și să îl onorăm prin dărnicia noastră. </w:t>
      </w:r>
      <w:r>
        <w:t xml:space="preserve">Dărnicia este un semne de</w:t>
      </w:r>
      <w:r>
        <w:t xml:space="preserve"> cinstire</w:t>
      </w:r>
      <w:r>
        <w:t xml:space="preserve"> a Domnului, dar și </w:t>
      </w:r>
      <w:r>
        <w:t xml:space="preserve">o formă de închinare. Solomon ne </w:t>
      </w:r>
      <w:r>
        <w:t xml:space="preserve">invită</w:t>
      </w:r>
      <w:r>
        <w:t xml:space="preserve"> să îl onorăm pe Domnul cu averile noastre și să îl cinstim cu primele roade sau venituri din toate câștigurile. </w:t>
      </w:r>
      <w:r/>
    </w:p>
    <w:p>
      <w:pPr>
        <w:pBdr/>
        <w:spacing/>
        <w:ind w:firstLine="720"/>
        <w:rPr/>
      </w:pPr>
      <w:r>
        <w:t xml:space="preserve">Solomon nu numește aceste forme de dărnicie pr</w:t>
      </w:r>
      <w:r>
        <w:t xml:space="preserve">in cuvântul „zeciuială”. Aici nu vorbim de datorii religioase exprimate prin Legea de pe Sinai. Este vorba de o atitudine de mulțumire a inimii noastre față de Domnul. Generozitatea dărniciei este răsplătită de Dumnezeu prin binecuvântări și belșug (9-10).</w:t>
      </w:r>
      <w:r/>
    </w:p>
    <w:p>
      <w:pPr>
        <w:pStyle w:val="885"/>
        <w:pBdr/>
        <w:spacing/>
        <w:ind/>
        <w:rPr/>
      </w:pPr>
      <w:r>
        <w:t xml:space="preserve">Chemarea l</w:t>
      </w:r>
      <w:r>
        <w:t xml:space="preserve">a curaj și credință în dificultăți</w:t>
      </w:r>
      <w:r>
        <w:t xml:space="preserve"> (11-20)</w:t>
      </w:r>
      <w:r/>
    </w:p>
    <w:p>
      <w:pPr>
        <w:pStyle w:val="886"/>
        <w:pBdr/>
        <w:spacing/>
        <w:ind/>
        <w:rPr/>
      </w:pPr>
      <w:r>
        <w:t xml:space="preserve">Acceptă mustrarea Domnului (11-12)</w:t>
      </w:r>
      <w:r/>
    </w:p>
    <w:p>
      <w:pPr>
        <w:pBdr/>
        <w:spacing/>
        <w:ind w:firstLine="0"/>
        <w:rPr/>
      </w:pPr>
      <w:r>
        <w:t xml:space="preserve">A treia chemare a </w:t>
      </w:r>
      <w:r>
        <w:t xml:space="preserve">studentului la facultatea </w:t>
      </w:r>
      <w:r>
        <w:t xml:space="preserve">vieții, adică a „fiului”, este chemarea </w:t>
      </w:r>
      <w:r>
        <w:t xml:space="preserve">la a fi atent la</w:t>
      </w:r>
      <w:r>
        <w:t xml:space="preserve"> mustrările Domnului. Versetele 11-12 le găsim citate în Evrei 12:5-11. </w:t>
      </w:r>
      <w:r/>
    </w:p>
    <w:p>
      <w:pPr>
        <w:pBdr/>
        <w:spacing/>
        <w:ind w:firstLine="720"/>
        <w:rPr/>
      </w:pPr>
      <w:r>
        <w:t xml:space="preserve">Domnul nu doar ne sfătuiește cum să trăim, prin Sfânta Scriptură, dar ne poate și mustra. El are la dispoziție multe mijloace pentru a ne certa atunci când greșim. </w:t>
      </w:r>
      <w:r>
        <w:t xml:space="preserve">Mustrarea poate lua diverse forme: o</w:t>
      </w:r>
      <w:r>
        <w:t xml:space="preserve"> ușă închisă, un insucces sau un eșec, un faliment, sau poate o problemă de sănătate, un conflict nou sau unul vechi care </w:t>
      </w:r>
      <w:r>
        <w:t xml:space="preserve">se reaprinde</w:t>
      </w:r>
      <w:r>
        <w:t xml:space="preserve">. </w:t>
      </w:r>
      <w:r>
        <w:t xml:space="preserve"> </w:t>
      </w:r>
      <w:r>
        <w:t xml:space="preserve">Reacția normală ar fi să te descurajezi, sau și mai rău, să nu iei în seamă atenționările</w:t>
      </w:r>
      <w:r>
        <w:t xml:space="preserve">.</w:t>
      </w:r>
      <w:r>
        <w:t xml:space="preserve"> De aceea, Solomon spune „nu disprețui mustrarea Domnului şi nu te mâhni de pedepsele Lui.” (v. 11). Oare se poate ca în spatele unei certări sau al unui eșec să stea dragostea lui Dumnezeu pentru noi, totuși?</w:t>
      </w:r>
      <w:r>
        <w:t xml:space="preserve"> Iată o întrebare care merită pusă.</w:t>
      </w:r>
      <w:r>
        <w:t xml:space="preserve"> Un părinte care își iubește copilul îl pedepsește pentru ca acesta să se îndrepte. Cum este relația noastră cu Dumnezeu în timpul unor dificultăți sau necazuri în care observăm că suntem mustrați de El?</w:t>
      </w:r>
      <w:r>
        <w:tab/>
      </w:r>
      <w:r/>
    </w:p>
    <w:p>
      <w:pPr>
        <w:pStyle w:val="886"/>
        <w:pBdr/>
        <w:spacing/>
        <w:ind/>
        <w:rPr/>
      </w:pPr>
      <w:r>
        <w:t xml:space="preserve">Concluzii asupra răsplătirilor aduse de în</w:t>
      </w:r>
      <w:r>
        <w:rPr>
          <w:rFonts w:ascii="Cambria Math" w:hAnsi="Cambria Math"/>
        </w:rPr>
        <w:t xml:space="preserve">ț</w:t>
      </w:r>
      <w:r>
        <w:t xml:space="preserve">elepciune (13-18) </w:t>
      </w:r>
      <w:r/>
    </w:p>
    <w:p>
      <w:pPr>
        <w:pBdr/>
        <w:spacing/>
        <w:ind w:firstLine="0"/>
        <w:rPr/>
      </w:pPr>
      <w:r>
        <w:t xml:space="preserve">Solomon îl declară „fericit”, pe omul care devine înțelept (v. 13). Câștigul înțelepciunii este mai de preț decât câștigul financiar sau </w:t>
      </w:r>
      <w:r>
        <w:t xml:space="preserve">decât </w:t>
      </w:r>
      <w:r>
        <w:t xml:space="preserve">un cont la bancă. Ea aduce viață și faimă bună (v.16), și glorie cerească. Ea rodește în continuu în viața celui înțelept, așa cum un pom fructifer aduce mereu roadă, la vremea potrivită. Ea aduce fericire și relații pașnice (17-18).</w:t>
      </w:r>
      <w:r/>
    </w:p>
    <w:p>
      <w:pPr>
        <w:pStyle w:val="886"/>
        <w:pBdr/>
        <w:spacing/>
        <w:ind/>
        <w:rPr/>
      </w:pPr>
      <w:r>
        <w:t xml:space="preserve">Domnul </w:t>
      </w:r>
      <w:r>
        <w:rPr>
          <w:rFonts w:ascii="Cambria Math" w:hAnsi="Cambria Math"/>
        </w:rPr>
        <w:t xml:space="preserve">ș</w:t>
      </w:r>
      <w:r>
        <w:t xml:space="preserve">i puterea în</w:t>
      </w:r>
      <w:r>
        <w:rPr>
          <w:rFonts w:ascii="Cambria Math" w:hAnsi="Cambria Math"/>
        </w:rPr>
        <w:t xml:space="preserve">ț</w:t>
      </w:r>
      <w:r>
        <w:t xml:space="preserve">elepciunii în crea</w:t>
      </w:r>
      <w:r>
        <w:rPr>
          <w:rFonts w:ascii="Cambria Math" w:hAnsi="Cambria Math"/>
        </w:rPr>
        <w:t xml:space="preserve">ț</w:t>
      </w:r>
      <w:r>
        <w:t xml:space="preserve">ie (19-20)</w:t>
      </w:r>
      <w:r/>
    </w:p>
    <w:p>
      <w:pPr>
        <w:pBdr/>
        <w:spacing/>
        <w:ind w:firstLine="0"/>
        <w:rPr/>
      </w:pPr>
      <w:r>
        <w:t xml:space="preserve">În finalul cele de a treia chemări, Solomon atrage atenția că pământul și întregul univers au fost create de Dumnezeu cu înțelepciune și pricepere. El amintește de </w:t>
      </w:r>
      <w:r>
        <w:t xml:space="preserve">stabilitatea pământului și a cerurilor, de mișcările apei în natură</w:t>
      </w:r>
      <w:r>
        <w:t xml:space="preserve"> (mări, nori, rouă, etc.). Într-un fel, dacă cineva este înțelept nu face decât să adopte valorile lui Dumnezeu, care pe toate le face în mod foarte înțelept și priceput</w:t>
      </w:r>
      <w:r>
        <w:t xml:space="preserve">, și foarte stabil</w:t>
      </w:r>
      <w:r>
        <w:t xml:space="preserve">. Înțelepciunea este un mod prin care </w:t>
      </w:r>
      <w:r>
        <w:t xml:space="preserve">Dumnezeu ne transmite</w:t>
      </w:r>
      <w:r>
        <w:t xml:space="preserve"> standardele </w:t>
      </w:r>
      <w:r>
        <w:t xml:space="preserve">sale.</w:t>
      </w:r>
      <w:r/>
    </w:p>
    <w:p>
      <w:pPr>
        <w:pStyle w:val="885"/>
        <w:pBdr/>
        <w:spacing/>
        <w:ind/>
        <w:rPr/>
      </w:pPr>
      <w:r>
        <w:t xml:space="preserve">Chemarea la înțelepciune</w:t>
      </w:r>
      <w:r>
        <w:t xml:space="preserve"> și perseverenț</w:t>
      </w:r>
      <w:r>
        <w:t xml:space="preserve">ă în bine</w:t>
      </w:r>
      <w:r>
        <w:t xml:space="preserve">  (21-34)</w:t>
      </w:r>
      <w:r/>
    </w:p>
    <w:p>
      <w:pPr>
        <w:pStyle w:val="886"/>
        <w:pBdr/>
        <w:spacing/>
        <w:ind/>
        <w:rPr/>
      </w:pPr>
      <w:r>
        <w:t xml:space="preserve">În</w:t>
      </w:r>
      <w:r>
        <w:rPr>
          <w:rFonts w:ascii="Cambria Math" w:hAnsi="Cambria Math"/>
        </w:rPr>
        <w:t xml:space="preserve">ț</w:t>
      </w:r>
      <w:r>
        <w:t xml:space="preserve">elepciunea aduce </w:t>
      </w:r>
      <w:r>
        <w:t xml:space="preserve">o stare de </w:t>
      </w:r>
      <w:r>
        <w:t xml:space="preserve">siguran</w:t>
      </w:r>
      <w:r>
        <w:rPr>
          <w:rFonts w:ascii="Cambria Math" w:hAnsi="Cambria Math"/>
        </w:rPr>
        <w:t xml:space="preserve">ț</w:t>
      </w:r>
      <w:r>
        <w:t xml:space="preserve">ă (21-26)</w:t>
      </w:r>
      <w:r/>
    </w:p>
    <w:p>
      <w:pPr>
        <w:pBdr/>
        <w:spacing/>
        <w:ind w:firstLine="0"/>
        <w:rPr/>
      </w:pPr>
      <w:r>
        <w:t xml:space="preserve">A </w:t>
      </w:r>
      <w:r>
        <w:t xml:space="preserve">treia</w:t>
      </w:r>
      <w:r>
        <w:t xml:space="preserve"> chemare la î</w:t>
      </w:r>
      <w:r>
        <w:t xml:space="preserve">nțelepciune, este o pledoarie pentru</w:t>
      </w:r>
      <w:r>
        <w:t xml:space="preserve"> alipirea de înțelepciune, căci</w:t>
      </w:r>
      <w:r>
        <w:t xml:space="preserve"> ea aduce răsplătiri importante</w:t>
      </w:r>
      <w:r>
        <w:t xml:space="preserve"> și ne împodobește sufletul (v.21-22). Cine o are, merge mai sigur prin viață, fără să se împiedice, doarme mai liniștit (23-2</w:t>
      </w:r>
      <w:r>
        <w:t xml:space="preserve">4). Omul înțelept </w:t>
      </w:r>
      <w:r>
        <w:t xml:space="preserve">prevede ce se urmează să se întâmple și, de fapt, prin înțelepciune Domnul însuși îl păzește.</w:t>
      </w:r>
      <w:r/>
    </w:p>
    <w:p>
      <w:pPr>
        <w:pStyle w:val="886"/>
        <w:pBdr/>
        <w:tabs>
          <w:tab w:val="clear" w:leader="none" w:pos="0"/>
          <w:tab w:val="left" w:leader="none" w:pos="4883"/>
        </w:tabs>
        <w:spacing/>
        <w:ind/>
        <w:rPr/>
      </w:pPr>
      <w:r>
        <w:t xml:space="preserve">Nu exagera în folosirea lui Nu!</w:t>
      </w:r>
      <w:r>
        <w:t xml:space="preserve"> (27-31) </w:t>
      </w:r>
      <w:r/>
    </w:p>
    <w:p>
      <w:pPr>
        <w:pBdr/>
        <w:spacing/>
        <w:ind w:firstLine="0"/>
        <w:rPr/>
      </w:pPr>
      <w:r>
        <w:t xml:space="preserve">Aici</w:t>
      </w:r>
      <w:r>
        <w:t xml:space="preserve"> </w:t>
      </w:r>
      <w:r>
        <w:t xml:space="preserve">apare</w:t>
      </w:r>
      <w:r>
        <w:t xml:space="preserve"> una din seriile cele mai interesante și profunde de porunci din Proverbe</w:t>
      </w:r>
      <w:r>
        <w:t xml:space="preserve">: n</w:t>
      </w:r>
      <w:r>
        <w:t xml:space="preserve">u exagera </w:t>
      </w:r>
      <w:r>
        <w:t xml:space="preserve">în </w:t>
      </w:r>
      <w:r>
        <w:t xml:space="preserve">folosirea lui </w:t>
      </w:r>
      <w:r>
        <w:rPr>
          <w:b/>
        </w:rPr>
        <w:t xml:space="preserve">NU</w:t>
      </w:r>
      <w:r>
        <w:t xml:space="preserve"> în viață</w:t>
      </w:r>
      <w:r>
        <w:t xml:space="preserve">!</w:t>
      </w:r>
      <w:r>
        <w:t xml:space="preserve"> </w:t>
      </w:r>
      <w:r>
        <w:t xml:space="preserve">Solomon ne dă 5 exemple importante</w:t>
      </w:r>
      <w:r>
        <w:t xml:space="preserve">.</w:t>
      </w:r>
      <w:r/>
    </w:p>
    <w:p>
      <w:pPr>
        <w:pStyle w:val="1281"/>
        <w:numPr>
          <w:ilvl w:val="0"/>
          <w:numId w:val="1"/>
        </w:numPr>
        <w:pBdr/>
        <w:spacing/>
        <w:ind/>
        <w:rPr/>
      </w:pPr>
      <w:r>
        <w:t xml:space="preserve">Nu opri acțiunile </w:t>
      </w:r>
      <w:r>
        <w:t xml:space="preserve">de binefacere, când sunt posibile (v.27).</w:t>
      </w:r>
      <w:r/>
    </w:p>
    <w:p>
      <w:pPr>
        <w:pStyle w:val="1281"/>
        <w:numPr>
          <w:ilvl w:val="0"/>
          <w:numId w:val="1"/>
        </w:numPr>
        <w:pBdr/>
        <w:spacing/>
        <w:ind/>
        <w:rPr/>
      </w:pPr>
      <w:r>
        <w:t xml:space="preserve">Nu amâna a</w:t>
      </w:r>
      <w:r>
        <w:t xml:space="preserve">jutorul pe care îl poți da astăzi (v. 28).</w:t>
      </w:r>
      <w:r/>
    </w:p>
    <w:p>
      <w:pPr>
        <w:pStyle w:val="1281"/>
        <w:numPr>
          <w:ilvl w:val="0"/>
          <w:numId w:val="1"/>
        </w:numPr>
        <w:pBdr/>
        <w:spacing/>
        <w:ind/>
        <w:rPr/>
      </w:pPr>
      <w:r>
        <w:t xml:space="preserve">Nu gândi negativ față</w:t>
      </w:r>
      <w:r>
        <w:t xml:space="preserve"> de cei din jur, </w:t>
      </w:r>
      <w:r>
        <w:t xml:space="preserve">dorind </w:t>
      </w:r>
      <w:r>
        <w:t xml:space="preserve">să îi surprinzi prin atacuri neașteptate (v.29).</w:t>
      </w:r>
      <w:r/>
    </w:p>
    <w:p>
      <w:pPr>
        <w:pStyle w:val="1281"/>
        <w:numPr>
          <w:ilvl w:val="0"/>
          <w:numId w:val="1"/>
        </w:numPr>
        <w:pBdr/>
        <w:spacing/>
        <w:ind/>
        <w:rPr/>
      </w:pPr>
      <w:r>
        <w:t xml:space="preserve">Nu</w:t>
      </w:r>
      <w:r>
        <w:t xml:space="preserve"> fii agresiv și </w:t>
      </w:r>
      <w:r>
        <w:t xml:space="preserve">nu te certa, </w:t>
      </w:r>
      <w:r>
        <w:t xml:space="preserve">când nu ai fost atacat (v.30).</w:t>
      </w:r>
      <w:r/>
    </w:p>
    <w:p>
      <w:pPr>
        <w:pStyle w:val="1281"/>
        <w:numPr>
          <w:ilvl w:val="0"/>
          <w:numId w:val="1"/>
        </w:numPr>
        <w:pBdr/>
        <w:spacing/>
        <w:ind/>
        <w:rPr/>
      </w:pPr>
      <w:r>
        <w:t xml:space="preserve">Nu invidia pe </w:t>
      </w:r>
      <w:r>
        <w:t xml:space="preserve">cel violent și prosper, și </w:t>
      </w:r>
      <w:r>
        <w:t xml:space="preserve">nu i te alătura</w:t>
      </w:r>
      <w:r>
        <w:t xml:space="preserve"> (v.31).</w:t>
      </w:r>
      <w:r/>
    </w:p>
    <w:p>
      <w:pPr>
        <w:pStyle w:val="886"/>
        <w:pBdr/>
        <w:spacing/>
        <w:ind/>
        <w:rPr/>
      </w:pPr>
      <w:r>
        <w:t xml:space="preserve">În</w:t>
      </w:r>
      <w:r>
        <w:rPr>
          <w:rFonts w:ascii="Cambria Math" w:hAnsi="Cambria Math"/>
        </w:rPr>
        <w:t xml:space="preserve">ț</w:t>
      </w:r>
      <w:r>
        <w:t xml:space="preserve">elepciunea </w:t>
      </w:r>
      <w:r>
        <w:rPr>
          <w:lang w:val="en-US"/>
        </w:rPr>
        <w:t xml:space="preserve">Domnul</w:t>
      </w:r>
      <w:r>
        <w:t xml:space="preserve">ui </w:t>
      </w:r>
      <w:r>
        <w:t xml:space="preserve">va acționa și în</w:t>
      </w:r>
      <w:r>
        <w:t xml:space="preserve"> judecata finală</w:t>
      </w:r>
      <w:r/>
    </w:p>
    <w:p>
      <w:pPr>
        <w:pBdr/>
        <w:spacing/>
        <w:ind w:firstLine="0"/>
        <w:rPr/>
      </w:pPr>
      <w:r>
        <w:t xml:space="preserve">În înțelepciunea sa, Domnul are două feluri de judecată, una în prezent și alta în viitor. În vi</w:t>
      </w:r>
      <w:r>
        <w:t xml:space="preserve">itor, cei înțelepți vor moșteni gloria veșnică (v.35, Daniel 12:3). Dar, El are și o judecată în prezent, chiar o judecată continuă în timp. Astfel, el urăște pe oamenii stricați, dar este prieten cu cei fără prihană (v.32). El aduce un blestem peste casa </w:t>
      </w:r>
      <w:r>
        <w:t xml:space="preserve">sau familia celui rău, dar binecuvintează casa celor credincioși (v.33). Mai mult, el dă har celor smeriți, dar răspunde aspru celor mândri și batjocoritori (v. 34, versetul este citat în 1 Petru 5:5). Cu siguranță, apostolii cunoșteau bine cartea Proverbe</w:t>
      </w:r>
      <w:r>
        <w:t xml:space="preserve"> și, așa cum se vede, </w:t>
      </w:r>
      <w:r>
        <w:t xml:space="preserve">o citează  </w:t>
      </w:r>
      <w:r>
        <w:t xml:space="preserve">des </w:t>
      </w:r>
      <w:r>
        <w:t xml:space="preserve">epistolele lor. </w:t>
      </w:r>
      <w:r/>
    </w:p>
    <w:p>
      <w:pPr>
        <w:pStyle w:val="885"/>
        <w:pBdr/>
        <w:spacing/>
        <w:ind/>
        <w:rPr/>
      </w:pPr>
      <w:r>
        <w:t xml:space="preserve">Aplicații:</w:t>
      </w:r>
      <w:r/>
    </w:p>
    <w:p>
      <w:pPr>
        <w:pBdr/>
        <w:spacing w:after="0" w:line="240" w:lineRule="auto"/>
        <w:ind w:firstLine="0"/>
        <w:jc w:val="left"/>
        <w:rPr/>
      </w:pPr>
      <w:r>
        <w:t xml:space="preserve">Care sunt beneficiile înțelepciunii în Proverbe 3:1-10?</w:t>
      </w:r>
      <w:r/>
    </w:p>
    <w:p>
      <w:pPr>
        <w:pBdr/>
        <w:spacing/>
        <w:ind w:firstLine="0"/>
        <w:rPr/>
      </w:pPr>
      <w:r>
        <w:t xml:space="preserve">..................................................................................................................................................</w:t>
      </w:r>
      <w:r/>
    </w:p>
    <w:p>
      <w:pPr>
        <w:pBdr/>
        <w:spacing/>
        <w:ind w:firstLine="0"/>
        <w:rPr/>
      </w:pPr>
      <w:r>
        <w:t xml:space="preserve">..................................................................................................................................................</w:t>
      </w:r>
      <w:r/>
    </w:p>
    <w:p>
      <w:pPr>
        <w:pBdr/>
        <w:spacing/>
        <w:ind w:firstLine="0"/>
        <w:rPr/>
      </w:pPr>
      <w:r>
        <w:t xml:space="preserve">..................................................................................................................................................</w:t>
      </w:r>
      <w:r/>
    </w:p>
    <w:p>
      <w:pPr>
        <w:pBdr/>
        <w:spacing/>
        <w:ind w:firstLine="0"/>
        <w:rPr/>
      </w:pPr>
      <w:r/>
      <w:r/>
    </w:p>
    <w:p>
      <w:pPr>
        <w:pBdr/>
        <w:spacing w:after="0" w:line="240" w:lineRule="auto"/>
        <w:ind w:firstLine="0"/>
        <w:jc w:val="left"/>
        <w:rPr/>
      </w:pPr>
      <w:r>
        <w:t xml:space="preserve">De ce este important să fim darnici ca semn de mulțumire față de Dumnezeu?</w:t>
      </w:r>
      <w:r/>
    </w:p>
    <w:p>
      <w:pPr>
        <w:pBdr/>
        <w:spacing/>
        <w:ind w:firstLine="0"/>
        <w:rPr/>
      </w:pPr>
      <w:r>
        <w:t xml:space="preserve">..................................................................................................................................................</w:t>
      </w:r>
      <w:r/>
    </w:p>
    <w:p>
      <w:pPr>
        <w:pBdr/>
        <w:spacing/>
        <w:ind w:firstLine="0"/>
        <w:rPr/>
      </w:pPr>
      <w:r>
        <w:t xml:space="preserve">..................................................................................................................................................</w:t>
      </w:r>
      <w:r/>
    </w:p>
    <w:p>
      <w:pPr>
        <w:pBdr/>
        <w:spacing/>
        <w:ind w:firstLine="0"/>
        <w:rPr/>
      </w:pPr>
      <w:r>
        <w:t xml:space="preserve">..................................................................................................................................................</w:t>
      </w:r>
      <w:r/>
    </w:p>
    <w:p>
      <w:pPr>
        <w:pBdr/>
        <w:spacing w:after="0" w:line="240" w:lineRule="auto"/>
        <w:ind w:firstLine="0"/>
        <w:jc w:val="left"/>
        <w:rPr/>
      </w:pPr>
      <w:r/>
      <w:r/>
    </w:p>
    <w:p>
      <w:pPr>
        <w:pBdr/>
        <w:spacing w:after="0" w:line="240" w:lineRule="auto"/>
        <w:ind w:firstLine="0"/>
        <w:jc w:val="left"/>
        <w:rPr/>
      </w:pPr>
      <w:r>
        <w:t xml:space="preserve">De ce trebuie să nu descurajăm dacă observăm că Dumnezeu ne mustră? Ce </w:t>
      </w:r>
      <w:r>
        <w:t xml:space="preserve">este potrivit </w:t>
      </w:r>
      <w:r>
        <w:t xml:space="preserve">să facem când </w:t>
      </w:r>
      <w:r>
        <w:t xml:space="preserve">vedem că </w:t>
      </w:r>
      <w:r>
        <w:t xml:space="preserve">Dumnezeu ne mustră?</w:t>
      </w:r>
      <w:r/>
    </w:p>
    <w:p>
      <w:pPr>
        <w:pBdr/>
        <w:spacing/>
        <w:ind w:firstLine="0"/>
        <w:rPr/>
      </w:pPr>
      <w:r>
        <w:t xml:space="preserve">..................................................................................................................................................</w:t>
      </w:r>
      <w:r/>
    </w:p>
    <w:p>
      <w:pPr>
        <w:pBdr/>
        <w:spacing/>
        <w:ind w:firstLine="0"/>
        <w:rPr/>
      </w:pPr>
      <w:r>
        <w:t xml:space="preserve">..................................................................................................................................................</w:t>
      </w:r>
      <w:r/>
    </w:p>
    <w:p>
      <w:pPr>
        <w:pBdr/>
        <w:spacing/>
        <w:ind w:firstLine="0"/>
        <w:rPr/>
      </w:pPr>
      <w:r>
        <w:t xml:space="preserve">..................................................................................................................................................</w:t>
      </w:r>
      <w:r/>
    </w:p>
    <w:p>
      <w:pPr>
        <w:pBdr/>
        <w:spacing w:after="0" w:line="240" w:lineRule="auto"/>
        <w:ind w:firstLine="0"/>
        <w:jc w:val="left"/>
        <w:rPr/>
      </w:pPr>
      <w:r>
        <w:t xml:space="preserve">De ce trebuie să fim deschiși și gata să ajutăm pe cei în nevoie?</w:t>
      </w:r>
      <w:r/>
    </w:p>
    <w:p>
      <w:pPr>
        <w:pBdr/>
        <w:spacing/>
        <w:ind w:firstLine="0"/>
        <w:rPr/>
      </w:pPr>
      <w:r>
        <w:t xml:space="preserve">..................................................................................................................................................</w:t>
      </w:r>
      <w:r/>
    </w:p>
    <w:p>
      <w:pPr>
        <w:pBdr/>
        <w:spacing/>
        <w:ind w:firstLine="0"/>
        <w:rPr/>
      </w:pPr>
      <w:r>
        <w:t xml:space="preserve">..................................................................................................................................................</w:t>
      </w:r>
      <w:r/>
    </w:p>
    <w:p>
      <w:pPr>
        <w:pBdr/>
        <w:spacing/>
        <w:ind w:firstLine="0"/>
        <w:rPr/>
      </w:pPr>
      <w:r>
        <w:t xml:space="preserve">..................................................................................................................................................</w:t>
      </w:r>
      <w:r/>
    </w:p>
    <w:p>
      <w:pPr>
        <w:pBdr/>
        <w:spacing w:after="0" w:line="240" w:lineRule="auto"/>
        <w:ind w:firstLine="0"/>
        <w:jc w:val="left"/>
        <w:rPr/>
      </w:pPr>
      <w:r/>
      <w:r/>
    </w:p>
    <w:p>
      <w:pPr>
        <w:pBdr/>
        <w:spacing w:after="0" w:line="240" w:lineRule="auto"/>
        <w:ind w:firstLine="0"/>
        <w:jc w:val="left"/>
        <w:rPr/>
      </w:pPr>
      <w:r>
        <w:t xml:space="preserve">Cum ca participa voia lui Dumnezeu la judecata finală?</w:t>
      </w:r>
      <w:r/>
    </w:p>
    <w:p>
      <w:pPr>
        <w:pBdr/>
        <w:spacing/>
        <w:ind w:firstLine="0"/>
        <w:rPr/>
      </w:pPr>
      <w:r>
        <w:t xml:space="preserve">..................................................................................................................................................</w:t>
      </w:r>
      <w:r/>
    </w:p>
    <w:p>
      <w:pPr>
        <w:pBdr/>
        <w:spacing/>
        <w:ind w:firstLine="0"/>
        <w:rPr/>
      </w:pPr>
      <w:r>
        <w:t xml:space="preserve">..................................................................................................................................................</w:t>
      </w:r>
      <w:r/>
    </w:p>
    <w:p>
      <w:pPr>
        <w:pBdr/>
        <w:spacing/>
        <w:ind w:firstLine="0"/>
        <w:rPr/>
      </w:pPr>
      <w:r>
        <w:t xml:space="preserve">..................................................................................................................................................</w:t>
      </w:r>
      <w:r/>
    </w:p>
    <w:p>
      <w:pPr>
        <w:pBdr/>
        <w:spacing w:after="0" w:line="240" w:lineRule="auto"/>
        <w:ind w:firstLine="0"/>
        <w:jc w:val="left"/>
        <w:rPr/>
      </w:pPr>
      <w:r/>
      <w:r/>
    </w:p>
    <w:p>
      <w:pPr>
        <w:pBdr/>
        <w:spacing w:after="0" w:line="240" w:lineRule="auto"/>
        <w:ind w:firstLine="0"/>
        <w:jc w:val="left"/>
        <w:rPr/>
      </w:pPr>
      <w:r>
        <w:br w:type="page" w:clear="all"/>
      </w:r>
      <w:r/>
    </w:p>
    <w:p>
      <w:pPr>
        <w:pStyle w:val="884"/>
        <w:pBdr/>
        <w:spacing/>
        <w:ind w:firstLine="0"/>
        <w:jc w:val="center"/>
        <w:rPr/>
      </w:pPr>
      <w:r/>
      <w:bookmarkStart w:id="20" w:name="_Toc171151242"/>
      <w:r>
        <w:t xml:space="preserve">August</w:t>
      </w:r>
      <w:bookmarkEnd w:id="20"/>
      <w:r/>
      <w:r/>
    </w:p>
    <w:p>
      <w:pPr>
        <w:pStyle w:val="884"/>
        <w:pBdr/>
        <w:spacing/>
        <w:ind w:firstLine="0"/>
        <w:rPr/>
      </w:pPr>
      <w:r/>
      <w:bookmarkStart w:id="21" w:name="_Toc171151243"/>
      <w:r>
        <w:t xml:space="preserve">1 aug., Proverbe 4, Chemarea fiilor la viață înțeleaptă, de calitate, 4:7-8</w:t>
      </w:r>
      <w:bookmarkEnd w:id="21"/>
      <w:r/>
      <w:r/>
    </w:p>
    <w:p>
      <w:pPr>
        <w:pStyle w:val="885"/>
        <w:pBdr/>
        <w:spacing/>
        <w:ind/>
        <w:rPr/>
      </w:pPr>
      <w:r>
        <w:t xml:space="preserve">Cele trei începuturi ale înțelepciunii (1-9)</w:t>
      </w:r>
      <w:r/>
    </w:p>
    <w:p>
      <w:pPr>
        <w:pBdr/>
        <w:spacing/>
        <w:ind w:firstLine="0"/>
        <w:rPr/>
      </w:pPr>
      <w:r>
        <w:t xml:space="preserve">Împăratul se adresează „fiilor” săi</w:t>
      </w:r>
      <w:r>
        <w:t xml:space="preserve">, din nou.  Și </w:t>
      </w:r>
      <w:r>
        <w:t xml:space="preserve">Dumnezeu se poartă cu noi la fel cum se poartă un tată cu fiii săi (Evrei 12:7). Relația sau</w:t>
      </w:r>
      <w:r>
        <w:t xml:space="preserve"> situația de fiu, apare, </w:t>
      </w:r>
      <w:r>
        <w:t xml:space="preserve">de patru ori în acest capitol: în 4:1 (ascultați, fiilor),  în 4:</w:t>
      </w:r>
      <w:r>
        <w:t xml:space="preserve">3 (când eram fiu</w:t>
      </w:r>
      <w:r>
        <w:t xml:space="preserve"> la tatăl meu și la mama mea),  în 4:10 (ascultă, fiule), și în 4:20 (fiule, ia aminte).</w:t>
      </w:r>
      <w:r/>
    </w:p>
    <w:p>
      <w:pPr>
        <w:pBdr/>
        <w:spacing/>
        <w:ind/>
        <w:rPr/>
      </w:pPr>
      <w:r>
        <w:t xml:space="preserve">Scriptura </w:t>
      </w:r>
      <w:r>
        <w:t xml:space="preserve">ne cheamă</w:t>
      </w:r>
      <w:r>
        <w:t xml:space="preserve"> să învățăm cuvintele înțelepciunii, din copilărie, de la părinții credincioși, de la tată și de la mamă (4:3-4). Înțelepciunea la maturitate este un teza</w:t>
      </w:r>
      <w:r>
        <w:t xml:space="preserve">ur pe care îl înveți din copilărie, cum să îl strângi și să îl prețuiești.  Parcă ni-l și închipuim pe David și pe Batșeba, mama lui Solomon, transmițându-I aceste cuvinte „Păstrează bine în inima ta cuvintele mele, păzeşte învăţăturile mele şi vei trăi!”.</w:t>
      </w:r>
      <w:r/>
    </w:p>
    <w:p>
      <w:pPr>
        <w:pBdr/>
        <w:spacing/>
        <w:ind/>
        <w:rPr/>
      </w:pPr>
      <w:r>
        <w:t xml:space="preserve"> </w:t>
      </w:r>
      <w:r>
        <w:t xml:space="preserve">Apoi, Solomon ne spune al doilea secret despre începutul înțelepciunii. Am învățat deja că începutul înțelepciunii este </w:t>
      </w:r>
      <w:r>
        <w:rPr>
          <w:i/>
        </w:rPr>
        <w:t xml:space="preserve">frica de Domnul</w:t>
      </w:r>
      <w:r>
        <w:t xml:space="preserve"> (1:7, „frica de Domnul este începutul înțelepciunii”). Acum aflăm încă un secret: „iată începutul înțelepciunii: dobândeşte înţelepciunea, şi cu tot ce ai,</w:t>
      </w:r>
      <w:r>
        <w:t xml:space="preserve"> dobândeşte priceperea.” (4:7). Conform acestui al doilea secret, înțelepciunea începe când o prețuiești și vrei să o găsești, când o cauți, când investești în ea. A face din înțelepciune o prioritatea ta, aceesta este al doilea început al  înțelepciunii. </w:t>
      </w:r>
      <w:r/>
    </w:p>
    <w:p>
      <w:pPr>
        <w:pBdr/>
        <w:spacing/>
        <w:ind/>
        <w:rPr/>
      </w:pPr>
      <w:r>
        <w:t xml:space="preserve">Ea</w:t>
      </w:r>
      <w:r>
        <w:t xml:space="preserve"> vine cu multe beneficii: „8. Înalţă-o, şi ea te va înă</w:t>
      </w:r>
      <w:r>
        <w:t xml:space="preserve">lţa; ea va fi slava ta, dacă o vei îmbrăţişa.”. Podoaba înțelepciunii după voia lui Dumnezeu nu este doar cosmetică, ea nu te face doar mai frumos spiritual. Ea este practică, pentru că te păzește, te înalță, te promovează, aduce cu ea un câștig palpabil. </w:t>
      </w:r>
      <w:r/>
    </w:p>
    <w:p>
      <w:pPr>
        <w:pStyle w:val="885"/>
        <w:pBdr/>
        <w:spacing/>
        <w:ind/>
        <w:rPr/>
      </w:pPr>
      <w:r>
        <w:t xml:space="preserve">Prioritatea înțelepciunii și viața în lumină (10-19)</w:t>
      </w:r>
      <w:r/>
    </w:p>
    <w:p>
      <w:pPr>
        <w:pBdr/>
        <w:spacing/>
        <w:ind w:firstLine="0"/>
        <w:rPr/>
      </w:pPr>
      <w:r>
        <w:t xml:space="preserve">Dobândirea înțelepciunii este o prioritate care schimbă calitatea</w:t>
      </w:r>
      <w:r>
        <w:t xml:space="preserve"> vieții celui credincios. El va vedea mai bine cărările neprihănirii și va putea umbla pe ele nestânjenit, va putea alerga neîmpiedicat (20-12). Prin aceste cuvinte, calea sau cărarea neprihănirii, Solomon, ca și rabinii și învățătorii de pe timpul său, în</w:t>
      </w:r>
      <w:r>
        <w:t xml:space="preserve">țelegeau ascultarea de Legea Domnului. De fapt, a fi înțelept, înseamnă să începi să primești Legea Domnului în inima ta. Aceasta este dorința lui Dumnezeu în Noul Legământ prin Hristos, așa cum ne arată în cartea lui Ieremia 31:33, „iată legământul pe car</w:t>
      </w:r>
      <w:r>
        <w:t xml:space="preserve">e-l voi face cu casa lui Israel după zilele acelea, zice Domnul: Voi pune Legea Mea înăuntrul lor, o voi scrie în inima lor; şi Eu voi fi Dumnezeul lor, iar ei vor fi poporul Meu.” A fi înțelept înseamnă nu doar să ai legile și poruncile Domnului în fața o</w:t>
      </w:r>
      <w:r>
        <w:t xml:space="preserve">chilor, ci să le ai și interiorul</w:t>
      </w:r>
      <w:r>
        <w:t xml:space="preserve"> inimii, ca să le urmezi ori de câte ori este nevoie.</w:t>
      </w:r>
      <w:r/>
    </w:p>
    <w:p>
      <w:pPr>
        <w:pBdr/>
        <w:spacing/>
        <w:ind/>
        <w:rPr/>
      </w:pPr>
      <w:r>
        <w:t xml:space="preserve">Prima aplicație clară a acestei internalizări a Cuvântului, este </w:t>
      </w:r>
      <w:r>
        <w:t xml:space="preserve">primirea unei capacități</w:t>
      </w:r>
      <w:r>
        <w:t xml:space="preserve"> de a te feri de căile sau felul de viață ale oamenilor răi „nu intra pe cărarea celor răi” (4:14). Calea acestora, sau felul ori maniera lor de viață</w:t>
      </w:r>
      <w:r>
        <w:t xml:space="preserve"> trebuie ocolită (4:15). Practicarea răului ajunge ca un fel de drog, de dependență, pentru cei necredincioși. Ei nu pot dormi dacă nu planifică ceva rău (16), nu se mai relaxează decât dacă câștigul lor este nedrept, nelegiuit, furat cu sila de la alții (</w:t>
      </w:r>
      <w:r>
        <w:t xml:space="preserve">“</w:t>
      </w:r>
      <w:r>
        <w:t xml:space="preserve">...le piere somnul dacă nu fac pe cineva să cadă; 17. căci ei mănâncă pâine nelegiuită şi beau vin stors cu sila.”).</w:t>
      </w:r>
      <w:r/>
    </w:p>
    <w:p>
      <w:pPr>
        <w:pBdr/>
        <w:spacing/>
        <w:ind/>
        <w:rPr/>
      </w:pPr>
      <w:r>
        <w:t xml:space="preserve">Vedem </w:t>
      </w:r>
      <w:r>
        <w:t xml:space="preserve">că </w:t>
      </w:r>
      <w:r>
        <w:t xml:space="preserve">această dependență de rău </w:t>
      </w:r>
      <w:r>
        <w:t xml:space="preserve">apare </w:t>
      </w:r>
      <w:r>
        <w:t xml:space="preserve">destul de clar în jurul nostru, destul de des. Pentru astfel de oameni, afacerile nu mai sunt afaceri bune, dacă nu „ciupesc” ceva sau nu înșeală pe cineva, promovarea nu mai este degustată</w:t>
      </w:r>
      <w:r>
        <w:t xml:space="preserve">, </w:t>
      </w:r>
      <w:r>
        <w:t xml:space="preserve"> dacă nu </w:t>
      </w:r>
      <w:r>
        <w:t xml:space="preserve">se </w:t>
      </w:r>
      <w:r>
        <w:t xml:space="preserve">adaugă ceva fictiv la cv, </w:t>
      </w:r>
      <w:r>
        <w:t xml:space="preserve">o minciună în</w:t>
      </w:r>
      <w:r>
        <w:t xml:space="preserve"> lista de studii, d</w:t>
      </w:r>
      <w:r>
        <w:t xml:space="preserve">e exemplu, sau de funcții deținute. </w:t>
      </w:r>
      <w:r>
        <w:t xml:space="preserve"> Cărțile scrise de </w:t>
      </w:r>
      <w:r>
        <w:t xml:space="preserve">astfel de oameni</w:t>
      </w:r>
      <w:r>
        <w:t xml:space="preserve"> trebuie mereu verificate la plagiat.</w:t>
      </w:r>
      <w:r/>
    </w:p>
    <w:p>
      <w:pPr>
        <w:pBdr/>
        <w:spacing/>
        <w:ind/>
        <w:rPr/>
      </w:pPr>
      <w:r>
        <w:t xml:space="preserve">Creștinul iubitor de evanghelie, aduce alt tonus în soci</w:t>
      </w:r>
      <w:r>
        <w:t xml:space="preserve">etate. El crede în Hristos și căile lui arată înțelepciunea și binecuvântarea transformării aduse de evanghelie. De aceea, viața credinciosului este ca o cale spre lumina strălucitoare „a cărei strălucire merge mereu crescând până la miezul zilei” (4:18). </w:t>
      </w:r>
      <w:r>
        <w:t xml:space="preserve">Calea celor răi este ca un întuneric gros (4:19). Parcă am citi din Efeseni 5:8-9 „Odinioară eraţi întuneric; dar acum sunteţi lumină în Domnul. Umblaţi deci ca nişte copii ai luminii. Căci roada luminii stă în orice bunătate, în neprihănire şi în adevăr.”</w:t>
      </w:r>
      <w:r/>
    </w:p>
    <w:p>
      <w:pPr>
        <w:pStyle w:val="885"/>
        <w:pBdr/>
        <w:spacing/>
        <w:ind/>
        <w:rPr/>
      </w:pPr>
      <w:r>
        <w:t xml:space="preserve">Paza minții și claritate etică (20-27)</w:t>
      </w:r>
      <w:r/>
    </w:p>
    <w:p>
      <w:pPr>
        <w:pBdr/>
        <w:spacing/>
        <w:ind w:firstLine="0"/>
        <w:rPr/>
      </w:pPr>
      <w:r>
        <w:t xml:space="preserve">La finalul capitolului, Solomon, subliniază din nou importanța relației tată-fiu, sau mentor-ucenic, în învățarea înțelepciunii lui Dumnezeu: „20. </w:t>
      </w:r>
      <w:r>
        <w:rPr>
          <w:b/>
        </w:rPr>
        <w:t xml:space="preserve">Fiule</w:t>
      </w:r>
      <w:r>
        <w:t xml:space="preserve">, ia aminte la cuvintele mele, pleacă-ţi urechea la vorbele mele!”. </w:t>
      </w:r>
      <w:r/>
    </w:p>
    <w:p>
      <w:pPr>
        <w:pBdr/>
        <w:spacing/>
        <w:ind/>
        <w:rPr/>
      </w:pPr>
      <w:r>
        <w:t xml:space="preserve">În acest pasaj intervin niște porunci specifice, care ne pun foarte tare pe gânduri. Ele au de a face cu centralitatea inimii și minții, în viața de credință, cu calitatea preocupărilor și gândurilor noastre. </w:t>
      </w:r>
      <w:r/>
    </w:p>
    <w:p>
      <w:pPr>
        <w:pBdr/>
        <w:spacing/>
        <w:ind/>
        <w:rPr/>
      </w:pPr>
      <w:r>
        <w:t xml:space="preserve">Astfel, în v.21, ni se spune să păstrăm cuvintele Scripturii „în adâncul  inimii”. Să nu uităm c</w:t>
      </w:r>
      <w:r>
        <w:t xml:space="preserve">ă la fel făcea și Maria, mama mântuitorului Hristos (Luca 2:19. „Maria păstra toate cuvintele acelea şi se gândea la ele în inima ei.”). Sau la fel spunea și regele David (Psa. 119:11, „Strâng cuvântul Tău în inima mea, ca să nu păcătuiesc împotriva Ta!”).</w:t>
      </w:r>
      <w:r/>
    </w:p>
    <w:p>
      <w:pPr>
        <w:pBdr/>
        <w:spacing/>
        <w:ind/>
        <w:rPr/>
      </w:pPr>
      <w:r>
        <w:t xml:space="preserve">În mod interesant, </w:t>
      </w:r>
      <w:r>
        <w:t xml:space="preserve">pra</w:t>
      </w:r>
      <w:r>
        <w:t xml:space="preserve">cticarea înțelepciunii Domnului</w:t>
      </w:r>
      <w:r>
        <w:t xml:space="preserve"> are și un efe</w:t>
      </w:r>
      <w:r>
        <w:t xml:space="preserve">ct fizic, somatic. A</w:t>
      </w:r>
      <w:r>
        <w:t xml:space="preserve">scultarea înțelepciunii</w:t>
      </w:r>
      <w:r>
        <w:t xml:space="preserve"> lui Dumnezeu aduce „viață</w:t>
      </w:r>
      <w:r>
        <w:t xml:space="preserve"> pentru cei ce le găsesc şi sănătate pentru tot trupul lor” (4:22). Pocăința și înțelepciunea evangheliei au efecte </w:t>
      </w:r>
      <w:r>
        <w:t xml:space="preserve">bune care se văd prin</w:t>
      </w:r>
      <w:r>
        <w:t xml:space="preserve"> buna dispoziție, liniște sufletească, poate chiar funcționarea </w:t>
      </w:r>
      <w:r>
        <w:t xml:space="preserve">bună a </w:t>
      </w:r>
      <w:r>
        <w:t xml:space="preserve">inimii și tensiunea arterială</w:t>
      </w:r>
      <w:r>
        <w:t xml:space="preserve"> sub control</w:t>
      </w:r>
      <w:r>
        <w:t xml:space="preserve">! Mulți fac multe speculații medicale pe acest subiect, dar totuși, Scriptura ne spune clar că aceste afirmații nu sunt doar poetice. Ascultarea de Cuvântul lui Dumnezeu are și ef</w:t>
      </w:r>
      <w:r>
        <w:t xml:space="preserve">ecte fizice</w:t>
      </w:r>
      <w:r>
        <w:t xml:space="preserve">.</w:t>
      </w:r>
      <w:r/>
    </w:p>
    <w:p>
      <w:pPr>
        <w:pBdr/>
        <w:spacing/>
        <w:ind/>
        <w:rPr/>
      </w:pPr>
      <w:r>
        <w:t xml:space="preserve">Porunca cea mai insistentă și accentuată o găsim însă în vs. 23, „Păzeşte-ţi inima mai mult decât orice, căci din ea ies izvoarele vieţii.” Programatorii au o zicală cunoscută despre funcționarea unui calculator: „pui gunoaie înăuntru, </w:t>
      </w:r>
      <w:r>
        <w:t xml:space="preserve">ai</w:t>
      </w:r>
      <w:r>
        <w:t xml:space="preserve"> gunoaie la ieșire” (garbage in, garbage out). La fel este și cu mintea umană. Pui gunoi înăuntru, vei găsi gunoi în vorbire și comportament. În minte și în inimă </w:t>
      </w:r>
      <w:r>
        <w:t xml:space="preserve">se află</w:t>
      </w:r>
      <w:r>
        <w:t xml:space="preserve"> izvoarele vieții</w:t>
      </w:r>
      <w:r>
        <w:t xml:space="preserve">, zice Biblia</w:t>
      </w:r>
      <w:r>
        <w:t xml:space="preserve">. Dacă privești la jocuri oculte sau filme de groază, sau îți umpli mintea cu imagini pornografice, dacă asculți </w:t>
      </w:r>
      <w:r>
        <w:t xml:space="preserve">mereu o vorbire murdară și îți plac glumele cu două înțelesuri sau apropos-uri murdare, atunci vei vedea că și calitatea părerilor tale se schimbă. La fel, se va schimba și calitatea deciziilor. Izvoarele vieții tale vor fi afectate. De aceea, este importa</w:t>
      </w:r>
      <w:r>
        <w:t xml:space="preserve">n</w:t>
      </w:r>
      <w:r>
        <w:t xml:space="preserve">t să verificăm ce primim în mintea noastră. Gânduri frumoase, înseamnă și viață sănătoasă. Ce pui în mintea ta, în fiecare zi?</w:t>
      </w:r>
      <w:r/>
    </w:p>
    <w:p>
      <w:pPr>
        <w:pBdr/>
        <w:spacing/>
        <w:ind/>
        <w:rPr/>
      </w:pPr>
      <w:r>
        <w:t xml:space="preserve">Poruncile lui Solomon continuă precizând că în mintea noastră trebuie să păstrăm adevărul, să evităm viclenia, să păstrăm judecăți co</w:t>
      </w:r>
      <w:r>
        <w:t xml:space="preserve">recte (ochii să privească drept), să luăm decizii drepte, nepărtinitoare, așa încât calea faptelor noastre să nu oscileze la stanga și dreapta, tot timpul, ci să fie dreaptă, corectă, să ne ferim de rău (4:25-27).                                           </w:t>
      </w:r>
      <w:r/>
    </w:p>
    <w:p>
      <w:pPr>
        <w:pStyle w:val="885"/>
        <w:pBdr/>
        <w:spacing/>
        <w:ind/>
        <w:rPr/>
      </w:pPr>
      <w:r>
        <w:t xml:space="preserve">Aplicații:</w:t>
      </w:r>
      <w:r/>
    </w:p>
    <w:p>
      <w:pPr>
        <w:pBdr/>
        <w:spacing/>
        <w:ind w:firstLine="0"/>
        <w:rPr/>
      </w:pPr>
      <w:r>
        <w:t xml:space="preserve">Ce părere ai despre faptul că Solomon menționează trei „începuturi” sau temelii ale înțelepciunii (învățătura în familie, frica de Domnul, prioritate căutării înțelepciunii)? De ce le-a subliniat pe acestea trei, până aici?</w:t>
      </w:r>
      <w:r/>
    </w:p>
    <w:p>
      <w:pPr>
        <w:pBdr/>
        <w:spacing/>
        <w:ind w:firstLine="0"/>
        <w:rPr/>
      </w:pPr>
      <w:r>
        <w:t xml:space="preserve">..................................................................................................................................................</w:t>
      </w:r>
      <w:r/>
    </w:p>
    <w:p>
      <w:pPr>
        <w:pBdr/>
        <w:spacing/>
        <w:ind w:firstLine="0"/>
        <w:rPr/>
      </w:pPr>
      <w:r>
        <w:t xml:space="preserve">..................................................................................................................................................</w:t>
      </w:r>
      <w:r/>
    </w:p>
    <w:p>
      <w:pPr>
        <w:pBdr/>
        <w:spacing/>
        <w:ind w:firstLine="0"/>
        <w:rPr/>
      </w:pPr>
      <w:r>
        <w:t xml:space="preserve">..................................................................................................................................................</w:t>
      </w:r>
      <w:r/>
    </w:p>
    <w:p>
      <w:pPr>
        <w:pBdr/>
        <w:spacing/>
        <w:ind w:firstLine="0"/>
        <w:rPr/>
      </w:pPr>
      <w:r/>
      <w:r/>
    </w:p>
    <w:p>
      <w:pPr>
        <w:pBdr/>
        <w:spacing/>
        <w:ind w:firstLine="0"/>
        <w:rPr/>
      </w:pPr>
      <w:r>
        <w:t xml:space="preserve">Care este relația între înțelepciune, inimă și lumină, în Proverbe 4?</w:t>
      </w:r>
      <w:r/>
    </w:p>
    <w:p>
      <w:pPr>
        <w:pBdr/>
        <w:spacing/>
        <w:ind w:firstLine="0"/>
        <w:rPr/>
      </w:pPr>
      <w:r>
        <w:t xml:space="preserve">..................................................................................................................................................</w:t>
      </w:r>
      <w:r/>
    </w:p>
    <w:p>
      <w:pPr>
        <w:pBdr/>
        <w:spacing/>
        <w:ind w:firstLine="0"/>
        <w:rPr/>
      </w:pPr>
      <w:r>
        <w:t xml:space="preserve">..................................................................................................................................................</w:t>
      </w:r>
      <w:r/>
    </w:p>
    <w:p>
      <w:pPr>
        <w:pBdr/>
        <w:spacing/>
        <w:ind w:firstLine="0"/>
        <w:rPr/>
      </w:pPr>
      <w:r>
        <w:t xml:space="preserve">..................................................................................................................................................</w:t>
      </w:r>
      <w:r/>
    </w:p>
    <w:p>
      <w:pPr>
        <w:pBdr/>
        <w:spacing/>
        <w:ind w:firstLine="0"/>
        <w:rPr/>
      </w:pPr>
      <w:r/>
      <w:r/>
    </w:p>
    <w:p>
      <w:pPr>
        <w:pBdr/>
        <w:spacing/>
        <w:ind w:firstLine="0"/>
        <w:rPr/>
      </w:pPr>
      <w:r>
        <w:t xml:space="preserve">De ce ne avertizează Solomon să ne păzim inima (sau mintea) mai mult decât orice?</w:t>
      </w:r>
      <w:r/>
    </w:p>
    <w:p>
      <w:pPr>
        <w:pBdr/>
        <w:spacing/>
        <w:ind w:firstLine="0"/>
        <w:rPr/>
      </w:pPr>
      <w:r>
        <w:t xml:space="preserve">..................................................................................................................................................</w:t>
      </w:r>
      <w:r/>
    </w:p>
    <w:p>
      <w:pPr>
        <w:pBdr/>
        <w:spacing/>
        <w:ind w:firstLine="0"/>
        <w:rPr/>
      </w:pPr>
      <w:r>
        <w:t xml:space="preserve">..................................................................................................................................................</w:t>
      </w:r>
      <w:r/>
    </w:p>
    <w:p>
      <w:pPr>
        <w:pBdr/>
        <w:spacing/>
        <w:ind w:firstLine="0"/>
        <w:rPr/>
      </w:pPr>
      <w:r>
        <w:t xml:space="preserve">..................................................................................................................................................</w:t>
      </w:r>
      <w:r/>
    </w:p>
    <w:p>
      <w:pPr>
        <w:pBdr/>
        <w:spacing w:after="0" w:line="240" w:lineRule="auto"/>
        <w:ind w:firstLine="0"/>
        <w:jc w:val="left"/>
        <w:rPr>
          <w:rFonts w:eastAsia="Courier New" w:cs="Arial"/>
          <w:b/>
          <w:bCs/>
          <w:i/>
          <w:sz w:val="24"/>
          <w:lang w:eastAsia="zh-CN"/>
        </w:rPr>
      </w:pPr>
      <w:r>
        <w:br w:type="page" w:clear="all"/>
      </w:r>
      <w:r>
        <w:rPr>
          <w:rFonts w:eastAsia="Courier New" w:cs="Arial"/>
          <w:b/>
          <w:bCs/>
          <w:i/>
          <w:sz w:val="24"/>
          <w:lang w:eastAsia="zh-CN"/>
        </w:rPr>
      </w:r>
    </w:p>
    <w:p>
      <w:pPr>
        <w:pStyle w:val="884"/>
        <w:pBdr/>
        <w:spacing/>
        <w:ind w:firstLine="0"/>
        <w:rPr/>
      </w:pPr>
      <w:r/>
      <w:bookmarkStart w:id="22" w:name="_Toc171151244"/>
      <w:r>
        <w:t xml:space="preserve">8 aug., Proverbe 5, Chemarea fiilor la fidelitate în căsătorie, 5:22-23</w:t>
      </w:r>
      <w:bookmarkEnd w:id="22"/>
      <w:r/>
      <w:r/>
    </w:p>
    <w:p>
      <w:pPr>
        <w:pStyle w:val="885"/>
        <w:pBdr/>
        <w:spacing/>
        <w:ind/>
        <w:rPr/>
      </w:pPr>
      <w:r>
        <w:t xml:space="preserve">Îndemnuri părintești (1-2)</w:t>
      </w:r>
      <w:r/>
    </w:p>
    <w:p>
      <w:pPr>
        <w:pBdr/>
        <w:tabs>
          <w:tab w:val="left" w:leader="none" w:pos="6460"/>
        </w:tabs>
        <w:spacing/>
        <w:ind w:firstLine="0"/>
        <w:rPr/>
      </w:pPr>
      <w:r>
        <w:t xml:space="preserve">Capitolul 5 este unul din cele mai actu</w:t>
      </w:r>
      <w:r>
        <w:t xml:space="preserve">ale capitole din Proverbe</w:t>
      </w:r>
      <w:r>
        <w:t xml:space="preserve">. „Fiul” (v.1), adică </w:t>
      </w:r>
      <w:r>
        <w:t xml:space="preserve">studenții lui Solomon, dar </w:t>
      </w:r>
      <w:r>
        <w:t xml:space="preserve">și noi, este inv</w:t>
      </w:r>
      <w:r>
        <w:t xml:space="preserve">itat să devină înțelept și să chibzuit (v. 1-2), iar aplicația imediată este invitația să se ferească de femeia străină și de adulter. Este evident vorba despre atracția fizică exercitată de o soție adulteră, a altcuiva, sau de o prostituată. Într-adevăr, </w:t>
      </w:r>
      <w:r>
        <w:t xml:space="preserve">Solomon se întreabă </w:t>
      </w:r>
      <w:r>
        <w:t xml:space="preserve">de ce s-ar lăsa cineva atras de o „femeie străină”? De ce atracția față de ceea ce nu cunoști e</w:t>
      </w:r>
      <w:r>
        <w:t xml:space="preserve">ste intensă? De ce apare magia păcatului? De ce, după cum spune proverbul românesc „iarba din curtea vecinului pare mai verde”? Sau, în termenii lui Solomon, „pentru ce, fiule, ai fi îndrăgostit de o străină şi ai îmbrăţişa sânul unei necunoscute?” (5:20).</w:t>
      </w:r>
      <w:r>
        <w:t xml:space="preserve"> Toți bărbații ar trebui să citească atent întrebările Scripturii și să găsească răspunsurile potrivite și tăria de a trăi curat.</w:t>
      </w:r>
      <w:r/>
    </w:p>
    <w:p>
      <w:pPr>
        <w:pStyle w:val="885"/>
        <w:pBdr/>
        <w:spacing/>
        <w:ind/>
        <w:rPr/>
      </w:pPr>
      <w:r>
        <w:t xml:space="preserve">A</w:t>
      </w:r>
      <w:r>
        <w:t xml:space="preserve">vertizare asupra primejdiilor adulterului (3-19)</w:t>
      </w:r>
      <w:r/>
    </w:p>
    <w:p>
      <w:pPr>
        <w:pStyle w:val="886"/>
        <w:pBdr/>
        <w:spacing/>
        <w:ind/>
        <w:rPr/>
      </w:pPr>
      <w:r>
        <w:t xml:space="preserve">Atracția </w:t>
      </w:r>
      <w:r>
        <w:t xml:space="preserve">aceasta este periculoasă </w:t>
      </w:r>
      <w:r>
        <w:t xml:space="preserve"> (3-6)</w:t>
      </w:r>
      <w:r/>
    </w:p>
    <w:p>
      <w:pPr>
        <w:pBdr/>
        <w:spacing/>
        <w:ind w:firstLine="0"/>
        <w:rPr/>
      </w:pPr>
      <w:r>
        <w:t xml:space="preserve">Atracția femeii străine este ilustrată prin câteva simboluri vestite, pline de aluzii senzuale, de sugestii gustative și olfactive. Buzele femeii străine arată bine</w:t>
      </w:r>
      <w:r>
        <w:t xml:space="preserve">, iar</w:t>
      </w:r>
      <w:r>
        <w:t xml:space="preserve"> </w:t>
      </w:r>
      <w:r>
        <w:t xml:space="preserve">aceasta vorbește</w:t>
      </w:r>
      <w:r>
        <w:t xml:space="preserve">, vorbele ei sunt dulci ca mierea. Intențiile ei însă sunt viclene, și </w:t>
      </w:r>
      <w:r>
        <w:t xml:space="preserve">cuvintele alunecă pe </w:t>
      </w:r>
      <w:r>
        <w:t xml:space="preserve">cerul gurii ei </w:t>
      </w:r>
      <w:r>
        <w:t xml:space="preserve">mai ușor </w:t>
      </w:r>
      <w:r>
        <w:t xml:space="preserve">decât </w:t>
      </w:r>
      <w:r>
        <w:t xml:space="preserve">alunecă untdelemnul. Te gândești, dacă</w:t>
      </w:r>
      <w:r>
        <w:t xml:space="preserve"> femeia străină te seduce ca să te consume </w:t>
      </w:r>
      <w:r>
        <w:t xml:space="preserve">la fel de ușor cum consumă un aliment.</w:t>
      </w:r>
      <w:r>
        <w:t xml:space="preserve"> Gustul relației pe care o poți avea cu ea este </w:t>
      </w:r>
      <w:r>
        <w:t xml:space="preserve">însă </w:t>
      </w:r>
      <w:r>
        <w:t xml:space="preserve">ca un vin pelin, adică amar, și relația cu ea devine ucigătoare ca tăișul unei săbii de luptă, </w:t>
      </w:r>
      <w:r>
        <w:t xml:space="preserve">care are</w:t>
      </w:r>
      <w:r>
        <w:t xml:space="preserve"> două tăișuri. Asocierea cu ea te coboară în moarte, </w:t>
      </w:r>
      <w:r>
        <w:t xml:space="preserve">t</w:t>
      </w:r>
      <w:r>
        <w:t xml:space="preserve">e conduce la nimicirea </w:t>
      </w:r>
      <w:r>
        <w:t xml:space="preserve">vieții</w:t>
      </w:r>
      <w:r>
        <w:t xml:space="preserve"> și familiei tale. </w:t>
      </w:r>
      <w:r/>
    </w:p>
    <w:p>
      <w:pPr>
        <w:pBdr/>
        <w:spacing/>
        <w:ind/>
        <w:rPr/>
      </w:pPr>
      <w:r>
        <w:t xml:space="preserve">O astfel de femeie</w:t>
      </w:r>
      <w:r>
        <w:t xml:space="preserve"> nu poate găsi calea vieții, mereu rătăcește și este derutată (v. 6). Aici descrierea femeii străine păcătoase ne aduce aminte de 2 Timotei 3:6-7, „6. </w:t>
      </w:r>
      <w:r>
        <w:t xml:space="preserve">Unii...</w:t>
      </w:r>
      <w:r>
        <w:t xml:space="preserve"> se vâră prin case şi momesc pe femeile uşuratice, îngreuiate de păcate ş</w:t>
      </w:r>
      <w:r>
        <w:t xml:space="preserve">i frământate de felurite pofte, </w:t>
      </w:r>
      <w:r>
        <w:t xml:space="preserve">7. care învaţă întotdeauna, şi nu pot ajunge niciodată la deplina cunoştinţă a adevărului.” Femeile înșelătoare par să fie mereu gata de învățătură și </w:t>
      </w:r>
      <w:r>
        <w:t xml:space="preserve">de </w:t>
      </w:r>
      <w:r>
        <w:t xml:space="preserve">schimbare, dar eșuează mereu în </w:t>
      </w:r>
      <w:r>
        <w:t xml:space="preserve">noi </w:t>
      </w:r>
      <w:r>
        <w:t xml:space="preserve">eșec</w:t>
      </w:r>
      <w:r>
        <w:t xml:space="preserve">uri</w:t>
      </w:r>
      <w:r>
        <w:t xml:space="preserve">, în faliment</w:t>
      </w:r>
      <w:r>
        <w:t xml:space="preserve">e</w:t>
      </w:r>
      <w:r>
        <w:t xml:space="preserve">, nu au tărie de caracter, nici hotărâre spre bine.</w:t>
      </w:r>
      <w:r/>
    </w:p>
    <w:p>
      <w:pPr>
        <w:pStyle w:val="885"/>
        <w:pBdr/>
        <w:spacing/>
        <w:ind/>
        <w:rPr/>
      </w:pPr>
      <w:r>
        <w:t xml:space="preserve">A</w:t>
      </w:r>
      <w:r>
        <w:rPr>
          <w:lang w:val="en-US"/>
        </w:rPr>
        <w:t xml:space="preserve">vertizarea</w:t>
      </w:r>
      <w:r>
        <w:t xml:space="preserve"> propriu-zisă (7-14)</w:t>
      </w:r>
      <w:r/>
    </w:p>
    <w:p>
      <w:pPr>
        <w:pBdr/>
        <w:spacing/>
        <w:ind w:firstLine="0"/>
        <w:rPr/>
      </w:pPr>
      <w:r>
        <w:t xml:space="preserve">Toți „fiii”, adică toți credincioșii gata s</w:t>
      </w:r>
      <w:r>
        <w:t xml:space="preserve">ă învețe din Scriptură înțelepciunea Domnului, sunt chemați să evite femeile care îi atrag în păcat, în adulter. Li se spune, de fapt, să evite chiar drumul spre ele, adică direcția sau adresa lor, pur și simplu (v.7-8). Intenția în ea însăși este culpabil</w:t>
      </w:r>
      <w:r>
        <w:t xml:space="preserve">ă. Chiar și gândul ori imaginația, așa cum spune și Domnul Hristos: „27. Aţi auzit că s-a zis celor din vechime: "Să nu preacurveşti." 28. Dar Eu vă spun că oricine se uită la o femeie ca s-o poftească, a şi preacurvit cu ea în inima lui.” (Matei 5:27-28).</w:t>
      </w:r>
      <w:r/>
    </w:p>
    <w:p>
      <w:pPr>
        <w:pBdr/>
        <w:spacing/>
        <w:ind w:firstLine="720"/>
        <w:rPr/>
      </w:pPr>
      <w:r>
        <w:t xml:space="preserve">Femeia adulteră, </w:t>
      </w:r>
      <w:r>
        <w:t xml:space="preserve">dar lângă ea putem include</w:t>
      </w:r>
      <w:r>
        <w:t xml:space="preserve"> și bărbatul cuceritor și adulter, adică </w:t>
      </w:r>
      <w:r>
        <w:t xml:space="preserve">acel </w:t>
      </w:r>
      <w:r>
        <w:t xml:space="preserve">don-juan</w:t>
      </w:r>
      <w:r>
        <w:t xml:space="preserve"> al</w:t>
      </w:r>
      <w:r>
        <w:t xml:space="preserve"> ispitirilor, </w:t>
      </w:r>
      <w:r>
        <w:t xml:space="preserve">care poate apărea lângă o soție credincioasă, </w:t>
      </w:r>
      <w:r>
        <w:t xml:space="preserve">este o capcană nimicitoare. Atrage la început, dar de fapt nu oferă o satisfacție aleasă, ci este „un om fără milă” </w:t>
      </w:r>
      <w:r>
        <w:t xml:space="preserve">față de familie </w:t>
      </w:r>
      <w:r>
        <w:t xml:space="preserve">(v.9). </w:t>
      </w:r>
      <w:r>
        <w:t xml:space="preserve">Solomon atrage atenția că ajungi să î</w:t>
      </w:r>
      <w:r>
        <w:t xml:space="preserve">ți dai puterea și energia, și anii</w:t>
      </w:r>
      <w:r>
        <w:t xml:space="preserve"> vieții, apoi</w:t>
      </w:r>
      <w:r>
        <w:t xml:space="preserve"> bani</w:t>
      </w:r>
      <w:r>
        <w:t xml:space="preserve">i</w:t>
      </w:r>
      <w:r>
        <w:t xml:space="preserve"> și averea, un</w:t>
      </w:r>
      <w:r>
        <w:t xml:space="preserve">ui om</w:t>
      </w:r>
      <w:r>
        <w:t xml:space="preserve"> care profită </w:t>
      </w:r>
      <w:r>
        <w:t xml:space="preserve">de tine </w:t>
      </w:r>
      <w:r>
        <w:t xml:space="preserve">și îți fură viața și tinerețea</w:t>
      </w:r>
      <w:r>
        <w:t xml:space="preserve">, pacea și numele bun, familia</w:t>
      </w:r>
      <w:r>
        <w:t xml:space="preserve">. Nu tu ești învingătorul, ori cuceritorul, ci </w:t>
      </w:r>
      <w:r>
        <w:t xml:space="preserve">de fapt </w:t>
      </w:r>
      <w:r>
        <w:t xml:space="preserve">ești victima, cel învins. Ceea ce vei obține la sfârșit este timpul pierdut, oboseala trupului, dezamăgirea sufletului – pentru că vei observa că nu ai fost decât o distracție scurtă, un capitol </w:t>
      </w:r>
      <w:r>
        <w:t xml:space="preserve">așezat </w:t>
      </w:r>
      <w:r>
        <w:t xml:space="preserve">între multe alte capitole, un </w:t>
      </w:r>
      <w:r>
        <w:t xml:space="preserve">om </w:t>
      </w:r>
      <w:r>
        <w:t xml:space="preserve">înșelat între mulți alți </w:t>
      </w:r>
      <w:r>
        <w:t xml:space="preserve">oameni </w:t>
      </w:r>
      <w:r>
        <w:t xml:space="preserve">înșelați. Tu trudești la fericirea unei femei care aparține altuia, sau nu aparține nimănui. Aceasta este una din profundele dezamăgiri ale adulterului, </w:t>
      </w:r>
      <w:r>
        <w:t xml:space="preserve">faptul că </w:t>
      </w:r>
      <w:r>
        <w:t xml:space="preserve">nu ai nimic</w:t>
      </w:r>
      <w:r>
        <w:t xml:space="preserve">, la sfârșit. N</w:t>
      </w:r>
      <w:r>
        <w:t xml:space="preserve">u ai avut parte de intimitate, nu ai găsit nimic valoros </w:t>
      </w:r>
      <w:r>
        <w:t xml:space="preserve">la nivel </w:t>
      </w:r>
      <w:r>
        <w:t xml:space="preserve">personal, </w:t>
      </w:r>
      <w:r>
        <w:t xml:space="preserve">ci </w:t>
      </w:r>
      <w:r>
        <w:t xml:space="preserve">totul se duce de râpă. Nu </w:t>
      </w:r>
      <w:r>
        <w:t xml:space="preserve">este ușor să realizăm</w:t>
      </w:r>
      <w:r>
        <w:t xml:space="preserve"> această perspectivă, dar Solomon vorbește extrem de serios. </w:t>
      </w:r>
      <w:r/>
    </w:p>
    <w:p>
      <w:pPr>
        <w:pBdr/>
        <w:spacing/>
        <w:ind w:firstLine="720"/>
        <w:rPr/>
      </w:pPr>
      <w:r>
        <w:t xml:space="preserve">„</w:t>
      </w:r>
      <w:r>
        <w:t xml:space="preserve">Mintea de pe urmă</w:t>
      </w:r>
      <w:r>
        <w:t xml:space="preserve">”</w:t>
      </w:r>
      <w:r>
        <w:t xml:space="preserve"> își face loc</w:t>
      </w:r>
      <w:r>
        <w:t xml:space="preserve"> și ea</w:t>
      </w:r>
      <w:r>
        <w:t xml:space="preserve">, dar este prea târziu. Când tinerețea trece, când energia dispare și puterile dispar, te găsești obosit în trup, gemi dezamăgit, </w:t>
      </w:r>
      <w:r>
        <w:t xml:space="preserve">și atunci îți faci autocritica: „12. </w:t>
      </w:r>
      <w:r>
        <w:t xml:space="preserve">Cum am putut eu să urăsc certarea şi cum a dispreţuit inima mea mustrarea? 13. Cum am putut să n-ascult glasul învăţătorilor mei şi să nu iau aminte la cei ce mă învăţau? 14. Cât pe ce să mă nenorocesc de tot în </w:t>
      </w:r>
      <w:r>
        <w:t xml:space="preserve">mijlocul poporului şi adunării!</w:t>
      </w:r>
      <w:r>
        <w:t xml:space="preserve">.</w:t>
      </w:r>
      <w:r>
        <w:t xml:space="preserve">”</w:t>
      </w:r>
      <w:r>
        <w:t xml:space="preserve"> Pierderea este totală. O, dacă cei ispitiți și-ar da seama de finalul lipsit de orice valoare durabilă, de orice relație adevărată, de orice respectibilitate, de orice realizare....</w:t>
      </w:r>
      <w:r>
        <w:t xml:space="preserve"> poate că ar evita orice încurcătură de acest fel.</w:t>
      </w:r>
      <w:r/>
    </w:p>
    <w:p>
      <w:pPr>
        <w:pBdr/>
        <w:spacing/>
        <w:ind w:firstLine="0"/>
        <w:rPr/>
      </w:pPr>
      <w:r/>
      <w:r/>
    </w:p>
    <w:p>
      <w:pPr>
        <w:pBdr/>
        <w:tabs>
          <w:tab w:val="left" w:leader="none" w:pos="1087"/>
        </w:tabs>
        <w:spacing/>
        <w:ind w:firstLine="0"/>
        <w:jc w:val="left"/>
        <w:rPr/>
      </w:pPr>
      <w:r/>
      <w:r/>
    </w:p>
    <w:p>
      <w:pPr>
        <w:pStyle w:val="885"/>
        <w:pBdr/>
        <w:spacing/>
        <w:ind/>
        <w:rPr/>
      </w:pPr>
      <w:r>
        <w:t xml:space="preserve">Soluția </w:t>
      </w:r>
      <w:r>
        <w:t xml:space="preserve">împotriva adulterului </w:t>
      </w:r>
      <w:r>
        <w:t xml:space="preserve">și filozofia </w:t>
      </w:r>
      <w:r>
        <w:t xml:space="preserve">ei</w:t>
      </w:r>
      <w:r>
        <w:t xml:space="preserve"> (15-23)</w:t>
      </w:r>
      <w:r/>
    </w:p>
    <w:p>
      <w:pPr>
        <w:pStyle w:val="886"/>
        <w:pBdr/>
        <w:spacing/>
        <w:ind/>
        <w:rPr/>
      </w:pPr>
      <w:r>
        <w:rPr>
          <w:lang w:val="en-US"/>
        </w:rPr>
        <w:t xml:space="preserve">Contra</w:t>
      </w:r>
      <w:r>
        <w:rPr>
          <w:lang w:val="en-US"/>
        </w:rPr>
        <w:t xml:space="preserve">măsura</w:t>
      </w:r>
      <w:r>
        <w:t xml:space="preserve"> (15-19)</w:t>
      </w:r>
      <w:r/>
    </w:p>
    <w:p>
      <w:pPr>
        <w:pBdr/>
        <w:spacing/>
        <w:ind w:firstLine="0"/>
        <w:rPr/>
      </w:pPr>
      <w:r>
        <w:t xml:space="preserve">Mai întâi, Scriptura ne sfătuiește să prețuim intimitatea familiei proprii. Adică, să prețuiești relația intimă cu soțul sau soția. Astfel, Solomone spune „Bea apă din fântâna ta şi din izvoarele puţului tău.” Cert</w:t>
      </w:r>
      <w:r>
        <w:t xml:space="preserve">area lui </w:t>
      </w:r>
      <w:r>
        <w:t xml:space="preserve">atr</w:t>
      </w:r>
      <w:r>
        <w:t xml:space="preserve">age</w:t>
      </w:r>
      <w:r>
        <w:t xml:space="preserve"> atenția că în atracția adulterului nu obții nimic intim și valoros, ci dimpotrivă, izvoarele tale, sau râurile intimității tale (este vorba în primul rând despre bărbați), se vor risipi prin piețele comune pe unde </w:t>
      </w:r>
      <w:r>
        <w:t xml:space="preserve">calcă</w:t>
      </w:r>
      <w:r>
        <w:t xml:space="preserve"> toți... Acestea sunt cuvinte aspre </w:t>
      </w:r>
      <w:r>
        <w:t xml:space="preserve">și intense </w:t>
      </w:r>
      <w:r>
        <w:t xml:space="preserve">despre femeile și bărbații adulteri (16-17). </w:t>
      </w:r>
      <w:r/>
    </w:p>
    <w:p>
      <w:pPr>
        <w:pBdr/>
        <w:spacing/>
        <w:ind w:firstLine="720"/>
        <w:rPr/>
      </w:pPr>
      <w:r>
        <w:t xml:space="preserve">Într-o relație adulteră, există doar impresia unei intimități valoroase. În practică, </w:t>
      </w:r>
      <w:r>
        <w:t xml:space="preserve">ea </w:t>
      </w:r>
      <w:r>
        <w:t xml:space="preserve">nu există. Nu există fidelitate în adulter</w:t>
      </w:r>
      <w:r>
        <w:t xml:space="preserve">, dimpotrivă, este un concurs al infidelității tuturor față de toți</w:t>
      </w:r>
      <w:r>
        <w:t xml:space="preserve">. Vei fi </w:t>
      </w:r>
      <w:r>
        <w:t xml:space="preserve">și tu, </w:t>
      </w:r>
      <w:r>
        <w:t xml:space="preserve">părăsit sau părăsită pentru alții sau pentru altele, mai devreme sau mai târziu. Ori aici este un mare păcat, o mare pierdere. Noi suntem psihologic condițio</w:t>
      </w:r>
      <w:r>
        <w:t xml:space="preserve">nați să dorim unicitatea, fidelitatea, dedicarea. Asta este definiția familiei. Chiar și o amantă va dori să devină în cele din urmă femeia unică în viața bărbatului cu care se întâlnește. Sau de o valoare unică. Or, tocmai acest lucru lipsește în adulter.</w:t>
      </w:r>
      <w:r/>
    </w:p>
    <w:p>
      <w:pPr>
        <w:pBdr/>
        <w:spacing/>
        <w:ind w:firstLine="720"/>
        <w:rPr/>
      </w:pPr>
      <w:r>
        <w:t xml:space="preserve">Alternativa, desigur, este să îți păstrezi energiile sexuale doar pentru familia ta, pentru soția tin</w:t>
      </w:r>
      <w:r>
        <w:t xml:space="preserve">ereții tale. Aici să îți găsești</w:t>
      </w:r>
      <w:r>
        <w:t xml:space="preserve"> bucuria, satisfacție fizică și sufletească, și aici vei găsi și binecuvântarea lui Dumnezeu. Asta ne atrag</w:t>
      </w:r>
      <w:r>
        <w:t xml:space="preserve">e atenția că soțul și soția trebuie să își vină în ajutor în această privință, reciproc, ca să se expună ispitirii celui rău, sau din partea oamenilor necredicioși cu moralitate scăzută, egoistă. 1 Corinteni 7:1-6. Pasajul biblic ne atrage atenția să inves</w:t>
      </w:r>
      <w:r>
        <w:t xml:space="preserve">tim în senzualitatea frumoasă din cadrul familiei: „18. Izvorul tău să fie binecuvântat, şi bucură-te de nevasta tinereţii tale. 19. Cerboaică iubită, căprioară plăcută: fii îmbătat tot timpul de drăgălăşiile ei, fii îndrăgostit necurmat de dragostea ei!”.</w:t>
      </w:r>
      <w:r/>
    </w:p>
    <w:p>
      <w:pPr>
        <w:pBdr/>
        <w:spacing/>
        <w:ind w:firstLine="720"/>
        <w:rPr/>
      </w:pPr>
      <w:r>
        <w:t xml:space="preserve"> Dacă am ap</w:t>
      </w:r>
      <w:r>
        <w:t xml:space="preserve">lica aceste versete am fi mai gingași, mai delicați, mai îndrăgostiți de partenerul din familia noastră, de soț și de soție. Cine nu investește în felul acesta în familie, va investi în direcția adulterului, căci va fi expus ispitirilor din afara familiei.</w:t>
      </w:r>
      <w:r/>
    </w:p>
    <w:p>
      <w:pPr>
        <w:pStyle w:val="886"/>
        <w:pBdr/>
        <w:spacing/>
        <w:ind/>
        <w:rPr/>
      </w:pPr>
      <w:r>
        <w:t xml:space="preserve">Relativitatea iubirii și magia amăgirii (20-23)</w:t>
      </w:r>
      <w:r/>
    </w:p>
    <w:p>
      <w:pPr>
        <w:pBdr/>
        <w:spacing/>
        <w:ind w:firstLine="0"/>
        <w:rPr/>
      </w:pPr>
      <w:r>
        <w:t xml:space="preserve">Aici Solomon vorbește cu toată înțelepciunea profundă care vine de la Dumnezeu. El atrage atenția că deși, într-o ispitire spre adulter, bărbații pot avea impresia că vor găsi ceva nou, special, de fapt, nimic nu este nou, </w:t>
      </w:r>
      <w:r>
        <w:t xml:space="preserve">și </w:t>
      </w:r>
      <w:r>
        <w:t xml:space="preserve">nimic nu este </w:t>
      </w:r>
      <w:r>
        <w:t xml:space="preserve">„</w:t>
      </w:r>
      <w:r>
        <w:t xml:space="preserve">special</w:t>
      </w:r>
      <w:r>
        <w:t xml:space="preserve">”</w:t>
      </w:r>
      <w:r>
        <w:t xml:space="preserve">. Sânul unei necunoscute, sânul străinei, nu este cu nimic mai </w:t>
      </w:r>
      <w:r>
        <w:t xml:space="preserve">deosebit sau mai prețios decât sânul soției. Așadar, ispitirea sau atracția este în mintea păcătosului, nu în realitate. Frumusețea iubirii stă în caracterul special al relației de iubire cu persoana iubită. Or, iată ce spune Solomon: străina care te ispit</w:t>
      </w:r>
      <w:r>
        <w:t xml:space="preserve">ește spre adulter nu oferă nici un fel de intimitate prețioasă, adevărată, nici o iubire adevărată și superioară, iar fizic, orice sân este la fel, este echivalent, nu are nici o magie suplimentară. Atracția magică a adulterului este doar în mintea păcătos</w:t>
      </w:r>
      <w:r>
        <w:t xml:space="preserve">ului și ține doar pe durata ispitirii. Curând, te vei desprinde din această capcana și vei înțelege, dar să nu fie prea târziu. Este mult mai bine să prețuiești intimitatea de acasă, din familie, să investești în această relație frumoasă, și să o dezvolți.</w:t>
      </w:r>
      <w:r/>
    </w:p>
    <w:p>
      <w:pPr>
        <w:pBdr/>
        <w:spacing/>
        <w:ind w:firstLine="720"/>
        <w:rPr/>
      </w:pPr>
      <w:r>
        <w:t xml:space="preserve">Toată această analiză nu este o psihologie vulgară, simplă. Este o înțelepciune biblică, adevărată. Domnul cercetează toate motivațiile acțiunilor noastre, toate deciziile</w:t>
      </w:r>
      <w:r>
        <w:t xml:space="preserve">, toate cărările, toate alegerile (v.21). Dumnezeu însuși, prin Solomon, ne atrage atenția că nelegiurile sunt o capcană de nedepășit, pentru omul dat relelor, și că acesta va muri din lipsă de autocontrol, din nebunie prea multă, din neascultare (22-23). </w:t>
      </w:r>
      <w:r/>
    </w:p>
    <w:p>
      <w:pPr>
        <w:pBdr/>
        <w:spacing/>
        <w:ind w:firstLine="720"/>
        <w:rPr/>
      </w:pPr>
      <w:r/>
      <w:r/>
    </w:p>
    <w:p>
      <w:pPr>
        <w:pStyle w:val="885"/>
        <w:pBdr/>
        <w:spacing/>
        <w:ind/>
        <w:rPr/>
      </w:pPr>
      <w:r>
        <w:t xml:space="preserve">Aplicații:</w:t>
      </w:r>
      <w:r/>
    </w:p>
    <w:p>
      <w:pPr>
        <w:pBdr/>
        <w:tabs>
          <w:tab w:val="left" w:leader="none" w:pos="2184"/>
          <w:tab w:val="right" w:leader="none" w:pos="7371"/>
        </w:tabs>
        <w:spacing/>
        <w:ind w:firstLine="0"/>
        <w:rPr/>
      </w:pPr>
      <w:r>
        <w:t xml:space="preserve">De ce este greu să faci față ispitei adulterului? Care sunt atracțiile vizuale și psihologice prin care tinerii sunt atrași în capcană? Cer resurse ne pune Biblia la dispoziție ca să nu cădem în capcana adulterului?</w:t>
      </w:r>
      <w:r>
        <w:tab/>
      </w:r>
      <w:r/>
    </w:p>
    <w:p>
      <w:pPr>
        <w:pBdr/>
        <w:spacing/>
        <w:ind w:firstLine="0"/>
        <w:rPr/>
      </w:pPr>
      <w:r>
        <w:t xml:space="preserve">..................................................................................................................................................</w:t>
      </w:r>
      <w:r/>
    </w:p>
    <w:p>
      <w:pPr>
        <w:pBdr/>
        <w:spacing/>
        <w:ind w:firstLine="0"/>
        <w:rPr/>
      </w:pPr>
      <w:r>
        <w:t xml:space="preserve">..................................................................................................................................................</w:t>
      </w:r>
      <w:r/>
    </w:p>
    <w:p>
      <w:pPr>
        <w:pBdr/>
        <w:spacing/>
        <w:ind w:firstLine="0"/>
        <w:rPr/>
      </w:pPr>
      <w:r>
        <w:t xml:space="preserve">..................................................................................................................................................</w:t>
      </w:r>
      <w:r/>
    </w:p>
    <w:p>
      <w:pPr>
        <w:pBdr/>
        <w:spacing/>
        <w:ind w:firstLine="0"/>
        <w:jc w:val="left"/>
        <w:rPr/>
      </w:pPr>
      <w:r/>
      <w:r/>
    </w:p>
    <w:p>
      <w:pPr>
        <w:pBdr/>
        <w:spacing/>
        <w:ind w:firstLine="0"/>
        <w:jc w:val="left"/>
        <w:rPr/>
      </w:pPr>
      <w:r/>
      <w:r/>
    </w:p>
    <w:p>
      <w:pPr>
        <w:pBdr/>
        <w:spacing/>
        <w:ind w:firstLine="0"/>
        <w:jc w:val="left"/>
        <w:rPr/>
      </w:pPr>
      <w:r/>
      <w:r/>
    </w:p>
    <w:p>
      <w:pPr>
        <w:pBdr/>
        <w:spacing/>
        <w:ind w:firstLine="0"/>
        <w:jc w:val="left"/>
        <w:rPr/>
      </w:pPr>
      <w:r>
        <w:t xml:space="preserve">Care este importanța intimității în familie? Cum să investești în relația soț-soție ca să fie o relație frumoasă, sănătoasă, cu satisfacții?</w:t>
      </w:r>
      <w:r/>
    </w:p>
    <w:p>
      <w:pPr>
        <w:pBdr/>
        <w:spacing/>
        <w:ind w:firstLine="0"/>
        <w:rPr/>
      </w:pPr>
      <w:r>
        <w:t xml:space="preserve">..................................................................................................................................................</w:t>
      </w:r>
      <w:r/>
    </w:p>
    <w:p>
      <w:pPr>
        <w:pBdr/>
        <w:spacing/>
        <w:ind w:firstLine="0"/>
        <w:rPr/>
      </w:pPr>
      <w:r>
        <w:t xml:space="preserve">..................................................................................................................................................</w:t>
      </w:r>
      <w:r/>
    </w:p>
    <w:p>
      <w:pPr>
        <w:pBdr/>
        <w:spacing/>
        <w:ind w:firstLine="0"/>
        <w:rPr/>
      </w:pPr>
      <w:r>
        <w:t xml:space="preserve">..................................................................................................................................................</w:t>
      </w:r>
      <w:r/>
    </w:p>
    <w:p>
      <w:pPr>
        <w:pBdr/>
        <w:spacing/>
        <w:ind w:firstLine="0"/>
        <w:jc w:val="left"/>
        <w:rPr/>
      </w:pPr>
      <w:r/>
      <w:r/>
    </w:p>
    <w:p>
      <w:pPr>
        <w:pBdr/>
        <w:spacing/>
        <w:ind w:firstLine="0"/>
        <w:jc w:val="left"/>
        <w:rPr/>
      </w:pPr>
      <w:r>
        <w:t xml:space="preserve">Care sunt avertizările lui Solomon cu privire la promisiunea falsă a adulterului?</w:t>
      </w:r>
      <w:r/>
    </w:p>
    <w:p>
      <w:pPr>
        <w:pBdr/>
        <w:spacing/>
        <w:ind w:firstLine="0"/>
        <w:rPr/>
      </w:pPr>
      <w:r>
        <w:t xml:space="preserve">..................................................................................................................................................</w:t>
      </w:r>
      <w:r/>
    </w:p>
    <w:p>
      <w:pPr>
        <w:pBdr/>
        <w:spacing/>
        <w:ind w:firstLine="0"/>
        <w:rPr/>
      </w:pPr>
      <w:r>
        <w:t xml:space="preserve">..................................................................................................................................................</w:t>
      </w:r>
      <w:r/>
    </w:p>
    <w:p>
      <w:pPr>
        <w:pBdr/>
        <w:spacing/>
        <w:ind w:firstLine="0"/>
        <w:rPr/>
      </w:pPr>
      <w:r>
        <w:t xml:space="preserve">..................................................................................................................................................</w:t>
      </w:r>
      <w:r/>
    </w:p>
    <w:p>
      <w:pPr>
        <w:pBdr/>
        <w:spacing/>
        <w:ind w:firstLine="0"/>
        <w:jc w:val="left"/>
        <w:rPr/>
      </w:pPr>
      <w:r/>
      <w:r/>
    </w:p>
    <w:p>
      <w:pPr>
        <w:pBdr/>
        <w:spacing w:after="0" w:line="240" w:lineRule="auto"/>
        <w:ind w:firstLine="0"/>
        <w:jc w:val="left"/>
        <w:rPr/>
      </w:pPr>
      <w:r>
        <w:t xml:space="preserve">Cum descrie Solomon starea spirituală a celor ce ispitesc pe alții la adulter?</w:t>
      </w:r>
      <w:r/>
    </w:p>
    <w:p>
      <w:pPr>
        <w:pBdr/>
        <w:spacing/>
        <w:ind w:firstLine="0"/>
        <w:rPr/>
      </w:pPr>
      <w:r>
        <w:t xml:space="preserve">..................................................................................................................................................</w:t>
      </w:r>
      <w:r/>
    </w:p>
    <w:p>
      <w:pPr>
        <w:pBdr/>
        <w:spacing/>
        <w:ind w:firstLine="0"/>
        <w:rPr/>
      </w:pPr>
      <w:r>
        <w:t xml:space="preserve">..................................................................................................................................................</w:t>
      </w:r>
      <w:r/>
    </w:p>
    <w:p>
      <w:pPr>
        <w:pBdr/>
        <w:spacing/>
        <w:ind w:firstLine="0"/>
        <w:rPr/>
      </w:pPr>
      <w:r>
        <w:t xml:space="preserve">..................................................................................................................................................</w:t>
      </w:r>
      <w:r/>
    </w:p>
    <w:p>
      <w:pPr>
        <w:pStyle w:val="884"/>
        <w:pBdr/>
        <w:spacing/>
        <w:ind/>
        <w:rPr/>
      </w:pPr>
      <w:r>
        <w:br w:type="page" w:clear="all"/>
      </w:r>
      <w:bookmarkStart w:id="23" w:name="_Toc171151245"/>
      <w:r>
        <w:t xml:space="preserve">15 a</w:t>
      </w:r>
      <w:r>
        <w:t xml:space="preserve">ug.,</w:t>
      </w:r>
      <w:r>
        <w:t xml:space="preserve"> </w:t>
      </w:r>
      <w:r>
        <w:t xml:space="preserve">Prov</w:t>
      </w:r>
      <w:r>
        <w:t xml:space="preserve">erbe</w:t>
      </w:r>
      <w:r>
        <w:t xml:space="preserve"> 6, Înțelepciunea și etica</w:t>
      </w:r>
      <w:r>
        <w:t xml:space="preserve"> muncii</w:t>
      </w:r>
      <w:r>
        <w:t xml:space="preserve">, 6:16-19</w:t>
      </w:r>
      <w:bookmarkEnd w:id="23"/>
      <w:r/>
      <w:r/>
    </w:p>
    <w:p>
      <w:pPr>
        <w:pBdr/>
        <w:spacing/>
        <w:ind w:firstLine="0"/>
        <w:rPr>
          <w:rFonts w:cstheme="minorHAnsi"/>
          <w:szCs w:val="22"/>
        </w:rPr>
      </w:pPr>
      <w:r>
        <w:rPr>
          <w:rFonts w:cstheme="minorHAnsi"/>
          <w:szCs w:val="22"/>
        </w:rPr>
        <w:t xml:space="preserve">Cuvîntul lui Dumnezeu este desăvîrșit întrucât ne învață nu numai înțelepciunea necesară pentru viața viitoare, ci și chibzuința necesară pentru viața aceasta în domeniul relațiilor, afacerilor și munc</w:t>
      </w:r>
      <w:r>
        <w:rPr>
          <w:rFonts w:cstheme="minorHAnsi"/>
          <w:szCs w:val="22"/>
        </w:rPr>
        <w:t xml:space="preserve">ii. Pe măsură ce tânărul („fiul</w:t>
      </w:r>
      <w:r>
        <w:rPr>
          <w:rFonts w:cstheme="minorHAnsi"/>
          <w:szCs w:val="22"/>
        </w:rPr>
        <w:t xml:space="preserve">” v.1 și 20) ajunge la maturitate și se pregătește să intre </w:t>
      </w:r>
      <w:r>
        <w:rPr>
          <w:rFonts w:cstheme="minorHAnsi"/>
          <w:szCs w:val="22"/>
        </w:rPr>
        <w:t xml:space="preserve">înceapă o slujbă sau o carieră, </w:t>
      </w:r>
      <w:r>
        <w:rPr>
          <w:rFonts w:cstheme="minorHAnsi"/>
          <w:szCs w:val="22"/>
        </w:rPr>
        <w:t xml:space="preserve">părinții îi dau câteva principii utile, sănătoase</w:t>
      </w:r>
      <w:r>
        <w:rPr>
          <w:rFonts w:cstheme="minorHAnsi"/>
          <w:szCs w:val="22"/>
        </w:rPr>
        <w:t xml:space="preserve">,</w:t>
      </w:r>
      <w:r>
        <w:rPr>
          <w:rFonts w:cstheme="minorHAnsi"/>
          <w:szCs w:val="22"/>
        </w:rPr>
        <w:t xml:space="preserve"> cu privire la gestionarea banilor. Partea a doua a capitolului cuprinde</w:t>
      </w:r>
      <w:r>
        <w:rPr>
          <w:rFonts w:cstheme="minorHAnsi"/>
          <w:szCs w:val="22"/>
        </w:rPr>
        <w:t xml:space="preserve">, din nou,</w:t>
      </w:r>
      <w:r>
        <w:rPr>
          <w:rFonts w:cstheme="minorHAnsi"/>
          <w:szCs w:val="22"/>
        </w:rPr>
        <w:t xml:space="preserve"> atenționări solemne împotriva păcatului adulterului.</w:t>
      </w:r>
      <w:r>
        <w:rPr>
          <w:rFonts w:cstheme="minorHAnsi"/>
          <w:szCs w:val="22"/>
        </w:rPr>
      </w:r>
    </w:p>
    <w:p>
      <w:pPr>
        <w:pStyle w:val="885"/>
        <w:pBdr/>
        <w:spacing/>
        <w:ind/>
        <w:rPr>
          <w:szCs w:val="22"/>
        </w:rPr>
      </w:pPr>
      <w:r>
        <w:rPr>
          <w:szCs w:val="22"/>
        </w:rPr>
        <w:t xml:space="preserve">E</w:t>
      </w:r>
      <w:r>
        <w:rPr>
          <w:szCs w:val="22"/>
        </w:rPr>
        <w:t xml:space="preserve">vită să te pui garant (1-5)</w:t>
      </w:r>
      <w:r>
        <w:rPr>
          <w:szCs w:val="22"/>
        </w:rPr>
      </w:r>
    </w:p>
    <w:p>
      <w:pPr>
        <w:pBdr/>
        <w:spacing/>
        <w:ind w:firstLine="0"/>
        <w:rPr>
          <w:rFonts w:cstheme="minorHAnsi"/>
          <w:szCs w:val="22"/>
        </w:rPr>
      </w:pPr>
      <w:r>
        <w:rPr>
          <w:rFonts w:cstheme="minorHAnsi"/>
          <w:szCs w:val="22"/>
        </w:rPr>
        <w:t xml:space="preserve">„</w:t>
      </w:r>
      <w:r>
        <w:rPr>
          <w:rFonts w:cstheme="minorHAnsi"/>
          <w:szCs w:val="22"/>
        </w:rPr>
        <w:t xml:space="preserve">Fiule, dacă te-ai pus chezaș pentru aproapele tău,dacă te-ai prins pentru altul, dacă ești legat prin făgăduința gurii tale, dacă ești prins de cuvintele gurii tale, fă totuși lucrul acesta, fiule: dezleagă-te căci ai căzut în mâna aproapelui tău...”(1-3).</w:t>
      </w:r>
      <w:r>
        <w:rPr>
          <w:rFonts w:cstheme="minorHAnsi"/>
          <w:szCs w:val="22"/>
        </w:rPr>
      </w:r>
    </w:p>
    <w:p>
      <w:pPr>
        <w:pBdr/>
        <w:spacing/>
        <w:ind/>
        <w:rPr>
          <w:rFonts w:cstheme="minorHAnsi"/>
          <w:szCs w:val="22"/>
        </w:rPr>
      </w:pPr>
      <w:r>
        <w:rPr>
          <w:rFonts w:cstheme="minorHAnsi"/>
          <w:szCs w:val="22"/>
        </w:rPr>
        <w:t xml:space="preserve">În primul rând, </w:t>
      </w:r>
      <w:r>
        <w:rPr>
          <w:rFonts w:cstheme="minorHAnsi"/>
          <w:szCs w:val="22"/>
        </w:rPr>
        <w:t xml:space="preserve">tânărul angajat sau proprietar de firmă </w:t>
      </w:r>
      <w:r>
        <w:rPr>
          <w:rFonts w:cstheme="minorHAnsi"/>
          <w:szCs w:val="22"/>
        </w:rPr>
        <w:t xml:space="preserve">este instruit să nu aibă datorii (datorii personale sau </w:t>
      </w:r>
      <w:r>
        <w:rPr>
          <w:rFonts w:cstheme="minorHAnsi"/>
          <w:szCs w:val="22"/>
        </w:rPr>
        <w:t xml:space="preserve">să fie </w:t>
      </w:r>
      <w:r>
        <w:rPr>
          <w:rFonts w:cstheme="minorHAnsi"/>
          <w:szCs w:val="22"/>
        </w:rPr>
        <w:t xml:space="preserve">răspunzător pentru datoriile altcuiva). „Aproapele tău” în această situație ar putea fi vecinul tău (să semnezi alături de el pentru o achiziție pe care vrea să o facă). </w:t>
      </w:r>
      <w:r>
        <w:rPr>
          <w:rFonts w:cstheme="minorHAnsi"/>
          <w:szCs w:val="22"/>
        </w:rPr>
        <w:t xml:space="preserve">În alt exemplu, </w:t>
      </w:r>
      <w:r>
        <w:rPr>
          <w:rFonts w:cstheme="minorHAnsi"/>
          <w:szCs w:val="22"/>
        </w:rPr>
        <w:t xml:space="preserve">„străinul” ar putea fi </w:t>
      </w:r>
      <w:r>
        <w:rPr>
          <w:rFonts w:cstheme="minorHAnsi"/>
          <w:szCs w:val="22"/>
        </w:rPr>
        <w:t xml:space="preserve">banca unde trebuie să</w:t>
      </w:r>
      <w:r>
        <w:rPr>
          <w:rFonts w:cstheme="minorHAnsi"/>
          <w:szCs w:val="22"/>
        </w:rPr>
        <w:t xml:space="preserve"> oferi</w:t>
      </w:r>
      <w:r>
        <w:rPr>
          <w:rFonts w:cstheme="minorHAnsi"/>
          <w:szCs w:val="22"/>
        </w:rPr>
        <w:t xml:space="preserve"> garanție</w:t>
      </w:r>
      <w:r>
        <w:rPr>
          <w:rFonts w:cstheme="minorHAnsi"/>
          <w:szCs w:val="22"/>
        </w:rPr>
        <w:t xml:space="preserve"> prin semnătura </w:t>
      </w:r>
      <w:r>
        <w:rPr>
          <w:rFonts w:cstheme="minorHAnsi"/>
          <w:szCs w:val="22"/>
        </w:rPr>
        <w:t xml:space="preserve">ta, pentru altcineva</w:t>
      </w:r>
      <w:r>
        <w:rPr>
          <w:rFonts w:cstheme="minorHAnsi"/>
          <w:szCs w:val="22"/>
        </w:rPr>
        <w:t xml:space="preserve">. Dacă </w:t>
      </w:r>
      <w:r>
        <w:rPr>
          <w:rFonts w:cstheme="minorHAnsi"/>
          <w:szCs w:val="22"/>
        </w:rPr>
        <w:t xml:space="preserve">ajungi </w:t>
      </w:r>
      <w:r>
        <w:rPr>
          <w:rFonts w:cstheme="minorHAnsi"/>
          <w:szCs w:val="22"/>
        </w:rPr>
        <w:t xml:space="preserve">vreodată într-o astfel de situație, </w:t>
      </w:r>
      <w:r>
        <w:rPr>
          <w:rFonts w:cstheme="minorHAnsi"/>
          <w:szCs w:val="22"/>
        </w:rPr>
        <w:t xml:space="preserve">ieși </w:t>
      </w:r>
      <w:r>
        <w:rPr>
          <w:rFonts w:cstheme="minorHAnsi"/>
          <w:szCs w:val="22"/>
        </w:rPr>
        <w:t xml:space="preserve">cât mai repede </w:t>
      </w:r>
      <w:r>
        <w:rPr>
          <w:rFonts w:cstheme="minorHAnsi"/>
          <w:szCs w:val="22"/>
        </w:rPr>
        <w:t xml:space="preserve">din ea, spune Solomon</w:t>
      </w:r>
      <w:r>
        <w:rPr>
          <w:rFonts w:cstheme="minorHAnsi"/>
          <w:szCs w:val="22"/>
        </w:rPr>
        <w:t xml:space="preserve">. </w:t>
      </w:r>
      <w:r>
        <w:rPr>
          <w:rFonts w:cstheme="minorHAnsi"/>
          <w:szCs w:val="22"/>
        </w:rPr>
      </w:r>
    </w:p>
    <w:p>
      <w:pPr>
        <w:pBdr/>
        <w:spacing/>
        <w:ind/>
        <w:rPr>
          <w:rFonts w:cstheme="minorHAnsi"/>
          <w:szCs w:val="22"/>
        </w:rPr>
      </w:pPr>
      <w:r>
        <w:rPr>
          <w:rFonts w:cstheme="minorHAnsi"/>
          <w:szCs w:val="22"/>
        </w:rPr>
        <w:t xml:space="preserve">De asemenea, u</w:t>
      </w:r>
      <w:r>
        <w:rPr>
          <w:rFonts w:cstheme="minorHAnsi"/>
          <w:szCs w:val="22"/>
        </w:rPr>
        <w:t xml:space="preserve">na dintre cele mai periculoase „capcane” este capcana creditelor. Cardurile de credit sunt la îndemână pentru comoditate și pentru urgențe, dar să fim atenți că dobânzile și penalitățile se pot aduna mai repede decât ne putem imagina</w:t>
      </w:r>
      <w:r>
        <w:rPr>
          <w:rFonts w:cstheme="minorHAnsi"/>
          <w:szCs w:val="22"/>
        </w:rPr>
        <w:t xml:space="preserve"> și se poate ajunge ușor să fii bun de plată cu casa sau mașina sau alte terenuri, pentru datoriile acumulate</w:t>
      </w:r>
      <w:r>
        <w:rPr>
          <w:rFonts w:cstheme="minorHAnsi"/>
          <w:szCs w:val="22"/>
        </w:rPr>
        <w:t xml:space="preserve">. Mulți au ajuns la ruină financiară din cauza capcanei creditelor. Tot aici ar putea fi menționate și jocurile de noroc (cazinourile și loteriile), care nu Îl onorează pe Dumnezeu și duc la ruinarea multor vieți. Cuvântul de ordine este deci, prudența!</w:t>
      </w:r>
      <w:r>
        <w:rPr>
          <w:rFonts w:cstheme="minorHAnsi"/>
          <w:szCs w:val="22"/>
        </w:rPr>
      </w:r>
    </w:p>
    <w:p>
      <w:pPr>
        <w:pStyle w:val="885"/>
        <w:pBdr/>
        <w:spacing/>
        <w:ind/>
        <w:rPr/>
      </w:pPr>
      <w:r>
        <w:t xml:space="preserve">E</w:t>
      </w:r>
      <w:r>
        <w:t xml:space="preserve">vită lenevia. </w:t>
      </w:r>
      <w:r>
        <w:t xml:space="preserve">H</w:t>
      </w:r>
      <w:r>
        <w:t xml:space="preserve">ărnicia și economisirea sunt necesare</w:t>
      </w:r>
      <w:r>
        <w:t xml:space="preserve"> (6-11)</w:t>
      </w:r>
      <w:r/>
    </w:p>
    <w:p>
      <w:pPr>
        <w:pBdr/>
        <w:spacing/>
        <w:ind w:firstLine="0"/>
        <w:rPr>
          <w:rFonts w:cstheme="minorHAnsi"/>
          <w:szCs w:val="22"/>
        </w:rPr>
      </w:pPr>
      <w:r>
        <w:rPr>
          <w:rFonts w:cstheme="minorHAnsi"/>
          <w:szCs w:val="22"/>
        </w:rPr>
        <w:t xml:space="preserve">Strâns legată cu acumularea de datorii este cheltuirea și risipirea a tot ceea ce se câștigă. Acest lucru, cu siguranță, nu este recomandabil.</w:t>
      </w:r>
      <w:r>
        <w:rPr>
          <w:rFonts w:cstheme="minorHAnsi"/>
          <w:szCs w:val="22"/>
        </w:rPr>
      </w:r>
    </w:p>
    <w:p>
      <w:pPr>
        <w:pBdr/>
        <w:spacing/>
        <w:ind/>
        <w:rPr>
          <w:rFonts w:cstheme="minorHAnsi"/>
          <w:szCs w:val="22"/>
        </w:rPr>
      </w:pPr>
      <w:r>
        <w:rPr>
          <w:rFonts w:cstheme="minorHAnsi"/>
          <w:szCs w:val="22"/>
        </w:rPr>
        <w:t xml:space="preserve">El demonstrează o lipsă mare de autocontrol. Pentru a preda lecția despre economisire, tatăl îl îndrumă pe tânăr să urmeze exemplul furnicii:</w:t>
      </w:r>
      <w:r>
        <w:rPr>
          <w:rFonts w:cstheme="minorHAnsi"/>
          <w:szCs w:val="22"/>
        </w:rPr>
        <w:t xml:space="preserve"> „</w:t>
      </w:r>
      <w:r>
        <w:rPr>
          <w:rFonts w:cstheme="minorHAnsi"/>
          <w:szCs w:val="22"/>
        </w:rPr>
        <w:t xml:space="preserve">Du-te la furnică, leneșule; </w:t>
      </w:r>
      <w:r>
        <w:rPr>
          <w:rFonts w:cstheme="minorHAnsi"/>
          <w:szCs w:val="22"/>
        </w:rPr>
        <w:t xml:space="preserve"> </w:t>
      </w:r>
      <w:r>
        <w:rPr>
          <w:rFonts w:cstheme="minorHAnsi"/>
          <w:szCs w:val="22"/>
        </w:rPr>
        <w:t xml:space="preserve">uită-te cu băgare de seamă la căile ei, și înțelepțește-te! Ea n-are căpetenie, nici priveghetor, nici stăpân; totuși își pregătește hrana vara și strânge de ale mâncării în timpul secerișului”(6-8).</w:t>
      </w:r>
      <w:r>
        <w:rPr>
          <w:rFonts w:cstheme="minorHAnsi"/>
          <w:szCs w:val="22"/>
        </w:rPr>
      </w:r>
    </w:p>
    <w:p>
      <w:pPr>
        <w:pBdr/>
        <w:spacing/>
        <w:ind/>
        <w:rPr>
          <w:rFonts w:cstheme="minorHAnsi"/>
          <w:szCs w:val="22"/>
        </w:rPr>
      </w:pPr>
      <w:r>
        <w:rPr>
          <w:rFonts w:cstheme="minorHAnsi"/>
          <w:szCs w:val="22"/>
        </w:rPr>
        <w:t xml:space="preserve">Cele două semne remarcabile ale furnicii sunt hărnicia și păstrarea a ceea ce a muncit. Există perioade în care a face bani poate</w:t>
      </w:r>
      <w:r>
        <w:rPr>
          <w:rFonts w:cstheme="minorHAnsi"/>
          <w:szCs w:val="22"/>
        </w:rPr>
        <w:t xml:space="preserve"> fi mai favorabil (adică „vara” și „secerișul”) și vor exista perioade în care va fi mai dificil („iarna”). Furnica muncește din greu în perioadele favorabile și economisește în vederea perioadelor nefavorabile. Nu este nimic rău în a munci din greu, iar p</w:t>
      </w:r>
      <w:r>
        <w:rPr>
          <w:rFonts w:cstheme="minorHAnsi"/>
          <w:szCs w:val="22"/>
        </w:rPr>
        <w:t xml:space="preserve">ersoana care muncește din greu (iscusit în lucrarea lui) va merge cu siguranță înainte în viață (Proverbe 22:29).Din nefericire, unii oameni sunt leneși fără motivația de a munci. Ei par să aibă întotdeauna o scuză pentru a explica de ce nu pot munci.     </w:t>
      </w:r>
      <w:r>
        <w:rPr>
          <w:rFonts w:cstheme="minorHAnsi"/>
          <w:szCs w:val="22"/>
        </w:rPr>
      </w:r>
    </w:p>
    <w:p>
      <w:pPr>
        <w:pBdr/>
        <w:spacing/>
        <w:ind/>
        <w:rPr>
          <w:rFonts w:cstheme="minorHAnsi"/>
          <w:szCs w:val="22"/>
        </w:rPr>
      </w:pPr>
      <w:r>
        <w:rPr>
          <w:rFonts w:cstheme="minorHAnsi"/>
          <w:szCs w:val="22"/>
        </w:rPr>
        <w:t xml:space="preserve">Cu toate acestea, succesul este mai mult decât a munci din greu. Un al doilea lucru pe car</w:t>
      </w:r>
      <w:r>
        <w:rPr>
          <w:rFonts w:cstheme="minorHAnsi"/>
          <w:szCs w:val="22"/>
        </w:rPr>
        <w:t xml:space="preserve">e îl putem învăța de la furnică este că trebuie să depozităm ceea ce muncim. Acest lucru înseamnă că trebuie să fim economi și modești. Furnica nu ne învață să strângem averi pentru noi înșine (Proverbe 23:4-5), ci că trebuie să avem bun simț în gestionare</w:t>
      </w:r>
      <w:r>
        <w:rPr>
          <w:rFonts w:cstheme="minorHAnsi"/>
          <w:szCs w:val="22"/>
        </w:rPr>
        <w:t xml:space="preserve">a banilor pe care i-am câștigat. Trebuie să existe un echilibru; o regulă generală este să fim economi față de noi înșine și generoși față de alții (2 Corinteni 9:7). Nebunul, pe de altă parte este extravagant și cheltuiește tot ce câștigă. Pentru a econom</w:t>
      </w:r>
      <w:r>
        <w:rPr>
          <w:rFonts w:cstheme="minorHAnsi"/>
          <w:szCs w:val="22"/>
        </w:rPr>
        <w:t xml:space="preserve">isi bani este nevoie de disci-plină. Timpul potrivit pentru a începe acest tip de autocontrol este în tinerețe și cu cât se începe mai repede , cu atât mai bine. Mulți oameni își irosesc jumătate din viață până să își dea seama că trebuie să economisească.</w:t>
      </w:r>
      <w:r>
        <w:rPr>
          <w:rFonts w:cstheme="minorHAnsi"/>
          <w:szCs w:val="22"/>
        </w:rPr>
      </w:r>
    </w:p>
    <w:p>
      <w:pPr>
        <w:pBdr/>
        <w:spacing/>
        <w:ind/>
        <w:rPr>
          <w:rFonts w:cstheme="minorHAnsi"/>
          <w:szCs w:val="22"/>
        </w:rPr>
      </w:pPr>
      <w:r>
        <w:rPr>
          <w:rFonts w:cstheme="minorHAnsi"/>
          <w:szCs w:val="22"/>
        </w:rPr>
        <w:t xml:space="preserve">Adevărul este că lipsa acestor două lucruri (disciplina și economisirea) aduce în cele din urmă sărăcia</w:t>
      </w:r>
      <w:r>
        <w:rPr>
          <w:rFonts w:cstheme="minorHAnsi"/>
          <w:szCs w:val="22"/>
        </w:rPr>
        <w:t xml:space="preserve"> </w:t>
      </w:r>
      <w:r>
        <w:rPr>
          <w:rFonts w:cstheme="minorHAnsi"/>
          <w:szCs w:val="22"/>
        </w:rPr>
        <w:t xml:space="preserve">-</w:t>
      </w:r>
      <w:r>
        <w:rPr>
          <w:rFonts w:cstheme="minorHAnsi"/>
          <w:szCs w:val="22"/>
        </w:rPr>
        <w:t xml:space="preserve"> „</w:t>
      </w:r>
      <w:r>
        <w:rPr>
          <w:rFonts w:cstheme="minorHAnsi"/>
          <w:szCs w:val="22"/>
        </w:rPr>
        <w:t xml:space="preserve">Și sărăcia vine peste tine ca un hoț, și lipsa, ca un om înarmat”(11).   </w:t>
      </w:r>
      <w:r>
        <w:rPr>
          <w:rFonts w:cstheme="minorHAnsi"/>
          <w:szCs w:val="22"/>
        </w:rPr>
      </w:r>
    </w:p>
    <w:p>
      <w:pPr>
        <w:pStyle w:val="885"/>
        <w:pBdr/>
        <w:spacing/>
        <w:ind/>
        <w:rPr/>
      </w:pPr>
      <w:r>
        <w:t xml:space="preserve">E</w:t>
      </w:r>
      <w:r>
        <w:t xml:space="preserve">vită înșelătoria</w:t>
      </w:r>
      <w:r>
        <w:t xml:space="preserve"> (12-19) </w:t>
      </w:r>
      <w:r/>
    </w:p>
    <w:p>
      <w:pPr>
        <w:pBdr/>
        <w:spacing/>
        <w:ind w:firstLine="0"/>
        <w:rPr>
          <w:rFonts w:cstheme="minorHAnsi"/>
          <w:szCs w:val="22"/>
        </w:rPr>
      </w:pPr>
      <w:r>
        <w:rPr>
          <w:rFonts w:cstheme="minorHAnsi"/>
          <w:szCs w:val="22"/>
        </w:rPr>
        <w:t xml:space="preserve">A fi înșelat de un escroc, numit</w:t>
      </w:r>
      <w:r>
        <w:rPr>
          <w:rFonts w:cstheme="minorHAnsi"/>
          <w:szCs w:val="22"/>
        </w:rPr>
        <w:t xml:space="preserve"> „</w:t>
      </w:r>
      <w:r>
        <w:rPr>
          <w:rFonts w:cstheme="minorHAnsi"/>
          <w:szCs w:val="22"/>
        </w:rPr>
        <w:t xml:space="preserve">omul de nimic” sau</w:t>
      </w:r>
      <w:r>
        <w:rPr>
          <w:rFonts w:cstheme="minorHAnsi"/>
          <w:szCs w:val="22"/>
        </w:rPr>
        <w:t xml:space="preserve"> „</w:t>
      </w:r>
      <w:r>
        <w:rPr>
          <w:rFonts w:cstheme="minorHAnsi"/>
          <w:szCs w:val="22"/>
        </w:rPr>
        <w:t xml:space="preserve">un om al lui Belial”(12) este un alt lucru care poate</w:t>
      </w:r>
      <w:r>
        <w:rPr>
          <w:rFonts w:cstheme="minorHAnsi"/>
          <w:szCs w:val="22"/>
        </w:rPr>
        <w:t xml:space="preserve"> duce o persoană la ruină finan</w:t>
      </w:r>
      <w:r>
        <w:rPr>
          <w:rFonts w:cstheme="minorHAnsi"/>
          <w:szCs w:val="22"/>
        </w:rPr>
        <w:t xml:space="preserve">ciară. Trebuie să fim atenți în toate relațiile n</w:t>
      </w:r>
      <w:r>
        <w:rPr>
          <w:rFonts w:cstheme="minorHAnsi"/>
          <w:szCs w:val="22"/>
        </w:rPr>
        <w:t xml:space="preserve">oastre cu oamenii din lume, fie că este vorba de afaceri sau de relațiile noastre private.Tânărului i se oferă o descriere a caracterului unei astfel de persoane pe care el trebuie să o evite (12-15). Așa cum trebuie să discearnă caracterul unei femei rele</w:t>
      </w:r>
      <w:r>
        <w:rPr>
          <w:rFonts w:cstheme="minorHAnsi"/>
          <w:szCs w:val="22"/>
        </w:rPr>
        <w:t xml:space="preserve">, de moravuri ușoare</w:t>
      </w:r>
      <w:r>
        <w:rPr>
          <w:rFonts w:cstheme="minorHAnsi"/>
          <w:szCs w:val="22"/>
        </w:rPr>
        <w:t xml:space="preserve"> (</w:t>
      </w:r>
      <w:r>
        <w:rPr>
          <w:rFonts w:cstheme="minorHAnsi"/>
          <w:szCs w:val="22"/>
        </w:rPr>
        <w:t xml:space="preserve">“</w:t>
      </w:r>
      <w:r>
        <w:rPr>
          <w:rFonts w:cstheme="minorHAnsi"/>
          <w:szCs w:val="22"/>
        </w:rPr>
        <w:t xml:space="preserve">clipește din ochi, dă din picior, și face semne cu degetele”), el trebuie să știe să citească și caracterul unui om rău (</w:t>
      </w:r>
      <w:r>
        <w:rPr>
          <w:rFonts w:cstheme="minorHAnsi"/>
          <w:szCs w:val="22"/>
        </w:rPr>
        <w:t xml:space="preserve">“</w:t>
      </w:r>
      <w:r>
        <w:rPr>
          <w:rFonts w:cstheme="minorHAnsi"/>
          <w:szCs w:val="22"/>
        </w:rPr>
        <w:t xml:space="preserve">umblă cu neadevărul în gură, răutatea este în inima lui, urzește lucrurile rele într-una și stârnește certuri”). </w:t>
      </w:r>
      <w:r>
        <w:rPr>
          <w:rFonts w:cstheme="minorHAnsi"/>
          <w:szCs w:val="22"/>
        </w:rPr>
      </w:r>
    </w:p>
    <w:p>
      <w:pPr>
        <w:pBdr/>
        <w:spacing/>
        <w:ind/>
        <w:rPr/>
      </w:pPr>
      <w:r>
        <w:t xml:space="preserve">Din Scriptură reiese clar că nu trebuie să </w:t>
      </w:r>
      <w:r>
        <w:t xml:space="preserve">„</w:t>
      </w:r>
      <w:r>
        <w:t xml:space="preserve">batem palma</w:t>
      </w:r>
      <w:r>
        <w:t xml:space="preserve">”</w:t>
      </w:r>
      <w:r>
        <w:t xml:space="preserve"> (să facem afaceri</w:t>
      </w:r>
      <w:r>
        <w:t xml:space="preserve">, înțelegeri</w:t>
      </w:r>
      <w:r>
        <w:t xml:space="preserve">) cu un </w:t>
      </w:r>
      <w:r>
        <w:t xml:space="preserve">om fără credință sau fără viață curată ori principială (</w:t>
      </w:r>
      <w:r>
        <w:t xml:space="preserve">vezi 2 Corinteni 6:14-17). Astfel de încurcături pot duce la multă suferință și chiar la ruină financiară. Portretul omului de nimic este completat cu șapte păcate abominabile, pe care le face omul </w:t>
      </w:r>
      <w:r>
        <w:t xml:space="preserve">influențat de răutate, de Satan</w:t>
      </w:r>
      <w:r>
        <w:t xml:space="preserve"> (</w:t>
      </w:r>
      <w:r>
        <w:t xml:space="preserve">1. </w:t>
      </w:r>
      <w:r>
        <w:t xml:space="preserve">trufia, </w:t>
      </w:r>
      <w:r>
        <w:t xml:space="preserve">2. </w:t>
      </w:r>
      <w:r>
        <w:t xml:space="preserve">minciuna, </w:t>
      </w:r>
      <w:r>
        <w:t xml:space="preserve">3. </w:t>
      </w:r>
      <w:r>
        <w:t xml:space="preserve">uciderea, </w:t>
      </w:r>
      <w:r>
        <w:t xml:space="preserve">4. </w:t>
      </w:r>
      <w:r>
        <w:t xml:space="preserve">inima </w:t>
      </w:r>
      <w:r>
        <w:t xml:space="preserve">cu gânduri rele, 5. </w:t>
      </w:r>
      <w:r>
        <w:t xml:space="preserve">alergarea la rău, </w:t>
      </w:r>
      <w:r>
        <w:t xml:space="preserve">6. </w:t>
      </w:r>
      <w:r>
        <w:t xml:space="preserve">martorul mincinos și </w:t>
      </w:r>
      <w:r>
        <w:t xml:space="preserve">7. urzitor de rele - </w:t>
      </w:r>
      <w:r>
        <w:t xml:space="preserve">cel ce stârnește certuri între frați</w:t>
      </w:r>
      <w:r>
        <w:t xml:space="preserve">. Pe toate Domnul le urăște </w:t>
      </w:r>
      <w:r>
        <w:t xml:space="preserve">(16-19).  </w:t>
      </w:r>
      <w:r/>
    </w:p>
    <w:p>
      <w:pPr>
        <w:pStyle w:val="885"/>
        <w:pBdr/>
        <w:spacing/>
        <w:ind/>
        <w:rPr/>
      </w:pPr>
      <w:r>
        <w:t xml:space="preserve">E</w:t>
      </w:r>
      <w:r>
        <w:t xml:space="preserve">vită imoralitatea sexuală </w:t>
      </w:r>
      <w:r>
        <w:t xml:space="preserve">(20-35)</w:t>
      </w:r>
      <w:r/>
    </w:p>
    <w:p>
      <w:pPr>
        <w:pBdr/>
        <w:spacing/>
        <w:ind w:firstLine="0"/>
        <w:rPr>
          <w:rFonts w:cstheme="minorHAnsi"/>
          <w:szCs w:val="22"/>
        </w:rPr>
      </w:pPr>
      <w:r>
        <w:rPr>
          <w:rFonts w:cstheme="minorHAnsi"/>
          <w:szCs w:val="22"/>
        </w:rPr>
        <w:t xml:space="preserve">Partea a doua a capitolului 6 cuprinde două lecții legate de porunca a șaptea din Decalog:</w:t>
      </w:r>
      <w:r>
        <w:rPr>
          <w:rFonts w:cstheme="minorHAnsi"/>
          <w:szCs w:val="22"/>
        </w:rPr>
        <w:t xml:space="preserve"> „</w:t>
      </w:r>
      <w:r>
        <w:rPr>
          <w:rFonts w:cstheme="minorHAnsi"/>
          <w:szCs w:val="22"/>
        </w:rPr>
        <w:t xml:space="preserve">Să nu preacurvești”(Exod 20:14). Prima lecție pune accentul pe direcția bună pe care o aduce învățătura sănătoasă a tatălui și a mamei. Legea divină învățată și explicată aduce o direcție clară pentru viață. Ea trebuie păstrată în inimă (</w:t>
      </w:r>
      <w:r>
        <w:rPr>
          <w:rFonts w:cstheme="minorHAnsi"/>
          <w:szCs w:val="22"/>
        </w:rPr>
        <w:t xml:space="preserve">“</w:t>
      </w:r>
      <w:r>
        <w:rPr>
          <w:rFonts w:cstheme="minorHAnsi"/>
          <w:szCs w:val="22"/>
        </w:rPr>
        <w:t xml:space="preserve">leagă-le necurmat la inimă”) și se manifestă în exterior (</w:t>
      </w:r>
      <w:r>
        <w:rPr>
          <w:rFonts w:cstheme="minorHAnsi"/>
          <w:szCs w:val="22"/>
        </w:rPr>
        <w:t xml:space="preserve">“</w:t>
      </w:r>
      <w:r>
        <w:rPr>
          <w:rFonts w:cstheme="minorHAnsi"/>
          <w:szCs w:val="22"/>
        </w:rPr>
        <w:t xml:space="preserve">atârnă-le de gât”), dirijând toate activitățile omului (20-23).</w:t>
      </w:r>
      <w:r>
        <w:rPr>
          <w:rFonts w:cstheme="minorHAnsi"/>
          <w:szCs w:val="22"/>
        </w:rPr>
      </w:r>
    </w:p>
    <w:p>
      <w:pPr>
        <w:pBdr/>
        <w:spacing/>
        <w:ind/>
        <w:rPr>
          <w:rFonts w:cstheme="minorHAnsi"/>
          <w:szCs w:val="22"/>
        </w:rPr>
      </w:pPr>
      <w:r>
        <w:rPr>
          <w:rFonts w:cstheme="minorHAnsi"/>
          <w:szCs w:val="22"/>
        </w:rPr>
        <w:t xml:space="preserve">A doua lecție cuprinde avertismente solemne împotriva păcatului adulterului (24-</w:t>
      </w:r>
      <w:r>
        <w:rPr>
          <w:rFonts w:cstheme="minorHAnsi"/>
          <w:szCs w:val="22"/>
        </w:rPr>
        <w:t xml:space="preserve">35). Disciplina și corectarea în lumina legii lui Dumnezeu protejează tânarul de femeia stricată. Dar, dacă tânărul va părăsi învățătura sănătoasă, i se reamintește că judecata lui Dumnezeu este inevitabilă. Întotdeauna păcatul este însoțit de consecințe. </w:t>
      </w:r>
      <w:r>
        <w:rPr>
          <w:rFonts w:cstheme="minorHAnsi"/>
          <w:szCs w:val="22"/>
        </w:rPr>
      </w:r>
    </w:p>
    <w:p>
      <w:pPr>
        <w:pBdr/>
        <w:spacing/>
        <w:ind/>
        <w:rPr>
          <w:rFonts w:cstheme="minorHAnsi"/>
          <w:szCs w:val="22"/>
        </w:rPr>
      </w:pPr>
      <w:r>
        <w:rPr>
          <w:rFonts w:cstheme="minorHAnsi"/>
          <w:szCs w:val="22"/>
        </w:rPr>
        <w:t xml:space="preserve">Legătura cu femeia ușuratică aduce sărăcie și pierderea sufletului. Păcatul preacurviei este asemănat cu focul pus în sân și cu umblarea pe cărbuni aprinși</w:t>
      </w:r>
      <w:r>
        <w:rPr>
          <w:rFonts w:cstheme="minorHAnsi"/>
          <w:szCs w:val="22"/>
        </w:rPr>
        <w:t xml:space="preserve">, adică, practic, nu îl poți ascunde, chiar dacă vrei, și te va afecta grav</w:t>
      </w:r>
      <w:r>
        <w:rPr>
          <w:rFonts w:cstheme="minorHAnsi"/>
          <w:szCs w:val="22"/>
        </w:rPr>
        <w:t xml:space="preserve">. Preacurvia este o nebunie cu urmări dezastruoase din punct de vedere social, spiritual și moral, și poate, chiar fizic (32). Realitatea tristă este că omul adulter</w:t>
      </w:r>
      <w:r>
        <w:rPr>
          <w:rFonts w:cstheme="minorHAnsi"/>
          <w:szCs w:val="22"/>
        </w:rPr>
        <w:t xml:space="preserve"> „</w:t>
      </w:r>
      <w:r>
        <w:rPr>
          <w:rFonts w:cstheme="minorHAnsi"/>
          <w:szCs w:val="22"/>
        </w:rPr>
        <w:t xml:space="preserve">n</w:t>
      </w:r>
      <w:r>
        <w:rPr>
          <w:rFonts w:cstheme="minorHAnsi"/>
          <w:szCs w:val="22"/>
        </w:rPr>
        <w:t xml:space="preserve">u va avea decât rană și rușine, și ocara nu i se va șterge”(33).</w:t>
      </w:r>
      <w:r>
        <w:rPr>
          <w:rFonts w:cstheme="minorHAnsi"/>
          <w:szCs w:val="22"/>
        </w:rPr>
      </w:r>
    </w:p>
    <w:p>
      <w:pPr>
        <w:pBdr/>
        <w:spacing/>
        <w:ind/>
        <w:rPr>
          <w:rFonts w:cstheme="minorHAnsi"/>
          <w:szCs w:val="22"/>
        </w:rPr>
      </w:pPr>
      <w:r>
        <w:rPr>
          <w:rFonts w:cstheme="minorHAnsi"/>
          <w:szCs w:val="22"/>
        </w:rPr>
      </w:r>
      <w:r>
        <w:rPr>
          <w:rFonts w:cstheme="minorHAnsi"/>
          <w:szCs w:val="22"/>
        </w:rPr>
      </w:r>
    </w:p>
    <w:p>
      <w:pPr>
        <w:pStyle w:val="885"/>
        <w:pBdr/>
        <w:spacing/>
        <w:ind/>
        <w:rPr/>
      </w:pPr>
      <w:r>
        <w:t xml:space="preserve">A</w:t>
      </w:r>
      <w:r>
        <w:t xml:space="preserve">plicații</w:t>
      </w:r>
      <w:r>
        <w:t xml:space="preserve">  </w:t>
      </w:r>
      <w:r/>
    </w:p>
    <w:p>
      <w:pPr>
        <w:pBdr/>
        <w:spacing/>
        <w:ind w:firstLine="0"/>
        <w:rPr>
          <w:rFonts w:cstheme="minorHAnsi"/>
          <w:szCs w:val="22"/>
        </w:rPr>
      </w:pPr>
      <w:r>
        <w:rPr>
          <w:rFonts w:cstheme="minorHAnsi"/>
          <w:szCs w:val="22"/>
        </w:rPr>
        <w:t xml:space="preserve">Care trebuie să fie atitudinea creștinului față de jocurile de noroc (cazinouri, loterie, etc.)?</w:t>
      </w:r>
      <w:r>
        <w:rPr>
          <w:rFonts w:cstheme="minorHAnsi"/>
          <w:szCs w:val="22"/>
        </w:rPr>
      </w:r>
    </w:p>
    <w:p>
      <w:pPr>
        <w:pBdr/>
        <w:spacing/>
        <w:ind w:firstLine="0"/>
        <w:rPr/>
      </w:pPr>
      <w:r>
        <w:t xml:space="preserve">..................................................................................................................................................</w:t>
      </w:r>
      <w:r/>
    </w:p>
    <w:p>
      <w:pPr>
        <w:pBdr/>
        <w:spacing/>
        <w:ind w:firstLine="0"/>
        <w:rPr/>
      </w:pPr>
      <w:r>
        <w:t xml:space="preserve">..................................................................................................................................................</w:t>
      </w:r>
      <w:r/>
    </w:p>
    <w:p>
      <w:pPr>
        <w:pBdr/>
        <w:spacing/>
        <w:ind w:firstLine="0"/>
        <w:rPr/>
      </w:pPr>
      <w:r>
        <w:t xml:space="preserve">..................................................................................................................................................</w:t>
      </w:r>
      <w:r/>
    </w:p>
    <w:p>
      <w:pPr>
        <w:pBdr/>
        <w:spacing/>
        <w:ind w:firstLine="0"/>
        <w:rPr>
          <w:rFonts w:cstheme="minorHAnsi"/>
          <w:szCs w:val="22"/>
        </w:rPr>
      </w:pPr>
      <w:r>
        <w:rPr>
          <w:rFonts w:cstheme="minorHAnsi"/>
          <w:szCs w:val="22"/>
        </w:rPr>
      </w:r>
      <w:r>
        <w:rPr>
          <w:rFonts w:cstheme="minorHAnsi"/>
          <w:szCs w:val="22"/>
        </w:rPr>
      </w:r>
    </w:p>
    <w:p>
      <w:pPr>
        <w:pBdr/>
        <w:spacing/>
        <w:ind w:firstLine="0"/>
        <w:rPr>
          <w:rFonts w:cstheme="minorHAnsi"/>
          <w:szCs w:val="22"/>
        </w:rPr>
      </w:pPr>
      <w:r>
        <w:rPr>
          <w:rFonts w:cstheme="minorHAnsi"/>
          <w:szCs w:val="22"/>
        </w:rPr>
        <w:t xml:space="preserve">De ce și când este recomandabil să începem disciplina economisirii în domeniul financiar?                                                                                                      </w:t>
      </w:r>
      <w:r>
        <w:rPr>
          <w:rFonts w:cstheme="minorHAnsi"/>
          <w:szCs w:val="22"/>
        </w:rPr>
      </w:r>
    </w:p>
    <w:p>
      <w:pPr>
        <w:pBdr/>
        <w:spacing/>
        <w:ind w:firstLine="0"/>
        <w:rPr/>
      </w:pPr>
      <w:r>
        <w:t xml:space="preserve">..................................................................................................................................................</w:t>
      </w:r>
      <w:r/>
    </w:p>
    <w:p>
      <w:pPr>
        <w:pBdr/>
        <w:spacing/>
        <w:ind w:firstLine="0"/>
        <w:rPr/>
      </w:pPr>
      <w:r>
        <w:t xml:space="preserve">..................................................................................................................................................</w:t>
      </w:r>
      <w:r/>
    </w:p>
    <w:p>
      <w:pPr>
        <w:pBdr/>
        <w:spacing/>
        <w:ind w:firstLine="0"/>
        <w:rPr/>
      </w:pPr>
      <w:r>
        <w:t xml:space="preserve">..................................................................................................................................................</w:t>
      </w:r>
      <w:r/>
    </w:p>
    <w:p>
      <w:pPr>
        <w:pBdr/>
        <w:spacing/>
        <w:ind/>
        <w:rPr>
          <w:rFonts w:cstheme="minorHAnsi"/>
          <w:szCs w:val="22"/>
        </w:rPr>
      </w:pPr>
      <w:r>
        <w:rPr>
          <w:rFonts w:cstheme="minorHAnsi"/>
          <w:szCs w:val="22"/>
        </w:rPr>
      </w:r>
      <w:r>
        <w:rPr>
          <w:rFonts w:cstheme="minorHAnsi"/>
          <w:szCs w:val="22"/>
        </w:rPr>
      </w:r>
    </w:p>
    <w:p>
      <w:pPr>
        <w:pBdr/>
        <w:spacing/>
        <w:ind w:firstLine="0"/>
        <w:rPr>
          <w:rFonts w:cstheme="minorHAnsi"/>
          <w:szCs w:val="22"/>
        </w:rPr>
      </w:pPr>
      <w:r>
        <w:rPr>
          <w:rFonts w:cstheme="minorHAnsi"/>
          <w:szCs w:val="22"/>
        </w:rPr>
        <w:t xml:space="preserve">Cum poate fi recunoscut omul de nimic (bărbat sau femeie)? De ce Biblia ne cere să nu ne înjugăm la un jug nepotrivit cu cei necredincioși?</w:t>
      </w:r>
      <w:r>
        <w:rPr>
          <w:rFonts w:cstheme="minorHAnsi"/>
          <w:szCs w:val="22"/>
        </w:rPr>
      </w:r>
    </w:p>
    <w:p>
      <w:pPr>
        <w:pBdr/>
        <w:spacing/>
        <w:ind w:firstLine="0"/>
        <w:rPr/>
      </w:pPr>
      <w:r>
        <w:t xml:space="preserve">..................................................................................................................................................</w:t>
      </w:r>
      <w:r/>
    </w:p>
    <w:p>
      <w:pPr>
        <w:pBdr/>
        <w:spacing/>
        <w:ind w:firstLine="0"/>
        <w:rPr/>
      </w:pPr>
      <w:r>
        <w:t xml:space="preserve">..................................................................................................................................................</w:t>
      </w:r>
      <w:r/>
    </w:p>
    <w:p>
      <w:pPr>
        <w:pBdr/>
        <w:spacing/>
        <w:ind w:firstLine="0"/>
        <w:rPr/>
      </w:pPr>
      <w:r>
        <w:t xml:space="preserve">..................................................................................................................................................</w:t>
      </w:r>
      <w:r/>
    </w:p>
    <w:p>
      <w:pPr>
        <w:pBdr/>
        <w:spacing/>
        <w:ind w:firstLine="0"/>
        <w:rPr>
          <w:rFonts w:cstheme="minorHAnsi"/>
          <w:szCs w:val="22"/>
        </w:rPr>
      </w:pPr>
      <w:r>
        <w:rPr>
          <w:rFonts w:cstheme="minorHAnsi"/>
          <w:szCs w:val="22"/>
        </w:rPr>
      </w:r>
      <w:r>
        <w:rPr>
          <w:rFonts w:cstheme="minorHAnsi"/>
          <w:szCs w:val="22"/>
        </w:rPr>
      </w:r>
    </w:p>
    <w:p>
      <w:pPr>
        <w:pBdr/>
        <w:spacing/>
        <w:ind w:firstLine="0"/>
        <w:rPr>
          <w:rFonts w:cstheme="minorHAnsi"/>
          <w:szCs w:val="22"/>
        </w:rPr>
      </w:pPr>
      <w:r>
        <w:rPr>
          <w:rFonts w:cstheme="minorHAnsi"/>
          <w:szCs w:val="22"/>
        </w:rPr>
        <w:t xml:space="preserve">Ce mijloace are la dispoziție cel credincios pentru a birui ispita adulterului?</w:t>
      </w:r>
      <w:r>
        <w:rPr>
          <w:rFonts w:cstheme="minorHAnsi"/>
          <w:szCs w:val="22"/>
        </w:rPr>
      </w:r>
    </w:p>
    <w:p>
      <w:pPr>
        <w:pBdr/>
        <w:spacing/>
        <w:ind w:firstLine="0"/>
        <w:rPr/>
      </w:pPr>
      <w:r>
        <w:t xml:space="preserve">..................................................................................................................................................</w:t>
      </w:r>
      <w:r/>
    </w:p>
    <w:p>
      <w:pPr>
        <w:pBdr/>
        <w:spacing/>
        <w:ind w:firstLine="0"/>
        <w:rPr/>
      </w:pPr>
      <w:r>
        <w:t xml:space="preserve">..................................................................................................................................................</w:t>
      </w:r>
      <w:r/>
    </w:p>
    <w:p>
      <w:pPr>
        <w:pBdr/>
        <w:spacing/>
        <w:ind w:firstLine="0"/>
        <w:rPr/>
      </w:pPr>
      <w:r>
        <w:t xml:space="preserve">..................................................................................................................................................</w:t>
      </w:r>
      <w:r/>
    </w:p>
    <w:p>
      <w:pPr>
        <w:pBdr/>
        <w:spacing/>
        <w:ind w:firstLine="0"/>
        <w:rPr>
          <w:rFonts w:cstheme="minorHAnsi"/>
          <w:szCs w:val="22"/>
        </w:rPr>
      </w:pPr>
      <w:r>
        <w:rPr>
          <w:rFonts w:cstheme="minorHAnsi"/>
          <w:szCs w:val="22"/>
        </w:rPr>
      </w:r>
      <w:r>
        <w:rPr>
          <w:rFonts w:cstheme="minorHAnsi"/>
          <w:szCs w:val="22"/>
        </w:rPr>
      </w:r>
    </w:p>
    <w:p>
      <w:pPr>
        <w:pBdr/>
        <w:spacing/>
        <w:ind/>
        <w:rPr>
          <w:rFonts w:cstheme="minorHAnsi"/>
          <w:szCs w:val="22"/>
        </w:rPr>
      </w:pPr>
      <w:r>
        <w:rPr>
          <w:rFonts w:cstheme="minorHAnsi"/>
          <w:szCs w:val="22"/>
        </w:rPr>
      </w:r>
      <w:r>
        <w:rPr>
          <w:rFonts w:cstheme="minorHAnsi"/>
          <w:szCs w:val="22"/>
        </w:rPr>
      </w:r>
    </w:p>
    <w:p>
      <w:pPr>
        <w:pBdr/>
        <w:spacing w:after="0" w:line="240" w:lineRule="auto"/>
        <w:ind w:firstLine="0"/>
        <w:jc w:val="left"/>
        <w:rPr>
          <w:rFonts w:cstheme="minorHAnsi"/>
          <w:b/>
          <w:bCs/>
          <w:i/>
          <w:iCs/>
          <w:szCs w:val="22"/>
        </w:rPr>
      </w:pPr>
      <w:r>
        <w:rPr>
          <w:rFonts w:cstheme="minorHAnsi"/>
          <w:b/>
          <w:bCs/>
          <w:i/>
          <w:iCs/>
          <w:szCs w:val="22"/>
        </w:rPr>
        <w:br w:type="page" w:clear="all"/>
      </w:r>
      <w:r>
        <w:rPr>
          <w:rFonts w:cstheme="minorHAnsi"/>
          <w:b/>
          <w:bCs/>
          <w:i/>
          <w:iCs/>
          <w:szCs w:val="22"/>
        </w:rPr>
      </w:r>
    </w:p>
    <w:p>
      <w:pPr>
        <w:pStyle w:val="884"/>
        <w:pBdr/>
        <w:spacing/>
        <w:ind/>
        <w:rPr/>
      </w:pPr>
      <w:r/>
      <w:bookmarkStart w:id="24" w:name="_Toc171151246"/>
      <w:r>
        <w:t xml:space="preserve">22 a</w:t>
      </w:r>
      <w:r>
        <w:t xml:space="preserve">ug., Prov</w:t>
      </w:r>
      <w:r>
        <w:t xml:space="preserve">erbe </w:t>
      </w:r>
      <w:r>
        <w:t xml:space="preserve">7, Înțelepciunea și ispita, 7:4-5</w:t>
      </w:r>
      <w:bookmarkEnd w:id="24"/>
      <w:r/>
      <w:r/>
    </w:p>
    <w:p>
      <w:pPr>
        <w:pBdr/>
        <w:spacing/>
        <w:ind w:firstLine="0"/>
        <w:rPr>
          <w:rFonts w:cstheme="minorHAnsi"/>
          <w:szCs w:val="22"/>
        </w:rPr>
      </w:pPr>
      <w:r>
        <w:rPr>
          <w:rFonts w:cstheme="minorHAnsi"/>
          <w:szCs w:val="22"/>
        </w:rPr>
        <w:t xml:space="preserve">Proverbe 7 este</w:t>
      </w:r>
      <w:r>
        <w:rPr>
          <w:rFonts w:cstheme="minorHAnsi"/>
          <w:szCs w:val="22"/>
        </w:rPr>
        <w:t xml:space="preserve">, de asemenea,</w:t>
      </w:r>
      <w:r>
        <w:rPr>
          <w:rFonts w:cstheme="minorHAnsi"/>
          <w:szCs w:val="22"/>
        </w:rPr>
        <w:t xml:space="preserve"> mesajul unui tată pentru fiul său. Tatăl îi spune fiului o poveste </w:t>
      </w:r>
      <w:r>
        <w:rPr>
          <w:rFonts w:cstheme="minorHAnsi"/>
          <w:szCs w:val="22"/>
        </w:rPr>
        <w:t xml:space="preserve">– foarte posibil, reală - </w:t>
      </w:r>
      <w:r>
        <w:rPr>
          <w:rFonts w:cstheme="minorHAnsi"/>
          <w:szCs w:val="22"/>
        </w:rPr>
        <w:t xml:space="preserve">despre un tânăr</w:t>
      </w:r>
      <w:r>
        <w:rPr>
          <w:rFonts w:cstheme="minorHAnsi"/>
          <w:szCs w:val="22"/>
        </w:rPr>
        <w:t xml:space="preserve"> „</w:t>
      </w:r>
      <w:r>
        <w:rPr>
          <w:rFonts w:cstheme="minorHAnsi"/>
          <w:szCs w:val="22"/>
        </w:rPr>
        <w:t xml:space="preserve">fără minte”, ușuratic, care a căzut în capcana unei femei străine, seducătoare</w:t>
      </w:r>
      <w:r>
        <w:rPr>
          <w:rFonts w:cstheme="minorHAnsi"/>
          <w:szCs w:val="22"/>
        </w:rPr>
        <w:t xml:space="preserve">,</w:t>
      </w:r>
      <w:r>
        <w:rPr>
          <w:rFonts w:cstheme="minorHAnsi"/>
          <w:szCs w:val="22"/>
        </w:rPr>
        <w:t xml:space="preserve"> și îl avertizează să nu facă același lucru. </w:t>
      </w:r>
      <w:r>
        <w:rPr>
          <w:rFonts w:cstheme="minorHAnsi"/>
          <w:szCs w:val="22"/>
        </w:rPr>
      </w:r>
    </w:p>
    <w:p>
      <w:pPr>
        <w:pBdr/>
        <w:spacing/>
        <w:ind/>
        <w:rPr/>
      </w:pPr>
      <w:r>
        <w:t xml:space="preserve">Capitolul 7 este ultima din prelegerile parentale și este alcătuită dintr-o introducere (1-5), o lecție/</w:t>
      </w:r>
      <w:r>
        <w:t xml:space="preserve"> ilustrație </w:t>
      </w:r>
      <w:r>
        <w:t xml:space="preserve">(6-</w:t>
      </w:r>
      <w:r>
        <w:t xml:space="preserve">23) și o concluzie (24-27). Pro</w:t>
      </w:r>
      <w:r>
        <w:t xml:space="preserve">verbe 7 are un înțeles și vocabular similare cu Proverbe 2:16-20.</w:t>
      </w:r>
      <w:r>
        <w:t xml:space="preserve"> Și acolo Î</w:t>
      </w:r>
      <w:r>
        <w:t xml:space="preserve">nțelepciunea îl scapă pe tânăr de nevasta altuia, de străina ademenitoare, care părăsește pe bărbatul tinereții ei și uită legământul </w:t>
      </w:r>
      <w:r>
        <w:t xml:space="preserve">cu </w:t>
      </w:r>
      <w:r>
        <w:t xml:space="preserve">Dumnezeul</w:t>
      </w:r>
      <w:r>
        <w:t xml:space="preserve"> la căsătorie</w:t>
      </w:r>
      <w:r>
        <w:t xml:space="preserve">. Dar, Proverbe 7 este unic prin faptul că tatăl spune o lecție/</w:t>
      </w:r>
      <w:r>
        <w:t xml:space="preserve">ilustrație</w:t>
      </w:r>
      <w:r>
        <w:t xml:space="preserve"> din punctul de vedere al unui observator</w:t>
      </w:r>
      <w:r>
        <w:t xml:space="preserve"> din afară</w:t>
      </w:r>
      <w:r>
        <w:t xml:space="preserve">.</w:t>
      </w:r>
      <w:r/>
    </w:p>
    <w:p>
      <w:pPr>
        <w:pStyle w:val="885"/>
        <w:pBdr/>
        <w:spacing/>
        <w:ind/>
        <w:rPr/>
      </w:pPr>
      <w:r>
        <w:t xml:space="preserve">I</w:t>
      </w:r>
      <w:r>
        <w:t xml:space="preserve">mportanța prețuirii înțelepciunii</w:t>
      </w:r>
      <w:r>
        <w:t xml:space="preserve"> (1-5)</w:t>
      </w:r>
      <w:r/>
    </w:p>
    <w:p>
      <w:pPr>
        <w:pBdr/>
        <w:spacing/>
        <w:ind w:firstLine="0"/>
        <w:rPr>
          <w:rFonts w:cstheme="minorHAnsi"/>
          <w:szCs w:val="22"/>
        </w:rPr>
      </w:pPr>
      <w:r>
        <w:rPr>
          <w:rFonts w:cstheme="minorHAnsi"/>
          <w:szCs w:val="22"/>
        </w:rPr>
        <w:t xml:space="preserve">La fel ca în secțiunile anterioare, care avertizau împotriva imoralității sexuale (Prov. 5:1-4 și 6:20-24) și împotriva femeii străine, Proverbe 7 începe cu accent pe păstrarea și înțelegerea Cuvântului lui Dumnezeu și a înțelepciunii unui tată:</w:t>
      </w:r>
      <w:r>
        <w:rPr>
          <w:rFonts w:cstheme="minorHAnsi"/>
          <w:szCs w:val="22"/>
        </w:rPr>
        <w:t xml:space="preserve"> „</w:t>
      </w:r>
      <w:r>
        <w:rPr>
          <w:rFonts w:cstheme="minorHAnsi"/>
          <w:szCs w:val="22"/>
        </w:rPr>
        <w:t xml:space="preserve">Fiule, păstrează cuvintele mele, și ține la tine sfaturile mele. Ține sfaturile mele, și vei trăi; păzește învățăturile mele ca lumina ochilor”(1-2). Implicația nu este că simpla citire a Bibliei oferă o pro</w:t>
      </w:r>
      <w:r>
        <w:rPr>
          <w:rFonts w:cstheme="minorHAnsi"/>
          <w:szCs w:val="22"/>
        </w:rPr>
        <w:t xml:space="preserve">tecție magică împotriva imoralității sexuale. Totuși, dacă o persoană ține poruncile scrise ale lui Dumnezeu, ea nu va savârși acest păcat, iar păzirea poruncilor începe prin a le cunoaște, a le prețui și a medita asupra lor. „Leagă-le la degete, scrie-le </w:t>
      </w:r>
      <w:r>
        <w:rPr>
          <w:rFonts w:cstheme="minorHAnsi"/>
          <w:szCs w:val="22"/>
        </w:rPr>
        <w:t xml:space="preserve">pe tăblița inimii tale. Zi înțelepciunii: „Tu ești sora mea!” Și numește priceperea prietena ta.” (3-4). Solomon și-a sfătuit fiul să aibe o relație vie și plină de sens cu Cuvântul lui Dumnezeu. Nu ar trebui să fie doar în mintea lui, ci și în inima lui. </w:t>
      </w:r>
      <w:r>
        <w:rPr>
          <w:rFonts w:cstheme="minorHAnsi"/>
          <w:szCs w:val="22"/>
        </w:rPr>
      </w:r>
    </w:p>
    <w:p>
      <w:pPr>
        <w:pBdr/>
        <w:spacing/>
        <w:ind/>
        <w:rPr>
          <w:rFonts w:cstheme="minorHAnsi"/>
          <w:szCs w:val="22"/>
        </w:rPr>
      </w:pPr>
      <w:r>
        <w:rPr>
          <w:rFonts w:cstheme="minorHAnsi"/>
          <w:szCs w:val="22"/>
        </w:rPr>
        <w:t xml:space="preserve">Beneficiul păstrării aproape a Cuvântului lui Dumnezeu și a înțelepciunii unui tată este clar afirmat:</w:t>
      </w:r>
      <w:r>
        <w:rPr>
          <w:rFonts w:cstheme="minorHAnsi"/>
          <w:szCs w:val="22"/>
        </w:rPr>
        <w:t xml:space="preserve"> „</w:t>
      </w:r>
      <w:r>
        <w:rPr>
          <w:rFonts w:cstheme="minorHAnsi"/>
          <w:szCs w:val="22"/>
        </w:rPr>
        <w:t xml:space="preserve">ca să te ferească de nevasta altuia, de străina care întrebuințează cuvinte ademenitoare”(5).</w:t>
      </w:r>
      <w:r>
        <w:rPr>
          <w:rFonts w:cstheme="minorHAnsi"/>
          <w:szCs w:val="22"/>
        </w:rPr>
      </w:r>
    </w:p>
    <w:p>
      <w:pPr>
        <w:pBdr/>
        <w:spacing/>
        <w:ind/>
        <w:rPr>
          <w:rFonts w:cstheme="minorHAnsi"/>
          <w:szCs w:val="22"/>
        </w:rPr>
      </w:pPr>
      <w:r>
        <w:rPr>
          <w:rFonts w:cstheme="minorHAnsi"/>
          <w:szCs w:val="22"/>
        </w:rPr>
        <w:t xml:space="preserve"> Înțeleciunea și puterea Cuvântului lui Dumnezeu ne ajută să ne ferim de femeia (sau bărbatul) imoral. Din Sfânta Scriptură învățăm despre  înșelăciunea și strategia păcatului și </w:t>
      </w:r>
      <w:r>
        <w:rPr>
          <w:rFonts w:cstheme="minorHAnsi"/>
          <w:szCs w:val="22"/>
        </w:rPr>
        <w:t xml:space="preserve">a ispitei. Învățăm și care sunt sfârșitul și consecințele păcatului, dar și beneficiile minunate ale ascultării de Domnul. Cuvântul lui Dumnezeu ne dă lumina spirituală și puterea de care avem nevoie pentru a-L asculta pe Dumnezeu în acest domeniu dificil.</w:t>
      </w:r>
      <w:r>
        <w:rPr>
          <w:rFonts w:cstheme="minorHAnsi"/>
          <w:szCs w:val="22"/>
        </w:rPr>
      </w:r>
    </w:p>
    <w:p>
      <w:pPr>
        <w:pStyle w:val="885"/>
        <w:pBdr/>
        <w:spacing/>
        <w:ind/>
        <w:rPr/>
      </w:pPr>
      <w:r>
        <w:t xml:space="preserve">L</w:t>
      </w:r>
      <w:r>
        <w:t xml:space="preserve">ecția sau povestirea despre ispita ademenirii în adulter</w:t>
      </w:r>
      <w:r>
        <w:t xml:space="preserve"> (6-23)</w:t>
      </w:r>
      <w:r/>
    </w:p>
    <w:p>
      <w:pPr>
        <w:pBdr/>
        <w:spacing/>
        <w:ind w:firstLine="0"/>
        <w:rPr>
          <w:rFonts w:cstheme="minorHAnsi"/>
          <w:szCs w:val="22"/>
        </w:rPr>
      </w:pPr>
      <w:r>
        <w:rPr>
          <w:rFonts w:cstheme="minorHAnsi"/>
          <w:szCs w:val="22"/>
        </w:rPr>
        <w:t xml:space="preserve">De la principiile teoretice prezentate în introducere, Solomon, ca un povestitor iscusit, trece la partea practică și explică fiului  ce a observat de la fereasta casei sale </w:t>
      </w:r>
      <w:r>
        <w:rPr>
          <w:rFonts w:cstheme="minorHAnsi"/>
          <w:szCs w:val="22"/>
        </w:rPr>
        <w:t xml:space="preserve">în timp ce privea</w:t>
      </w:r>
      <w:r>
        <w:rPr>
          <w:rFonts w:cstheme="minorHAnsi"/>
          <w:szCs w:val="22"/>
        </w:rPr>
        <w:t xml:space="preserve"> un tânăr</w:t>
      </w:r>
      <w:r>
        <w:rPr>
          <w:rFonts w:cstheme="minorHAnsi"/>
          <w:szCs w:val="22"/>
        </w:rPr>
        <w:t xml:space="preserve"> care s-a dovedit</w:t>
      </w:r>
      <w:r>
        <w:rPr>
          <w:rFonts w:cstheme="minorHAnsi"/>
          <w:szCs w:val="22"/>
        </w:rPr>
        <w:t xml:space="preserve"> fără minte, ușurati</w:t>
      </w:r>
      <w:r>
        <w:rPr>
          <w:rFonts w:cstheme="minorHAnsi"/>
          <w:szCs w:val="22"/>
        </w:rPr>
        <w:t xml:space="preserve">c și credul (7). Tânărul are toate pasiunile, energia și excesul de încredere caracteristice tinereții, dar nimic din înțelepciunea pe care o pot aduce anii maturității. În căutarea une aventuri nocturne, el rătăcea pe străzi pe calea care ducea spre casa </w:t>
      </w:r>
      <w:r>
        <w:rPr>
          <w:rFonts w:cstheme="minorHAnsi"/>
          <w:szCs w:val="22"/>
        </w:rPr>
        <w:t xml:space="preserve">femeii străine (8,9). Femeia seducătoare, îmbrăcată ca o desfrânată și cu inima șireată, îi aleargă înainte: „Era bună de gură și fără astâmpăr; picioarele nu-i puteau sta acasă: când în uliță, când în piețe, pe la toate colțurile stătea la pândă”(10-12). </w:t>
      </w:r>
      <w:r>
        <w:rPr>
          <w:rFonts w:cstheme="minorHAnsi"/>
          <w:szCs w:val="22"/>
        </w:rPr>
      </w:r>
    </w:p>
    <w:p>
      <w:pPr>
        <w:pBdr/>
        <w:spacing/>
        <w:ind/>
        <w:rPr/>
      </w:pPr>
      <w:r>
        <w:t xml:space="preserve">Asistăm la o adevărată „vânătoare a sufletului”, așa cum, în mod plastic și solemn declară Solomon în Proverbe 6:26: „...</w:t>
      </w:r>
      <w:r>
        <w:t xml:space="preserve"> </w:t>
      </w:r>
      <w:r>
        <w:t xml:space="preserve">femeia măritată întinde o cursă unui suflet scump”. Femeia, cu o față </w:t>
      </w:r>
      <w:r>
        <w:t xml:space="preserve">neintimidată de r</w:t>
      </w:r>
      <w:r>
        <w:t xml:space="preserve">ușine și folosind un limbaj religios, îl ademenește pe tânăr cu imagini erotice, îl „anesteziază” cu multe vorbe, </w:t>
      </w:r>
      <w:r>
        <w:t xml:space="preserve"> </w:t>
      </w:r>
      <w:r>
        <w:t xml:space="preserve">minci</w:t>
      </w:r>
      <w:r>
        <w:t xml:space="preserve">uni și multă obrăznicie (13-21), În</w:t>
      </w:r>
      <w:r>
        <w:t xml:space="preserve"> final tânărul a mers după ea</w:t>
      </w:r>
      <w:r>
        <w:t xml:space="preserve"> „</w:t>
      </w:r>
      <w:r>
        <w:t xml:space="preserve">ca boul care se duce la măcelărie, ca un cerb care aleargă spre cursă, ca pasărea care dă buzna în laț, fără să știe că o va costa viața, până ce săgeata îi străpunge ficatul” (22-23). Inconștient, tânărul cade în lațul </w:t>
      </w:r>
      <w:r>
        <w:t xml:space="preserve">unei persoane viclene, care îl atrage spre păcat, și de fapt, cade în capcana lui</w:t>
      </w:r>
      <w:r>
        <w:t xml:space="preserve"> Satan (Psalmul 91:3) și este prins </w:t>
      </w:r>
      <w:r>
        <w:t xml:space="preserve">pe scara depravării. Plăcerile acestea țin doar o</w:t>
      </w:r>
      <w:r>
        <w:t xml:space="preserve"> clipă, </w:t>
      </w:r>
      <w:r>
        <w:t xml:space="preserve">și sunt plătite cu sufletul!</w:t>
      </w:r>
      <w:r/>
    </w:p>
    <w:p>
      <w:pPr>
        <w:pStyle w:val="885"/>
        <w:pBdr/>
        <w:spacing/>
        <w:ind/>
        <w:rPr/>
      </w:pPr>
      <w:r>
        <w:t xml:space="preserve">C</w:t>
      </w:r>
      <w:r>
        <w:t xml:space="preserve">oncluzia – atenționări solemne</w:t>
      </w:r>
      <w:r>
        <w:t xml:space="preserve"> (24-27)</w:t>
      </w:r>
      <w:r/>
    </w:p>
    <w:p>
      <w:pPr>
        <w:pBdr/>
        <w:spacing/>
        <w:ind w:firstLine="0"/>
        <w:rPr>
          <w:rFonts w:cstheme="minorHAnsi"/>
          <w:szCs w:val="22"/>
        </w:rPr>
      </w:pPr>
      <w:r>
        <w:rPr>
          <w:rFonts w:cstheme="minorHAnsi"/>
          <w:szCs w:val="22"/>
        </w:rPr>
        <w:t xml:space="preserve">Tatăl își încheie lecția/poveste cu îndemnuri și atenționări solemne.</w:t>
      </w:r>
      <w:r>
        <w:rPr>
          <w:rFonts w:cstheme="minorHAnsi"/>
          <w:szCs w:val="22"/>
        </w:rPr>
        <w:t xml:space="preserve"> </w:t>
      </w:r>
      <w:r>
        <w:rPr>
          <w:rFonts w:cstheme="minorHAnsi"/>
          <w:szCs w:val="22"/>
        </w:rPr>
        <w:t xml:space="preserve">Atenționările sunt valabile pentru toți tinerii („Fiule” din versetul 1 </w:t>
      </w:r>
      <w:r>
        <w:rPr>
          <w:rFonts w:cstheme="minorHAnsi"/>
          <w:szCs w:val="22"/>
        </w:rPr>
        <w:t xml:space="preserve">este înlocuit cu adresarea</w:t>
      </w:r>
      <w:r>
        <w:rPr>
          <w:rFonts w:cstheme="minorHAnsi"/>
          <w:szCs w:val="22"/>
        </w:rPr>
        <w:t xml:space="preserve"> „fiilor”</w:t>
      </w:r>
      <w:r>
        <w:rPr>
          <w:rFonts w:cstheme="minorHAnsi"/>
          <w:szCs w:val="22"/>
        </w:rPr>
        <w:t xml:space="preserve">, în</w:t>
      </w:r>
      <w:r>
        <w:rPr>
          <w:rFonts w:cstheme="minorHAnsi"/>
          <w:szCs w:val="22"/>
        </w:rPr>
        <w:t xml:space="preserve"> versetul 24):                                                                        </w:t>
      </w:r>
      <w:r>
        <w:rPr>
          <w:rFonts w:cstheme="minorHAnsi"/>
          <w:szCs w:val="22"/>
        </w:rPr>
      </w:r>
    </w:p>
    <w:p>
      <w:pPr>
        <w:pBdr/>
        <w:spacing/>
        <w:ind/>
        <w:rPr>
          <w:rFonts w:cstheme="minorHAnsi"/>
          <w:szCs w:val="22"/>
        </w:rPr>
      </w:pPr>
      <w:r>
        <w:rPr>
          <w:rFonts w:cstheme="minorHAnsi"/>
          <w:b/>
          <w:bCs/>
          <w:i/>
          <w:szCs w:val="22"/>
        </w:rPr>
        <w:t xml:space="preserve">.</w:t>
      </w:r>
      <w:r>
        <w:rPr>
          <w:rFonts w:cstheme="minorHAnsi"/>
          <w:i/>
          <w:szCs w:val="22"/>
        </w:rPr>
        <w:t xml:space="preserve"> Ce trebuie să facă?</w:t>
      </w:r>
      <w:r>
        <w:rPr>
          <w:rFonts w:cstheme="minorHAnsi"/>
          <w:szCs w:val="22"/>
        </w:rPr>
        <w:t xml:space="preserve"> „Și acum, fiilor, ascultați-mă și luați aminte la cuvintele gurii mele”(24);</w:t>
      </w:r>
      <w:r>
        <w:rPr>
          <w:rFonts w:cstheme="minorHAnsi"/>
          <w:szCs w:val="22"/>
        </w:rPr>
      </w:r>
    </w:p>
    <w:p>
      <w:pPr>
        <w:pBdr/>
        <w:spacing/>
        <w:ind/>
        <w:rPr>
          <w:rFonts w:cstheme="minorHAnsi"/>
          <w:szCs w:val="22"/>
        </w:rPr>
      </w:pPr>
      <w:r>
        <w:rPr>
          <w:rFonts w:cstheme="minorHAnsi"/>
          <w:b/>
          <w:bCs/>
          <w:i/>
          <w:szCs w:val="22"/>
        </w:rPr>
        <w:t xml:space="preserve">. </w:t>
      </w:r>
      <w:r>
        <w:rPr>
          <w:rFonts w:cstheme="minorHAnsi"/>
          <w:i/>
          <w:szCs w:val="22"/>
        </w:rPr>
        <w:t xml:space="preserve">Ce nu trebuie să facă?</w:t>
      </w:r>
      <w:r>
        <w:rPr>
          <w:rFonts w:cstheme="minorHAnsi"/>
          <w:szCs w:val="22"/>
        </w:rPr>
        <w:t xml:space="preserve"> „</w:t>
      </w:r>
      <w:r>
        <w:rPr>
          <w:rFonts w:cstheme="minorHAnsi"/>
          <w:szCs w:val="22"/>
        </w:rPr>
        <w:t xml:space="preserve">Să nu ți se abată inima spre calea unei asemenea femei, nu te rătăci pe cărările ei”(25);</w:t>
      </w:r>
      <w:r>
        <w:rPr>
          <w:rFonts w:cstheme="minorHAnsi"/>
          <w:szCs w:val="22"/>
        </w:rPr>
      </w:r>
    </w:p>
    <w:p>
      <w:pPr>
        <w:pBdr/>
        <w:spacing/>
        <w:ind/>
        <w:rPr>
          <w:rFonts w:cstheme="minorHAnsi"/>
          <w:szCs w:val="22"/>
        </w:rPr>
      </w:pPr>
      <w:r>
        <w:rPr>
          <w:rFonts w:cstheme="minorHAnsi"/>
          <w:b/>
          <w:bCs/>
          <w:i/>
          <w:szCs w:val="22"/>
        </w:rPr>
        <w:t xml:space="preserve">. </w:t>
      </w:r>
      <w:r>
        <w:rPr>
          <w:rFonts w:cstheme="minorHAnsi"/>
          <w:i/>
          <w:szCs w:val="22"/>
        </w:rPr>
        <w:t xml:space="preserve">De ce să acționeze astfel?</w:t>
      </w:r>
      <w:r>
        <w:rPr>
          <w:rFonts w:cstheme="minorHAnsi"/>
          <w:szCs w:val="22"/>
        </w:rPr>
        <w:t xml:space="preserve"> </w:t>
      </w:r>
      <w:r>
        <w:rPr>
          <w:rFonts w:cstheme="minorHAnsi"/>
          <w:szCs w:val="22"/>
        </w:rPr>
        <w:t xml:space="preserve"> „</w:t>
      </w:r>
      <w:r>
        <w:rPr>
          <w:rFonts w:cstheme="minorHAnsi"/>
          <w:szCs w:val="22"/>
        </w:rPr>
        <w:t xml:space="preserve">Căci ea a făcut să cadă multe jertfe și mulți sunt aceia pe care i-a ucis ea.Casa ei este drumul spre locuința morților, drumul care pogoară spre locuința morților”(26-27).</w:t>
      </w:r>
      <w:r>
        <w:rPr>
          <w:rFonts w:cstheme="minorHAnsi"/>
          <w:szCs w:val="22"/>
        </w:rPr>
      </w:r>
    </w:p>
    <w:p>
      <w:pPr>
        <w:pBdr/>
        <w:spacing/>
        <w:ind/>
        <w:rPr>
          <w:rFonts w:cstheme="minorHAnsi"/>
          <w:szCs w:val="22"/>
        </w:rPr>
      </w:pPr>
      <w:r>
        <w:rPr>
          <w:rFonts w:cstheme="minorHAnsi"/>
          <w:szCs w:val="22"/>
        </w:rPr>
        <w:t xml:space="preserve">Concluzia lecției/poveste repetă și întărește adevărurile prezentate în introducere subliniind solemnitatea acestor principii, întrucât ele decid destinul fiecărei persoane. Cine se joacă cu focul se arde!</w:t>
      </w:r>
      <w:r>
        <w:rPr>
          <w:rFonts w:cstheme="minorHAnsi"/>
          <w:szCs w:val="22"/>
        </w:rPr>
      </w:r>
    </w:p>
    <w:p>
      <w:pPr>
        <w:pBdr/>
        <w:spacing/>
        <w:ind/>
        <w:rPr>
          <w:rFonts w:cstheme="minorHAnsi"/>
          <w:szCs w:val="22"/>
        </w:rPr>
      </w:pPr>
      <w:r>
        <w:rPr>
          <w:rFonts w:cstheme="minorHAnsi"/>
          <w:szCs w:val="22"/>
        </w:rPr>
        <w:t xml:space="preserve">Revelația completă din Noul Testament ridică standardul și motivațiile vieții curate foarte sus. Dacă Legea interzicea preacurvia (Exod 20:14), Noul Testament (Domnul Isus și apostolii) condamnă nu numai actul în sine ci și motivația lui</w:t>
      </w:r>
      <w:r>
        <w:rPr>
          <w:rFonts w:cstheme="minorHAnsi"/>
          <w:szCs w:val="22"/>
        </w:rPr>
        <w:t xml:space="preserve">, începutul lui în inimă</w:t>
      </w:r>
      <w:r>
        <w:rPr>
          <w:rFonts w:cstheme="minorHAnsi"/>
          <w:szCs w:val="22"/>
        </w:rPr>
        <w:t xml:space="preserve"> („...</w:t>
      </w:r>
      <w:r>
        <w:rPr>
          <w:rFonts w:cstheme="minorHAnsi"/>
          <w:szCs w:val="22"/>
        </w:rPr>
        <w:t xml:space="preserve"> </w:t>
      </w:r>
      <w:r>
        <w:rPr>
          <w:rFonts w:cstheme="minorHAnsi"/>
          <w:szCs w:val="22"/>
        </w:rPr>
        <w:t xml:space="preserve">din inima oamenilor ies gândurile rele, preacurviile, curviile...”-</w:t>
      </w:r>
      <w:r>
        <w:rPr>
          <w:rFonts w:cstheme="minorHAnsi"/>
          <w:szCs w:val="22"/>
        </w:rPr>
        <w:t xml:space="preserve"> </w:t>
      </w:r>
      <w:r>
        <w:rPr>
          <w:rFonts w:cstheme="minorHAnsi"/>
          <w:szCs w:val="22"/>
        </w:rPr>
        <w:t xml:space="preserve">Marcu 7:21). De aceea Domnul Isus, în Predica de pe munte, afirmă:</w:t>
      </w:r>
      <w:r>
        <w:rPr>
          <w:rFonts w:cstheme="minorHAnsi"/>
          <w:szCs w:val="22"/>
        </w:rPr>
        <w:t xml:space="preserve"> „</w:t>
      </w:r>
      <w:r>
        <w:rPr>
          <w:rFonts w:cstheme="minorHAnsi"/>
          <w:szCs w:val="22"/>
        </w:rPr>
        <w:t xml:space="preserve">Dar Eu vă spun că ori și cine se uită la o femeie, ca s-o poftească, a și preacurvit cu ea în inima lui”(Matei 5:28). Atenție, deci la imagini, reviste, filme murdare, pornografie! </w:t>
      </w:r>
      <w:r>
        <w:rPr>
          <w:rFonts w:cstheme="minorHAnsi"/>
          <w:szCs w:val="22"/>
        </w:rPr>
      </w:r>
    </w:p>
    <w:p>
      <w:pPr>
        <w:pBdr/>
        <w:spacing/>
        <w:ind/>
        <w:rPr>
          <w:rFonts w:cstheme="minorHAnsi"/>
          <w:szCs w:val="22"/>
        </w:rPr>
      </w:pPr>
      <w:r>
        <w:rPr>
          <w:rFonts w:cstheme="minorHAnsi"/>
          <w:szCs w:val="22"/>
        </w:rPr>
        <w:t xml:space="preserve">La rândul lui, apostolul Pavel scrie Corintenilor:</w:t>
      </w:r>
      <w:r>
        <w:rPr>
          <w:rFonts w:cstheme="minorHAnsi"/>
          <w:szCs w:val="22"/>
        </w:rPr>
        <w:t xml:space="preserve"> „</w:t>
      </w:r>
      <w:r>
        <w:rPr>
          <w:rFonts w:cstheme="minorHAnsi"/>
          <w:szCs w:val="22"/>
        </w:rPr>
        <w:t xml:space="preserve">Fugiți de curvie!...cine curvește</w:t>
      </w:r>
      <w:r>
        <w:rPr>
          <w:rFonts w:cstheme="minorHAnsi"/>
          <w:szCs w:val="22"/>
        </w:rPr>
        <w:t xml:space="preserve">,</w:t>
      </w:r>
      <w:r>
        <w:rPr>
          <w:rFonts w:cstheme="minorHAnsi"/>
          <w:szCs w:val="22"/>
        </w:rPr>
        <w:t xml:space="preserve"> păcătuiește împotriva trupului să</w:t>
      </w:r>
      <w:r>
        <w:rPr>
          <w:rFonts w:cstheme="minorHAnsi"/>
          <w:szCs w:val="22"/>
        </w:rPr>
        <w:t xml:space="preserve">u. Nu știți că trupul vostru este Templul Duhului Sfânt, care locuiește în voi, și pe care L-ați primit de la Dumnezeu? Căci ați fost cumpărați cu un preț. Proslăviți dar pe Dumnezeu în trupul și duhul vostru, care sunt ale lui Dumnezeu” (1 Cor. 6:18-20). </w:t>
      </w:r>
      <w:r>
        <w:rPr>
          <w:rFonts w:cstheme="minorHAnsi"/>
          <w:szCs w:val="22"/>
        </w:rPr>
      </w:r>
    </w:p>
    <w:p>
      <w:pPr>
        <w:pBdr/>
        <w:spacing/>
        <w:ind/>
        <w:rPr>
          <w:rFonts w:cstheme="minorHAnsi"/>
          <w:szCs w:val="22"/>
        </w:rPr>
      </w:pPr>
      <w:r>
        <w:rPr>
          <w:rFonts w:cstheme="minorHAnsi"/>
          <w:szCs w:val="22"/>
        </w:rPr>
        <w:t xml:space="preserve">Motivația cea mai înaltă pentru a trăi o viață curată este porunca Domnului Isus însoțită de convingerea sfântă că noi, cu tot ce avem și suntem</w:t>
      </w:r>
      <w:r>
        <w:rPr>
          <w:rFonts w:cstheme="minorHAnsi"/>
          <w:szCs w:val="22"/>
        </w:rPr>
        <w:t xml:space="preserve">,</w:t>
      </w:r>
      <w:r>
        <w:rPr>
          <w:rFonts w:cstheme="minorHAnsi"/>
          <w:szCs w:val="22"/>
        </w:rPr>
        <w:t xml:space="preserve"> aparținem lui Dumnezeu, suntem proprietatea Lui. El este sfânt și p</w:t>
      </w:r>
      <w:r>
        <w:rPr>
          <w:rFonts w:cstheme="minorHAnsi"/>
          <w:szCs w:val="22"/>
        </w:rPr>
        <w:t xml:space="preserve">roprietatea Lui trebuie să fie s</w:t>
      </w:r>
      <w:r>
        <w:rPr>
          <w:rFonts w:cstheme="minorHAnsi"/>
          <w:szCs w:val="22"/>
        </w:rPr>
        <w:t xml:space="preserve">fântă!</w:t>
      </w:r>
      <w:r>
        <w:rPr>
          <w:rFonts w:cstheme="minorHAnsi"/>
          <w:szCs w:val="22"/>
        </w:rPr>
      </w:r>
    </w:p>
    <w:p>
      <w:pPr>
        <w:pStyle w:val="885"/>
        <w:pBdr/>
        <w:spacing/>
        <w:ind/>
        <w:rPr/>
      </w:pPr>
      <w:r>
        <w:t xml:space="preserve">A</w:t>
      </w:r>
      <w:r>
        <w:t xml:space="preserve">plicații</w:t>
      </w:r>
      <w:r/>
    </w:p>
    <w:p>
      <w:pPr>
        <w:pBdr/>
        <w:spacing/>
        <w:ind w:firstLine="0"/>
        <w:rPr>
          <w:rFonts w:cstheme="minorHAnsi"/>
          <w:szCs w:val="22"/>
        </w:rPr>
      </w:pPr>
      <w:r>
        <w:rPr>
          <w:rFonts w:cstheme="minorHAnsi"/>
          <w:szCs w:val="22"/>
        </w:rPr>
        <w:t xml:space="preserve">Cum putem să ne arătăm prețuirea față de Cuvântul lui Dumnezeu în lupta împotriva ispitelor? Este suficientă simpla citire a Sfintei Scripturi, sau este necesar și altceva în plus?</w:t>
      </w:r>
      <w:r>
        <w:rPr>
          <w:rFonts w:cstheme="minorHAnsi"/>
          <w:szCs w:val="22"/>
        </w:rPr>
      </w:r>
    </w:p>
    <w:p>
      <w:pPr>
        <w:pBdr/>
        <w:spacing/>
        <w:ind w:firstLine="0"/>
        <w:rPr/>
      </w:pPr>
      <w:r>
        <w:t xml:space="preserve">..................................................................................................................................................</w:t>
      </w:r>
      <w:r/>
    </w:p>
    <w:p>
      <w:pPr>
        <w:pBdr/>
        <w:spacing/>
        <w:ind w:firstLine="0"/>
        <w:rPr/>
      </w:pPr>
      <w:r>
        <w:t xml:space="preserve">..................................................................................................................................................</w:t>
      </w:r>
      <w:r/>
    </w:p>
    <w:p>
      <w:pPr>
        <w:pBdr/>
        <w:spacing/>
        <w:ind w:firstLine="0"/>
        <w:rPr/>
      </w:pPr>
      <w:r>
        <w:t xml:space="preserve">..................................................................................................................................................</w:t>
      </w:r>
      <w:r/>
    </w:p>
    <w:p>
      <w:pPr>
        <w:pBdr/>
        <w:spacing/>
        <w:ind/>
        <w:rPr>
          <w:rFonts w:cstheme="minorHAnsi"/>
          <w:szCs w:val="22"/>
        </w:rPr>
      </w:pPr>
      <w:r>
        <w:rPr>
          <w:rFonts w:cstheme="minorHAnsi"/>
          <w:szCs w:val="22"/>
        </w:rPr>
      </w:r>
      <w:r>
        <w:rPr>
          <w:rFonts w:cstheme="minorHAnsi"/>
          <w:szCs w:val="22"/>
        </w:rPr>
      </w:r>
    </w:p>
    <w:p>
      <w:pPr>
        <w:pBdr/>
        <w:spacing/>
        <w:ind w:firstLine="0"/>
        <w:rPr>
          <w:rFonts w:cstheme="minorHAnsi"/>
          <w:szCs w:val="22"/>
        </w:rPr>
      </w:pPr>
      <w:r>
        <w:rPr>
          <w:rFonts w:cstheme="minorHAnsi"/>
          <w:szCs w:val="22"/>
        </w:rPr>
        <w:t xml:space="preserve">Care sunt armele cu care ademenitorul (bărbat sau femeie) încearcă să amăgească pe cei neveghetori, care caută aventuri păcătoase?</w:t>
      </w:r>
      <w:r>
        <w:rPr>
          <w:rFonts w:cstheme="minorHAnsi"/>
          <w:szCs w:val="22"/>
        </w:rPr>
      </w:r>
    </w:p>
    <w:p>
      <w:pPr>
        <w:pBdr/>
        <w:spacing/>
        <w:ind w:firstLine="0"/>
        <w:rPr/>
      </w:pPr>
      <w:r>
        <w:t xml:space="preserve">..................................................................................................................................................</w:t>
      </w:r>
      <w:r/>
    </w:p>
    <w:p>
      <w:pPr>
        <w:pBdr/>
        <w:spacing/>
        <w:ind w:firstLine="0"/>
        <w:rPr/>
      </w:pPr>
      <w:r>
        <w:t xml:space="preserve">..................................................................................................................................................</w:t>
      </w:r>
      <w:r/>
    </w:p>
    <w:p>
      <w:pPr>
        <w:pBdr/>
        <w:spacing/>
        <w:ind w:firstLine="0"/>
        <w:rPr/>
      </w:pPr>
      <w:r>
        <w:t xml:space="preserve">..................................................................................................................................................</w:t>
      </w:r>
      <w:r/>
    </w:p>
    <w:p>
      <w:pPr>
        <w:pBdr/>
        <w:spacing/>
        <w:ind w:firstLine="0"/>
        <w:rPr>
          <w:rFonts w:cstheme="minorHAnsi"/>
          <w:szCs w:val="22"/>
        </w:rPr>
      </w:pPr>
      <w:r>
        <w:rPr>
          <w:rFonts w:cstheme="minorHAnsi"/>
          <w:szCs w:val="22"/>
        </w:rPr>
      </w:r>
      <w:r>
        <w:rPr>
          <w:rFonts w:cstheme="minorHAnsi"/>
          <w:szCs w:val="22"/>
        </w:rPr>
      </w:r>
    </w:p>
    <w:p>
      <w:pPr>
        <w:pBdr/>
        <w:spacing/>
        <w:ind w:firstLine="0"/>
        <w:rPr>
          <w:rFonts w:cstheme="minorHAnsi"/>
          <w:szCs w:val="22"/>
        </w:rPr>
      </w:pPr>
      <w:r>
        <w:rPr>
          <w:rFonts w:cstheme="minorHAnsi"/>
          <w:szCs w:val="22"/>
        </w:rPr>
        <w:t xml:space="preserve">Biblia afirmă că întotdeauna păcatul are consecințe, iar zicala</w:t>
      </w:r>
      <w:r>
        <w:rPr>
          <w:rFonts w:cstheme="minorHAnsi"/>
          <w:szCs w:val="22"/>
        </w:rPr>
        <w:t xml:space="preserve"> „</w:t>
      </w:r>
      <w:r>
        <w:rPr>
          <w:rFonts w:cstheme="minorHAnsi"/>
          <w:szCs w:val="22"/>
        </w:rPr>
        <w:t xml:space="preserve">cine se joacă cu focul se arde” conține mult adevăr. Puteți da câteva exemple din Biblie de persoane care, din nefericire, au confirmat acest adevăr?</w:t>
      </w:r>
      <w:r>
        <w:rPr>
          <w:rFonts w:cstheme="minorHAnsi"/>
          <w:szCs w:val="22"/>
        </w:rPr>
      </w:r>
    </w:p>
    <w:p>
      <w:pPr>
        <w:pBdr/>
        <w:spacing/>
        <w:ind w:firstLine="0"/>
        <w:rPr/>
      </w:pPr>
      <w:r>
        <w:t xml:space="preserve">..................................................................................................................................................</w:t>
      </w:r>
      <w:r/>
    </w:p>
    <w:p>
      <w:pPr>
        <w:pBdr/>
        <w:spacing/>
        <w:ind w:firstLine="0"/>
        <w:rPr/>
      </w:pPr>
      <w:r>
        <w:t xml:space="preserve">..................................................................................................................................................</w:t>
      </w:r>
      <w:r/>
    </w:p>
    <w:p>
      <w:pPr>
        <w:pBdr/>
        <w:spacing/>
        <w:ind w:firstLine="0"/>
        <w:rPr/>
      </w:pPr>
      <w:r>
        <w:t xml:space="preserve">..................................................................................................................................................</w:t>
      </w:r>
      <w:r/>
    </w:p>
    <w:p>
      <w:pPr>
        <w:pBdr/>
        <w:spacing/>
        <w:ind w:firstLine="0"/>
        <w:rPr>
          <w:rFonts w:cstheme="minorHAnsi"/>
          <w:szCs w:val="22"/>
        </w:rPr>
      </w:pPr>
      <w:r>
        <w:rPr>
          <w:rFonts w:cstheme="minorHAnsi"/>
          <w:szCs w:val="22"/>
        </w:rPr>
      </w:r>
      <w:r>
        <w:rPr>
          <w:rFonts w:cstheme="minorHAnsi"/>
          <w:szCs w:val="22"/>
        </w:rPr>
      </w:r>
    </w:p>
    <w:p>
      <w:pPr>
        <w:pBdr/>
        <w:spacing/>
        <w:ind w:firstLine="0"/>
        <w:rPr>
          <w:rFonts w:cstheme="minorHAnsi"/>
          <w:szCs w:val="22"/>
        </w:rPr>
      </w:pPr>
      <w:r>
        <w:rPr>
          <w:rFonts w:cstheme="minorHAnsi"/>
          <w:szCs w:val="22"/>
        </w:rPr>
        <w:t xml:space="preserve">În Noul Testament revelația divină este com</w:t>
      </w:r>
      <w:r>
        <w:rPr>
          <w:rFonts w:cstheme="minorHAnsi"/>
          <w:szCs w:val="22"/>
        </w:rPr>
        <w:t xml:space="preserve">p</w:t>
      </w:r>
      <w:r>
        <w:rPr>
          <w:rFonts w:cstheme="minorHAnsi"/>
          <w:szCs w:val="22"/>
        </w:rPr>
        <w:t xml:space="preserve">letă. Cum prezintă Domnul Isus și apostolii standardul divin cu privire la curăția morală? Ce implică afirmația că trupul nostru este Templul Duhului Sfânt?</w:t>
      </w:r>
      <w:r>
        <w:rPr>
          <w:rFonts w:cstheme="minorHAnsi"/>
          <w:szCs w:val="22"/>
        </w:rPr>
      </w:r>
    </w:p>
    <w:p>
      <w:pPr>
        <w:pBdr/>
        <w:spacing/>
        <w:ind w:firstLine="0"/>
        <w:rPr/>
      </w:pPr>
      <w:r>
        <w:t xml:space="preserve">..................................................................................................................................................</w:t>
      </w:r>
      <w:r/>
    </w:p>
    <w:p>
      <w:pPr>
        <w:pBdr/>
        <w:spacing/>
        <w:ind w:firstLine="0"/>
        <w:rPr/>
      </w:pPr>
      <w:r>
        <w:t xml:space="preserve">..................................................................................................................................................</w:t>
      </w:r>
      <w:r/>
    </w:p>
    <w:p>
      <w:pPr>
        <w:pBdr/>
        <w:spacing/>
        <w:ind w:firstLine="0"/>
        <w:rPr/>
      </w:pPr>
      <w:r>
        <w:t xml:space="preserve">..................................................................................................................................................</w:t>
      </w:r>
      <w:r/>
    </w:p>
    <w:p>
      <w:pPr>
        <w:pBdr/>
        <w:spacing/>
        <w:ind/>
        <w:rPr>
          <w:rFonts w:cstheme="minorHAnsi"/>
          <w:szCs w:val="22"/>
        </w:rPr>
      </w:pPr>
      <w:r>
        <w:rPr>
          <w:rFonts w:cstheme="minorHAnsi"/>
          <w:szCs w:val="22"/>
        </w:rPr>
      </w:r>
      <w:r>
        <w:rPr>
          <w:rFonts w:cstheme="minorHAnsi"/>
          <w:szCs w:val="22"/>
        </w:rPr>
      </w:r>
    </w:p>
    <w:p>
      <w:pPr>
        <w:pBdr/>
        <w:spacing/>
        <w:ind/>
        <w:rPr>
          <w:rFonts w:cstheme="minorHAnsi"/>
          <w:szCs w:val="22"/>
        </w:rPr>
      </w:pPr>
      <w:r>
        <w:rPr>
          <w:rFonts w:cstheme="minorHAnsi"/>
          <w:szCs w:val="22"/>
        </w:rPr>
      </w:r>
      <w:r>
        <w:rPr>
          <w:rFonts w:cstheme="minorHAnsi"/>
          <w:szCs w:val="22"/>
        </w:rPr>
      </w:r>
    </w:p>
    <w:p>
      <w:pPr>
        <w:pBdr/>
        <w:spacing/>
        <w:ind/>
        <w:rPr>
          <w:rFonts w:cstheme="minorHAnsi"/>
          <w:szCs w:val="22"/>
        </w:rPr>
      </w:pPr>
      <w:r>
        <w:rPr>
          <w:rFonts w:cstheme="minorHAnsi"/>
          <w:szCs w:val="22"/>
        </w:rPr>
      </w:r>
      <w:r>
        <w:rPr>
          <w:rFonts w:cstheme="minorHAnsi"/>
          <w:szCs w:val="22"/>
        </w:rPr>
      </w:r>
    </w:p>
    <w:p>
      <w:pPr>
        <w:pBdr/>
        <w:spacing/>
        <w:ind/>
        <w:rPr>
          <w:rFonts w:cstheme="minorHAnsi"/>
          <w:szCs w:val="22"/>
        </w:rPr>
      </w:pPr>
      <w:r>
        <w:rPr>
          <w:rFonts w:cstheme="minorHAnsi"/>
          <w:szCs w:val="22"/>
        </w:rPr>
      </w:r>
      <w:r>
        <w:rPr>
          <w:rFonts w:cstheme="minorHAnsi"/>
          <w:szCs w:val="22"/>
        </w:rPr>
      </w:r>
    </w:p>
    <w:p>
      <w:pPr>
        <w:pBdr/>
        <w:spacing w:after="0" w:line="240" w:lineRule="auto"/>
        <w:ind w:firstLine="0"/>
        <w:jc w:val="left"/>
        <w:rPr>
          <w:rFonts w:cstheme="minorHAnsi"/>
          <w:b/>
          <w:bCs/>
          <w:i/>
          <w:iCs/>
          <w:szCs w:val="22"/>
        </w:rPr>
      </w:pPr>
      <w:r>
        <w:rPr>
          <w:rFonts w:cstheme="minorHAnsi"/>
          <w:b/>
          <w:bCs/>
          <w:i/>
          <w:iCs/>
          <w:szCs w:val="22"/>
        </w:rPr>
        <w:br w:type="page" w:clear="all"/>
      </w:r>
      <w:r>
        <w:rPr>
          <w:rFonts w:cstheme="minorHAnsi"/>
          <w:b/>
          <w:bCs/>
          <w:i/>
          <w:iCs/>
          <w:szCs w:val="22"/>
        </w:rPr>
      </w:r>
    </w:p>
    <w:p>
      <w:pPr>
        <w:pStyle w:val="884"/>
        <w:pBdr/>
        <w:spacing/>
        <w:ind/>
        <w:rPr/>
      </w:pPr>
      <w:r/>
      <w:bookmarkStart w:id="25" w:name="_Toc171151247"/>
      <w:r>
        <w:t xml:space="preserve">29 </w:t>
      </w:r>
      <w:r>
        <w:t xml:space="preserve">aug</w:t>
      </w:r>
      <w:r>
        <w:t xml:space="preserve">., Prov</w:t>
      </w:r>
      <w:r>
        <w:t xml:space="preserve">erbe </w:t>
      </w:r>
      <w:r>
        <w:t xml:space="preserve">8, Înțelepciunea, </w:t>
      </w:r>
      <w:r>
        <w:t xml:space="preserve">știința</w:t>
      </w:r>
      <w:r>
        <w:t xml:space="preserve"> și creația lui Dumnezeu</w:t>
      </w:r>
      <w:r>
        <w:t xml:space="preserve">, 8:12-13</w:t>
      </w:r>
      <w:bookmarkEnd w:id="25"/>
      <w:r/>
      <w:r/>
    </w:p>
    <w:p>
      <w:pPr>
        <w:pBdr/>
        <w:spacing/>
        <w:ind w:firstLine="0"/>
        <w:rPr>
          <w:rFonts w:cstheme="minorHAnsi"/>
          <w:szCs w:val="22"/>
        </w:rPr>
      </w:pPr>
      <w:r>
        <w:rPr>
          <w:rFonts w:cstheme="minorHAnsi"/>
          <w:szCs w:val="22"/>
        </w:rPr>
        <w:t xml:space="preserve">Capitolul 8 este a doua chemare a înțelepciunii după aceea din prologul cărții (Proverbe 1:20-33), și constituie un </w:t>
      </w:r>
      <w:r>
        <w:rPr>
          <w:rFonts w:cstheme="minorHAnsi"/>
          <w:szCs w:val="22"/>
        </w:rPr>
        <w:t xml:space="preserve">adevărat </w:t>
      </w:r>
      <w:r>
        <w:rPr>
          <w:rFonts w:cstheme="minorHAnsi"/>
          <w:szCs w:val="22"/>
        </w:rPr>
        <w:t xml:space="preserve">imn care </w:t>
      </w:r>
      <w:r>
        <w:rPr>
          <w:rFonts w:cstheme="minorHAnsi"/>
          <w:szCs w:val="22"/>
        </w:rPr>
        <w:t xml:space="preserve">descrie</w:t>
      </w:r>
      <w:r>
        <w:rPr>
          <w:rFonts w:cstheme="minorHAnsi"/>
          <w:szCs w:val="22"/>
        </w:rPr>
        <w:t xml:space="preserve"> valoarea și importanța înțelepciunii</w:t>
      </w:r>
      <w:r>
        <w:rPr>
          <w:rFonts w:cstheme="minorHAnsi"/>
          <w:szCs w:val="22"/>
        </w:rPr>
        <w:t xml:space="preserve"> în creație</w:t>
      </w:r>
      <w:r>
        <w:rPr>
          <w:rFonts w:cstheme="minorHAnsi"/>
          <w:szCs w:val="22"/>
        </w:rPr>
        <w:t xml:space="preserve">. Acest capitol formează atât nucleul cât și punctul culminant al acestei secțiuni din Proverbe (cap.1-9). </w:t>
      </w:r>
      <w:r>
        <w:rPr>
          <w:rFonts w:cstheme="minorHAnsi"/>
          <w:szCs w:val="22"/>
        </w:rPr>
      </w:r>
    </w:p>
    <w:p>
      <w:pPr>
        <w:pBdr/>
        <w:spacing/>
        <w:ind/>
        <w:rPr>
          <w:rFonts w:cstheme="minorHAnsi"/>
          <w:szCs w:val="22"/>
        </w:rPr>
      </w:pPr>
      <w:r>
        <w:rPr>
          <w:rFonts w:cstheme="minorHAnsi"/>
          <w:szCs w:val="22"/>
        </w:rPr>
        <w:t xml:space="preserve">Marea problemă din acest capitol este interpretarea versetelor 22-31. </w:t>
      </w:r>
      <w:r>
        <w:rPr>
          <w:rFonts w:cstheme="minorHAnsi"/>
          <w:szCs w:val="22"/>
        </w:rPr>
        <w:t xml:space="preserve">Unii în istorie, le-au înțeles ca </w:t>
      </w:r>
      <w:r>
        <w:rPr>
          <w:rFonts w:cstheme="minorHAnsi"/>
          <w:szCs w:val="22"/>
        </w:rPr>
        <w:t xml:space="preserve">pe </w:t>
      </w:r>
      <w:r>
        <w:rPr>
          <w:rFonts w:cstheme="minorHAnsi"/>
          <w:szCs w:val="22"/>
        </w:rPr>
        <w:t xml:space="preserve">o descriere a lui H</w:t>
      </w:r>
      <w:r>
        <w:rPr>
          <w:rFonts w:cstheme="minorHAnsi"/>
          <w:szCs w:val="22"/>
        </w:rPr>
        <w:t xml:space="preserve">ristos, </w:t>
      </w:r>
      <w:r>
        <w:rPr>
          <w:rFonts w:cstheme="minorHAnsi"/>
          <w:szCs w:val="22"/>
        </w:rPr>
        <w:t xml:space="preserve">ca Înțelepciune a lui Dumnezeu, </w:t>
      </w:r>
      <w:r>
        <w:rPr>
          <w:rFonts w:cstheme="minorHAnsi"/>
          <w:szCs w:val="22"/>
        </w:rPr>
        <w:t xml:space="preserve">alții au subliniat că este doar o personificare </w:t>
      </w:r>
      <w:r>
        <w:rPr>
          <w:rFonts w:cstheme="minorHAnsi"/>
          <w:szCs w:val="22"/>
        </w:rPr>
        <w:t xml:space="preserve">a Înțelepciunii</w:t>
      </w:r>
      <w:r>
        <w:rPr>
          <w:rFonts w:cstheme="minorHAnsi"/>
          <w:szCs w:val="22"/>
        </w:rPr>
        <w:t xml:space="preserve">, ca </w:t>
      </w:r>
      <w:r>
        <w:rPr>
          <w:rFonts w:cstheme="minorHAnsi"/>
          <w:szCs w:val="22"/>
        </w:rPr>
        <w:t xml:space="preserve">o </w:t>
      </w:r>
      <w:r>
        <w:rPr>
          <w:rFonts w:cstheme="minorHAnsi"/>
          <w:szCs w:val="22"/>
        </w:rPr>
        <w:t xml:space="preserve">trăsătură de bază în gândirea și acțiunea lui Dumnezeu.</w:t>
      </w:r>
      <w:r>
        <w:rPr>
          <w:rFonts w:cstheme="minorHAnsi"/>
          <w:szCs w:val="22"/>
        </w:rPr>
        <w:t xml:space="preserve"> </w:t>
      </w:r>
      <w:r>
        <w:rPr>
          <w:rFonts w:cstheme="minorHAnsi"/>
          <w:szCs w:val="22"/>
        </w:rPr>
      </w:r>
    </w:p>
    <w:p>
      <w:pPr>
        <w:pBdr/>
        <w:spacing/>
        <w:ind/>
        <w:rPr>
          <w:rFonts w:cstheme="minorHAnsi"/>
          <w:szCs w:val="22"/>
        </w:rPr>
      </w:pPr>
      <w:r>
        <w:rPr>
          <w:rFonts w:cstheme="minorHAnsi"/>
          <w:szCs w:val="22"/>
        </w:rPr>
        <w:t xml:space="preserve">Este de netăgă</w:t>
      </w:r>
      <w:r>
        <w:rPr>
          <w:rFonts w:cstheme="minorHAnsi"/>
          <w:szCs w:val="22"/>
        </w:rPr>
        <w:t xml:space="preserve">duit faptul că pasajul conține </w:t>
      </w:r>
      <w:r>
        <w:rPr>
          <w:rFonts w:cstheme="minorHAnsi"/>
          <w:szCs w:val="22"/>
        </w:rPr>
        <w:t xml:space="preserve">unele din trăsăturile importante ale mântuitorului</w:t>
      </w:r>
      <w:r>
        <w:rPr>
          <w:rFonts w:cstheme="minorHAnsi"/>
          <w:szCs w:val="22"/>
        </w:rPr>
        <w:t xml:space="preserve"> Isus Hristos însuși</w:t>
      </w:r>
      <w:r>
        <w:rPr>
          <w:rFonts w:cstheme="minorHAnsi"/>
          <w:szCs w:val="22"/>
        </w:rPr>
        <w:t xml:space="preserve">. Totuși, acest pasaj este în primul rând o descriere și personificare a Înțelepciunii, ca trăsătură de bază în gândul și acțiunea lui Dumnezeu. În mod faimos, în istorie, episcopul eretic Arius</w:t>
      </w:r>
      <w:r>
        <w:rPr>
          <w:rFonts w:cstheme="minorHAnsi"/>
          <w:szCs w:val="22"/>
        </w:rPr>
        <w:t xml:space="preserve"> (aprox. 250-336</w:t>
      </w:r>
      <w:r>
        <w:rPr>
          <w:rFonts w:cstheme="minorHAnsi"/>
          <w:szCs w:val="22"/>
        </w:rPr>
        <w:t xml:space="preserve">, din Alexandria), </w:t>
      </w:r>
      <w:r>
        <w:rPr>
          <w:rFonts w:cstheme="minorHAnsi"/>
          <w:szCs w:val="22"/>
        </w:rPr>
        <w:t xml:space="preserve"> și-a închipuit că aici este vorba </w:t>
      </w:r>
      <w:r>
        <w:rPr>
          <w:rFonts w:cstheme="minorHAnsi"/>
          <w:szCs w:val="22"/>
        </w:rPr>
        <w:t xml:space="preserve">în mod direct </w:t>
      </w:r>
      <w:r>
        <w:rPr>
          <w:rFonts w:cstheme="minorHAnsi"/>
          <w:szCs w:val="22"/>
        </w:rPr>
        <w:t xml:space="preserve">despre Hristos văzut ca Logos</w:t>
      </w:r>
      <w:r>
        <w:rPr>
          <w:rFonts w:cstheme="minorHAnsi"/>
          <w:szCs w:val="22"/>
        </w:rPr>
        <w:t xml:space="preserve">ul</w:t>
      </w:r>
      <w:r>
        <w:rPr>
          <w:rFonts w:cstheme="minorHAnsi"/>
          <w:szCs w:val="22"/>
        </w:rPr>
        <w:t xml:space="preserve"> înțelept al lui Dumnezeu, și de aici el a tras concluzia că Hristos este o creație, cea dintâi, </w:t>
      </w:r>
      <w:r>
        <w:rPr>
          <w:rFonts w:cstheme="minorHAnsi"/>
          <w:szCs w:val="22"/>
        </w:rPr>
        <w:t xml:space="preserve">și </w:t>
      </w:r>
      <w:r>
        <w:rPr>
          <w:rFonts w:cstheme="minorHAnsi"/>
          <w:szCs w:val="22"/>
        </w:rPr>
        <w:t xml:space="preserve">că nu este divin, deși este superior tuturor </w:t>
      </w:r>
      <w:r>
        <w:rPr>
          <w:rFonts w:cstheme="minorHAnsi"/>
          <w:szCs w:val="22"/>
        </w:rPr>
        <w:t xml:space="preserve">ființelor și lucrurilor</w:t>
      </w:r>
      <w:r>
        <w:rPr>
          <w:rFonts w:cstheme="minorHAnsi"/>
          <w:szCs w:val="22"/>
        </w:rPr>
        <w:t xml:space="preserve"> create, și că are un început, în timp ce doar Dumnezeu este din veșnicie. </w:t>
      </w:r>
      <w:r>
        <w:rPr>
          <w:rFonts w:cstheme="minorHAnsi"/>
          <w:szCs w:val="22"/>
        </w:rPr>
      </w:r>
    </w:p>
    <w:p>
      <w:pPr>
        <w:pBdr/>
        <w:spacing/>
        <w:ind/>
        <w:rPr>
          <w:rFonts w:cstheme="minorHAnsi"/>
          <w:szCs w:val="22"/>
        </w:rPr>
      </w:pPr>
      <w:r>
        <w:rPr>
          <w:rFonts w:cstheme="minorHAnsi"/>
          <w:szCs w:val="22"/>
        </w:rPr>
        <w:t xml:space="preserve">Descrierea de aici, din Proverbe 8, arată cum întreaga Dumnezeire, întreaga Sfântă Treime, Tatăl, Fiul și Duhul Sfânt, a  folosit o înțelepciune înaltă, veșnică, în tot ceea ce a gândit și a făcut</w:t>
      </w:r>
      <w:r>
        <w:rPr>
          <w:rFonts w:cstheme="minorHAnsi"/>
          <w:szCs w:val="22"/>
        </w:rPr>
        <w:t xml:space="preserve"> din veșnicie până în timpul creației</w:t>
      </w:r>
      <w:r>
        <w:rPr>
          <w:rFonts w:cstheme="minorHAnsi"/>
          <w:szCs w:val="22"/>
        </w:rPr>
        <w:t xml:space="preserve">. În mod deosebit, Noul Testament ne spune că în Hristos se află toate comorile de cunoaștere și înțelepciune pe care Dumnezeu le comunică lumii. Aceasta se vede în pasaje foarte cunoscute cum sunt </w:t>
      </w:r>
      <w:r>
        <w:rPr>
          <w:rFonts w:cstheme="minorHAnsi"/>
          <w:szCs w:val="22"/>
        </w:rPr>
        <w:t xml:space="preserve">1 Corinteni 8:6; Coloseni 1:15-1</w:t>
      </w:r>
      <w:r>
        <w:rPr>
          <w:rFonts w:cstheme="minorHAnsi"/>
          <w:szCs w:val="22"/>
        </w:rPr>
        <w:t xml:space="preserve">8; Evrei 1:3 și Apocalipsa 3:14. În timp ce Dumnezeu are toată înțelepciunea posibilă, înțelepciunea nu este divină în ea însăși, </w:t>
      </w:r>
      <w:r>
        <w:rPr>
          <w:rFonts w:cstheme="minorHAnsi"/>
          <w:szCs w:val="22"/>
        </w:rPr>
        <w:t xml:space="preserve">deși poate fi veșnică. În</w:t>
      </w:r>
      <w:r>
        <w:rPr>
          <w:rFonts w:cstheme="minorHAnsi"/>
          <w:szCs w:val="22"/>
        </w:rPr>
        <w:t xml:space="preserve"> timp ce în Hristos se află toată înțelepciunea lui Dumnezeu, Hristos este mul</w:t>
      </w:r>
      <w:r>
        <w:rPr>
          <w:rFonts w:cstheme="minorHAnsi"/>
          <w:szCs w:val="22"/>
        </w:rPr>
        <w:t xml:space="preserve">t mai mult decât înțelepciunea divină, este Fiul care mântuiește, care se jertfește, care ne învață și Domnul care ne conduce. Înțelepciunea este o trăsătură foarte importantă a lui Hristos, în planul de revelație al lui Dumnezeu față de noi, prin Hristos.</w:t>
      </w:r>
      <w:r>
        <w:rPr>
          <w:rFonts w:cstheme="minorHAnsi"/>
          <w:szCs w:val="22"/>
        </w:rPr>
      </w:r>
    </w:p>
    <w:p>
      <w:pPr>
        <w:pBdr/>
        <w:spacing/>
        <w:ind/>
        <w:rPr>
          <w:rFonts w:cstheme="minorHAnsi"/>
          <w:szCs w:val="22"/>
        </w:rPr>
      </w:pPr>
      <w:r>
        <w:rPr>
          <w:rFonts w:cstheme="minorHAnsi"/>
          <w:szCs w:val="22"/>
        </w:rPr>
        <w:t xml:space="preserve">Privind din nou la Proverbe</w:t>
      </w:r>
      <w:r>
        <w:rPr>
          <w:rFonts w:cstheme="minorHAnsi"/>
          <w:szCs w:val="22"/>
        </w:rPr>
        <w:t xml:space="preserve"> 8 </w:t>
      </w:r>
      <w:r>
        <w:rPr>
          <w:rFonts w:cstheme="minorHAnsi"/>
          <w:szCs w:val="22"/>
        </w:rPr>
        <w:t xml:space="preserve">descoperim că aici se vorbește</w:t>
      </w:r>
      <w:r>
        <w:rPr>
          <w:rFonts w:cstheme="minorHAnsi"/>
          <w:szCs w:val="22"/>
        </w:rPr>
        <w:t xml:space="preserve"> despre</w:t>
      </w:r>
      <w:r>
        <w:rPr>
          <w:rFonts w:cstheme="minorHAnsi"/>
          <w:szCs w:val="22"/>
        </w:rPr>
        <w:t xml:space="preserve"> chemarea înțelepciunii (1-5) despre</w:t>
      </w:r>
      <w:r>
        <w:rPr>
          <w:rFonts w:cstheme="minorHAnsi"/>
          <w:szCs w:val="22"/>
        </w:rPr>
        <w:t xml:space="preserve"> motivele pentru care să avem încredere în ea (6-11), </w:t>
      </w:r>
      <w:r>
        <w:rPr>
          <w:rFonts w:cstheme="minorHAnsi"/>
          <w:szCs w:val="22"/>
        </w:rPr>
        <w:t xml:space="preserve"> și </w:t>
      </w:r>
      <w:r>
        <w:rPr>
          <w:rFonts w:cstheme="minorHAnsi"/>
          <w:szCs w:val="22"/>
        </w:rPr>
        <w:t xml:space="preserve">apoi </w:t>
      </w:r>
      <w:r>
        <w:rPr>
          <w:rFonts w:cstheme="minorHAnsi"/>
          <w:szCs w:val="22"/>
        </w:rPr>
        <w:t xml:space="preserve">despre</w:t>
      </w:r>
      <w:r>
        <w:rPr>
          <w:rFonts w:cstheme="minorHAnsi"/>
          <w:szCs w:val="22"/>
        </w:rPr>
        <w:t xml:space="preserve"> excelența </w:t>
      </w:r>
      <w:r>
        <w:rPr>
          <w:rFonts w:cstheme="minorHAnsi"/>
          <w:szCs w:val="22"/>
        </w:rPr>
        <w:t xml:space="preserve">ei </w:t>
      </w:r>
      <w:r>
        <w:rPr>
          <w:rFonts w:cstheme="minorHAnsi"/>
          <w:szCs w:val="22"/>
        </w:rPr>
        <w:t xml:space="preserve">(11-21)</w:t>
      </w:r>
      <w:r>
        <w:rPr>
          <w:rFonts w:cstheme="minorHAnsi"/>
          <w:szCs w:val="22"/>
        </w:rPr>
        <w:t xml:space="preserve">, despre </w:t>
      </w:r>
      <w:r>
        <w:rPr>
          <w:rFonts w:cstheme="minorHAnsi"/>
          <w:szCs w:val="22"/>
        </w:rPr>
        <w:t xml:space="preserve">eternitatea ei</w:t>
      </w:r>
      <w:r>
        <w:rPr>
          <w:rFonts w:cstheme="minorHAnsi"/>
          <w:szCs w:val="22"/>
        </w:rPr>
        <w:t xml:space="preserve"> (22-31) și </w:t>
      </w:r>
      <w:r>
        <w:rPr>
          <w:rFonts w:cstheme="minorHAnsi"/>
          <w:szCs w:val="22"/>
        </w:rPr>
        <w:t xml:space="preserve">despre </w:t>
      </w:r>
      <w:r>
        <w:rPr>
          <w:rFonts w:cstheme="minorHAnsi"/>
          <w:szCs w:val="22"/>
        </w:rPr>
        <w:t xml:space="preserve">avertizări</w:t>
      </w:r>
      <w:r>
        <w:rPr>
          <w:rFonts w:cstheme="minorHAnsi"/>
          <w:szCs w:val="22"/>
        </w:rPr>
        <w:t xml:space="preserve">le ei</w:t>
      </w:r>
      <w:r>
        <w:rPr>
          <w:rFonts w:cstheme="minorHAnsi"/>
          <w:szCs w:val="22"/>
        </w:rPr>
        <w:t xml:space="preserve"> (32-36).</w:t>
      </w:r>
      <w:r>
        <w:rPr>
          <w:rFonts w:cstheme="minorHAnsi"/>
          <w:szCs w:val="22"/>
        </w:rPr>
      </w:r>
    </w:p>
    <w:p>
      <w:pPr>
        <w:pStyle w:val="885"/>
        <w:pBdr/>
        <w:spacing/>
        <w:ind/>
        <w:rPr/>
      </w:pPr>
      <w:r>
        <w:t xml:space="preserve">Chemarea înțelepciunii pentru toți oamenii</w:t>
      </w:r>
      <w:r>
        <w:t xml:space="preserve"> (1-5)</w:t>
      </w:r>
      <w:r/>
    </w:p>
    <w:p>
      <w:pPr>
        <w:pBdr/>
        <w:spacing/>
        <w:ind w:firstLine="0"/>
        <w:rPr>
          <w:rFonts w:cstheme="minorHAnsi"/>
          <w:szCs w:val="22"/>
        </w:rPr>
      </w:pPr>
      <w:r>
        <w:rPr>
          <w:rFonts w:cstheme="minorHAnsi"/>
          <w:szCs w:val="22"/>
        </w:rPr>
        <w:t xml:space="preserve">Ce contrast există între</w:t>
      </w:r>
      <w:r>
        <w:rPr>
          <w:rFonts w:cstheme="minorHAnsi"/>
          <w:szCs w:val="22"/>
        </w:rPr>
        <w:t xml:space="preserve"> doamna</w:t>
      </w:r>
      <w:r>
        <w:rPr>
          <w:rFonts w:cstheme="minorHAnsi"/>
          <w:szCs w:val="22"/>
        </w:rPr>
        <w:t xml:space="preserve"> Înțelepciune, așa cum este este descrisă în acest capitol, și </w:t>
      </w:r>
      <w:r>
        <w:rPr>
          <w:rFonts w:cstheme="minorHAnsi"/>
          <w:szCs w:val="22"/>
        </w:rPr>
        <w:t xml:space="preserve">doamna</w:t>
      </w:r>
      <w:r>
        <w:rPr>
          <w:rFonts w:cstheme="minorHAnsi"/>
          <w:szCs w:val="22"/>
        </w:rPr>
        <w:t xml:space="preserve"> Viciu, așa cum a fost descrisă în capitolul</w:t>
      </w:r>
      <w:r>
        <w:rPr>
          <w:rFonts w:cstheme="minorHAnsi"/>
          <w:szCs w:val="22"/>
        </w:rPr>
        <w:t xml:space="preserve"> 7. Înțelepciunea nu folosește vorbe ademenitoare, șoptite sub acoperirea întunericului; ea strigă adevărul de la porțile cetății, îl strigă pe străzile publice și cere ca toți oamenii, din orice clasă sau condiție socială, să țină seama de îndemnurile ei.</w:t>
      </w:r>
      <w:r>
        <w:rPr>
          <w:rFonts w:cstheme="minorHAnsi"/>
          <w:szCs w:val="22"/>
        </w:rPr>
        <w:t xml:space="preserve"> „</w:t>
      </w:r>
      <w:r>
        <w:rPr>
          <w:rFonts w:cstheme="minorHAnsi"/>
          <w:szCs w:val="22"/>
        </w:rPr>
        <w:t xml:space="preserve">Nu strigă înțelepciunea, și nu-și înalță priceperea glasul? Ea se așează sus pe înălțimi, afară pe drum, la raspântii, și strigă lângă porți, la intrarea c</w:t>
      </w:r>
      <w:r>
        <w:rPr>
          <w:rFonts w:cstheme="minorHAnsi"/>
          <w:szCs w:val="22"/>
        </w:rPr>
        <w:t xml:space="preserve">etății, la intrarea porților: „Oamenilor, către voi strig, și spre fiii oamenilor se îndreaptă glasul meu. Învățați-vă minte, proștilor, și înțelepțiți-vă nebunilor” (1-5). Cei numiți „proști” și „nebuni” nu sunt cei handicapați mintal, ci păcătoșii. Proșt</w:t>
      </w:r>
      <w:r>
        <w:rPr>
          <w:rFonts w:cstheme="minorHAnsi"/>
          <w:szCs w:val="22"/>
        </w:rPr>
        <w:t xml:space="preserve">ii sunt cei naivi, deschiși la orice fel de influențe, bune sau rele. Ei refuză înțelepciunea care le este oferită și de aceea rămân proști. Nebunii sunt aceia care urăsc știința (cunoașterea), care doar ea poate să-i scape de nenorocire. Ei trăiesc într-o</w:t>
      </w:r>
      <w:r>
        <w:rPr>
          <w:rFonts w:cstheme="minorHAnsi"/>
          <w:szCs w:val="22"/>
        </w:rPr>
        <w:t xml:space="preserve"> „</w:t>
      </w:r>
      <w:r>
        <w:rPr>
          <w:rFonts w:cstheme="minorHAnsi"/>
          <w:szCs w:val="22"/>
        </w:rPr>
        <w:t xml:space="preserve">lume a lor”, alta decât cea reală, refuzând sistematic să interpreteze corect inițiativele prin care Dumnezeu încearcă să se apropie de ei (vezi Psalmul 14:1:</w:t>
      </w:r>
      <w:r>
        <w:rPr>
          <w:rFonts w:cstheme="minorHAnsi"/>
          <w:szCs w:val="22"/>
        </w:rPr>
        <w:t xml:space="preserve"> „</w:t>
      </w:r>
      <w:r>
        <w:rPr>
          <w:rFonts w:cstheme="minorHAnsi"/>
          <w:szCs w:val="22"/>
        </w:rPr>
        <w:t xml:space="preserve">Nebunul zice în inima lui: „Nu este Dumnezeu!” și Romani 1:22 : „S-au fălit că sunt înțelepți și au înnebunit; ”).</w:t>
      </w:r>
      <w:r>
        <w:rPr>
          <w:rFonts w:cstheme="minorHAnsi"/>
          <w:szCs w:val="22"/>
        </w:rPr>
      </w:r>
    </w:p>
    <w:p>
      <w:pPr>
        <w:pStyle w:val="885"/>
        <w:pBdr/>
        <w:spacing/>
        <w:ind/>
        <w:rPr/>
      </w:pPr>
      <w:r>
        <w:t xml:space="preserve">M</w:t>
      </w:r>
      <w:r>
        <w:t xml:space="preserve">otivele corecte pentru care să asculți chemarea înțelepciunii</w:t>
      </w:r>
      <w:r>
        <w:t xml:space="preserve"> (6-11)</w:t>
      </w:r>
      <w:r/>
    </w:p>
    <w:p>
      <w:pPr>
        <w:pBdr/>
        <w:spacing/>
        <w:ind w:firstLine="0"/>
        <w:rPr>
          <w:rFonts w:cstheme="minorHAnsi"/>
          <w:szCs w:val="22"/>
        </w:rPr>
      </w:pPr>
      <w:r>
        <w:rPr>
          <w:rFonts w:cstheme="minorHAnsi"/>
          <w:szCs w:val="22"/>
        </w:rPr>
        <w:t xml:space="preserve">Oamenii ar trebui să țină seama de cuvintele înțelepciunii </w:t>
      </w:r>
      <w:r>
        <w:rPr>
          <w:rFonts w:cstheme="minorHAnsi"/>
          <w:szCs w:val="22"/>
        </w:rPr>
        <w:t xml:space="preserve">pentru că ele sunt adevărate („</w:t>
      </w:r>
      <w:r>
        <w:rPr>
          <w:rFonts w:cstheme="minorHAnsi"/>
          <w:szCs w:val="22"/>
        </w:rPr>
        <w:t xml:space="preserve">gura mea vestește adevărul și buzele mele urăsc minciuna”-</w:t>
      </w:r>
      <w:r>
        <w:rPr>
          <w:rFonts w:cstheme="minorHAnsi"/>
          <w:szCs w:val="22"/>
        </w:rPr>
        <w:t xml:space="preserve"> v.7), directe și sincere („</w:t>
      </w:r>
      <w:r>
        <w:rPr>
          <w:rFonts w:cstheme="minorHAnsi"/>
          <w:szCs w:val="22"/>
        </w:rPr>
        <w:t xml:space="preserve">cuvintele gurii mele sunt drepte, n-au nimic neadevărat nici sucit în ele”- v.</w:t>
      </w:r>
      <w:r>
        <w:rPr>
          <w:rFonts w:cstheme="minorHAnsi"/>
          <w:szCs w:val="22"/>
        </w:rPr>
        <w:t xml:space="preserve"> </w:t>
      </w:r>
      <w:r>
        <w:rPr>
          <w:rFonts w:cstheme="minorHAnsi"/>
          <w:szCs w:val="22"/>
        </w:rPr>
        <w:t xml:space="preserve">8). Ele oferă o bogată recompensă, mult mai prețioasă decât aurul și mărgăritarele și decât toate lucruri</w:t>
      </w:r>
      <w:r>
        <w:rPr>
          <w:rFonts w:cstheme="minorHAnsi"/>
          <w:szCs w:val="22"/>
        </w:rPr>
        <w:t xml:space="preserve">le pentru care oamenii își dau viața („Primiți mai degrabă învățăturile mele decât argintul, și mai degrabă știința decât aurul scump. Căci înțelepciunea prețuiește mai mult decât mărgăritarele, și nici un lucru de preț nu se poate asemui cu ea”- v.10-11).</w:t>
      </w:r>
      <w:r>
        <w:rPr>
          <w:rFonts w:cstheme="minorHAnsi"/>
          <w:szCs w:val="22"/>
        </w:rPr>
      </w:r>
    </w:p>
    <w:p>
      <w:pPr>
        <w:pStyle w:val="885"/>
        <w:pBdr/>
        <w:spacing/>
        <w:ind/>
        <w:rPr/>
      </w:pPr>
      <w:r>
        <w:t xml:space="preserve">Î</w:t>
      </w:r>
      <w:r>
        <w:t xml:space="preserve">nțelepciunea își arată excelența</w:t>
      </w:r>
      <w:r>
        <w:t xml:space="preserve"> (12-21)</w:t>
      </w:r>
      <w:r/>
    </w:p>
    <w:p>
      <w:pPr>
        <w:pBdr/>
        <w:spacing/>
        <w:ind w:firstLine="0"/>
        <w:rPr>
          <w:rFonts w:cstheme="minorHAnsi"/>
          <w:szCs w:val="22"/>
        </w:rPr>
      </w:pPr>
      <w:r>
        <w:rPr>
          <w:rFonts w:cstheme="minorHAnsi"/>
          <w:szCs w:val="22"/>
        </w:rPr>
        <w:t xml:space="preserve">Înțelepciunea explică mai detaliat cine este ea. Ea este dovedită în viața practică prin discernământ (12) și se identifică cu frica de Domnul (vezi cap.1:7). Dumnezeu și înțelepc</w:t>
      </w:r>
      <w:r>
        <w:rPr>
          <w:rFonts w:cstheme="minorHAnsi"/>
          <w:szCs w:val="22"/>
        </w:rPr>
        <w:t xml:space="preserve">iunea urăsc aceleași lucruri („</w:t>
      </w:r>
      <w:r>
        <w:rPr>
          <w:rFonts w:cstheme="minorHAnsi"/>
          <w:szCs w:val="22"/>
        </w:rPr>
        <w:t xml:space="preserve">trufia și mândria, purtarea rea și gura mincinoasă”). În toate aplicațiile sale practice și pământești ea nu este în opoziție cu evlavia (13). Înț</w:t>
      </w:r>
      <w:r>
        <w:rPr>
          <w:rFonts w:cstheme="minorHAnsi"/>
          <w:szCs w:val="22"/>
        </w:rPr>
        <w:t xml:space="preserve">elepciunea posedă între altele „</w:t>
      </w:r>
      <w:r>
        <w:rPr>
          <w:rFonts w:cstheme="minorHAnsi"/>
          <w:szCs w:val="22"/>
        </w:rPr>
        <w:t xml:space="preserve">sfatul și puterea”(</w:t>
      </w:r>
      <w:r>
        <w:rPr>
          <w:rFonts w:cstheme="minorHAnsi"/>
          <w:szCs w:val="22"/>
        </w:rPr>
        <w:t xml:space="preserve">14), calități speci</w:t>
      </w:r>
      <w:r>
        <w:rPr>
          <w:rFonts w:cstheme="minorHAnsi"/>
          <w:szCs w:val="22"/>
        </w:rPr>
        <w:t xml:space="preserve">fice regalității, care apar pe deplin în Regele Mesia (Isaia 9:6). Afirmația din versetul </w:t>
      </w:r>
      <w:r>
        <w:rPr>
          <w:rFonts w:cstheme="minorHAnsi"/>
          <w:szCs w:val="22"/>
        </w:rPr>
        <w:t xml:space="preserve">14 ne conduce în mod firesc să vorbim despre rolul înțelepciunii care îi cârmuiește pe împărați și voievozi, pe dregători și judecători (15-16). Solomon însuși a cerut înțelepciune pentru a ști să domnească peste Israel (1 Regi 3:5-12). Înțelepciunea este </w:t>
      </w:r>
      <w:r>
        <w:rPr>
          <w:rFonts w:cstheme="minorHAnsi"/>
          <w:szCs w:val="22"/>
        </w:rPr>
        <w:t xml:space="preserve">accesibilă dacă este căutată („</w:t>
      </w:r>
      <w:r>
        <w:rPr>
          <w:rFonts w:cstheme="minorHAnsi"/>
          <w:szCs w:val="22"/>
        </w:rPr>
        <w:t xml:space="preserve">cei ce mă caută cu tot dinadinsul mă găsesc”-</w:t>
      </w:r>
      <w:r>
        <w:rPr>
          <w:rFonts w:cstheme="minorHAnsi"/>
          <w:szCs w:val="22"/>
        </w:rPr>
        <w:t xml:space="preserve"> </w:t>
      </w:r>
      <w:r>
        <w:rPr>
          <w:rFonts w:cstheme="minorHAnsi"/>
          <w:szCs w:val="22"/>
        </w:rPr>
        <w:t xml:space="preserve">v.17). Ea cere consacrare din partea celor ce o caută. Înțelepciunea conferă mari bogății celor ce o iubesc</w:t>
      </w:r>
      <w:r>
        <w:rPr>
          <w:rFonts w:cstheme="minorHAnsi"/>
          <w:szCs w:val="22"/>
        </w:rPr>
        <w:t xml:space="preserve">, cele mai mari dintre toate („</w:t>
      </w:r>
      <w:r>
        <w:rPr>
          <w:rFonts w:cstheme="minorHAnsi"/>
          <w:szCs w:val="22"/>
        </w:rPr>
        <w:t xml:space="preserve">bogății, slavă, avuții trainice”) pentru că sunt obținute prin dreptate (18-19). Contraste</w:t>
      </w:r>
      <w:r>
        <w:rPr>
          <w:rFonts w:cstheme="minorHAnsi"/>
          <w:szCs w:val="22"/>
        </w:rPr>
        <w:t xml:space="preserve">le menționate în versetul 19 („</w:t>
      </w:r>
      <w:r>
        <w:rPr>
          <w:rFonts w:cstheme="minorHAnsi"/>
          <w:szCs w:val="22"/>
        </w:rPr>
        <w:t xml:space="preserve">Rodul meu este mai bun decât aurul cel mai curat, și venitul me</w:t>
      </w:r>
      <w:r>
        <w:rPr>
          <w:rFonts w:cstheme="minorHAnsi"/>
          <w:szCs w:val="22"/>
        </w:rPr>
        <w:t xml:space="preserve">u întrece argintul cel mai ales</w:t>
      </w:r>
      <w:r>
        <w:rPr>
          <w:rFonts w:cstheme="minorHAnsi"/>
          <w:szCs w:val="22"/>
        </w:rPr>
        <w:t xml:space="preserve">”) arată că ele se referă mai mult decât la simple bunuri materiale.</w:t>
      </w:r>
      <w:r>
        <w:rPr>
          <w:rFonts w:cstheme="minorHAnsi"/>
          <w:szCs w:val="22"/>
        </w:rPr>
      </w:r>
    </w:p>
    <w:p>
      <w:pPr>
        <w:pBdr/>
        <w:spacing/>
        <w:ind/>
        <w:rPr>
          <w:rFonts w:cstheme="minorHAnsi"/>
          <w:szCs w:val="22"/>
        </w:rPr>
      </w:pPr>
      <w:r>
        <w:rPr>
          <w:rFonts w:cstheme="minorHAnsi"/>
          <w:szCs w:val="22"/>
        </w:rPr>
        <w:t xml:space="preserve">În finalul prezentării perfecțiunii sale, Înțelepciunea afirmă: „Eu umblu pe calea nevinovăției, pe mijloc</w:t>
      </w:r>
      <w:r>
        <w:rPr>
          <w:rFonts w:cstheme="minorHAnsi"/>
          <w:szCs w:val="22"/>
        </w:rPr>
        <w:t xml:space="preserve">ul cărărilor neprihănirii, ca să dau o adevărată moștenire celor ce mă iubesc, și să le umplu vistieriile”(20-21). Creștinul cu minte trează, echilibrat, este egal depărtat atât de slujirea formală, superficială cît și de amăgirea entuziastă. Aceasta este </w:t>
      </w:r>
      <w:r>
        <w:rPr>
          <w:rFonts w:cstheme="minorHAnsi"/>
          <w:i/>
          <w:szCs w:val="22"/>
        </w:rPr>
        <w:t xml:space="preserve">Via Media</w:t>
      </w:r>
      <w:r>
        <w:rPr>
          <w:rFonts w:cstheme="minorHAnsi"/>
          <w:szCs w:val="22"/>
        </w:rPr>
        <w:t xml:space="preserve"> (calea dintre două extreme care pledează pentru cumpătare în toate gândurile și acțiunile). Ea asigură unitate creștină, consistență și rodnicie.</w:t>
      </w:r>
      <w:r>
        <w:rPr>
          <w:rFonts w:cstheme="minorHAnsi"/>
          <w:szCs w:val="22"/>
        </w:rPr>
      </w:r>
    </w:p>
    <w:p>
      <w:pPr>
        <w:pStyle w:val="885"/>
        <w:pBdr/>
        <w:spacing/>
        <w:ind/>
        <w:rPr/>
      </w:pPr>
      <w:r>
        <w:t xml:space="preserve">R</w:t>
      </w:r>
      <w:r>
        <w:t xml:space="preserve">evelarea</w:t>
      </w:r>
      <w:r>
        <w:t xml:space="preserve"> rolului înțelepciunii divine în creație</w:t>
      </w:r>
      <w:r>
        <w:t xml:space="preserve"> (22-31)</w:t>
      </w:r>
      <w:r/>
    </w:p>
    <w:p>
      <w:pPr>
        <w:pBdr/>
        <w:spacing/>
        <w:ind w:firstLine="0"/>
        <w:rPr>
          <w:rFonts w:cstheme="minorHAnsi"/>
          <w:szCs w:val="22"/>
        </w:rPr>
      </w:pPr>
      <w:r>
        <w:rPr>
          <w:rFonts w:cstheme="minorHAnsi"/>
          <w:szCs w:val="22"/>
        </w:rPr>
        <w:t xml:space="preserve">Versetele 22-31, din Proverbe 8, sunt printre cele mai discutate pasaje din toată Biblia. Acesta a fost un teren de luptă proeminent al marii controverse condusă de Arius și adepții săi în sec. IV.</w:t>
      </w:r>
      <w:r>
        <w:rPr>
          <w:rFonts w:cstheme="minorHAnsi"/>
          <w:szCs w:val="22"/>
        </w:rPr>
        <w:t xml:space="preserve"> </w:t>
      </w:r>
      <w:r>
        <w:rPr>
          <w:rFonts w:cstheme="minorHAnsi"/>
          <w:szCs w:val="22"/>
        </w:rPr>
        <w:t xml:space="preserve">Aceștia au negat unitatea lui Isus Hristos cu Dumnezeu Tatăl, bazându-și argumentele în</w:t>
      </w:r>
      <w:r>
        <w:rPr>
          <w:rFonts w:cstheme="minorHAnsi"/>
          <w:szCs w:val="22"/>
        </w:rPr>
        <w:t xml:space="preserve"> mare măsură pe versetul 22 : „</w:t>
      </w:r>
      <w:r>
        <w:rPr>
          <w:rFonts w:cstheme="minorHAnsi"/>
          <w:szCs w:val="22"/>
        </w:rPr>
        <w:t xml:space="preserve">Domnul m-a făcut cea dintâi dintre </w:t>
      </w:r>
      <w:r>
        <w:rPr>
          <w:rFonts w:cstheme="minorHAnsi"/>
          <w:szCs w:val="22"/>
        </w:rPr>
        <w:t xml:space="preserve">căile lui, în vederea lucrărilor lui</w:t>
      </w:r>
      <w:r>
        <w:rPr>
          <w:rFonts w:cstheme="minorHAnsi"/>
          <w:szCs w:val="22"/>
        </w:rPr>
        <w:t xml:space="preserve">” (în traducerea Septuaginta</w:t>
      </w:r>
      <w:r>
        <w:rPr>
          <w:rFonts w:cstheme="minorHAnsi"/>
          <w:szCs w:val="22"/>
        </w:rPr>
        <w:t xml:space="preserve">; Cornilescu traduce: „</w:t>
      </w:r>
      <w:r>
        <w:t xml:space="preserve">Domnul m-a făcut cea dintâi dintre lucrările Lui, înaintea celor mai vechi lucrări ale Lui”</w:t>
      </w:r>
      <w:r>
        <w:rPr>
          <w:rFonts w:cstheme="minorHAnsi"/>
          <w:szCs w:val="22"/>
        </w:rPr>
        <w:t xml:space="preserve">). Traducerea </w:t>
      </w:r>
      <w:r>
        <w:rPr>
          <w:rFonts w:cstheme="minorHAnsi"/>
          <w:szCs w:val="22"/>
        </w:rPr>
        <w:t xml:space="preserve">corectă a primului rând</w:t>
      </w:r>
      <w:r>
        <w:rPr>
          <w:rFonts w:cstheme="minorHAnsi"/>
          <w:szCs w:val="22"/>
        </w:rPr>
        <w:t xml:space="preserve">, din limba ebraică,</w:t>
      </w:r>
      <w:r>
        <w:rPr>
          <w:rFonts w:cstheme="minorHAnsi"/>
          <w:szCs w:val="22"/>
        </w:rPr>
        <w:t xml:space="preserve"> este:  „</w:t>
      </w:r>
      <w:r>
        <w:rPr>
          <w:rFonts w:cstheme="minorHAnsi"/>
          <w:szCs w:val="22"/>
        </w:rPr>
        <w:t xml:space="preserve">Domnul m</w:t>
      </w:r>
      <w:r>
        <w:rPr>
          <w:rFonts w:cstheme="minorHAnsi"/>
          <w:szCs w:val="22"/>
        </w:rPr>
        <w:t xml:space="preserve">-a creat</w:t>
      </w:r>
      <w:r>
        <w:rPr>
          <w:rFonts w:cstheme="minorHAnsi"/>
          <w:szCs w:val="22"/>
        </w:rPr>
        <w:t xml:space="preserve"> în capul căii</w:t>
      </w:r>
      <w:r>
        <w:rPr>
          <w:rFonts w:cstheme="minorHAnsi"/>
          <w:szCs w:val="22"/>
        </w:rPr>
        <w:t xml:space="preserve"> Lui</w:t>
      </w:r>
      <w:r>
        <w:rPr>
          <w:rFonts w:cstheme="minorHAnsi"/>
          <w:szCs w:val="22"/>
        </w:rPr>
        <w:t xml:space="preserve">, ca început al lucrărilor lui</w:t>
      </w:r>
      <w:r>
        <w:rPr>
          <w:rFonts w:cstheme="minorHAnsi"/>
          <w:szCs w:val="22"/>
        </w:rPr>
        <w:t xml:space="preserve">” (</w:t>
      </w:r>
      <w:r>
        <w:rPr>
          <w:rFonts w:cstheme="minorHAnsi"/>
          <w:szCs w:val="22"/>
        </w:rPr>
        <w:t xml:space="preserve">vezi </w:t>
      </w:r>
      <w:r>
        <w:rPr>
          <w:rFonts w:cstheme="minorHAnsi"/>
          <w:szCs w:val="22"/>
        </w:rPr>
        <w:t xml:space="preserve">și </w:t>
      </w:r>
      <w:r>
        <w:rPr>
          <w:rFonts w:cstheme="minorHAnsi"/>
          <w:szCs w:val="22"/>
        </w:rPr>
        <w:t xml:space="preserve">traducerile NTR, ASV, KJV). </w:t>
      </w:r>
      <w:r>
        <w:rPr>
          <w:rFonts w:cstheme="minorHAnsi"/>
          <w:szCs w:val="22"/>
        </w:rPr>
        <w:t xml:space="preserve">Adică, înțelepciunea așa cum o cunoaștem noi, cea </w:t>
      </w:r>
      <w:r>
        <w:rPr>
          <w:rFonts w:cstheme="minorHAnsi"/>
          <w:szCs w:val="22"/>
        </w:rPr>
        <w:t xml:space="preserve">eternă pentru că e o trăsătură eternă a lui Dumnezeu cel etern,</w:t>
      </w:r>
      <w:r>
        <w:rPr>
          <w:rFonts w:cstheme="minorHAnsi"/>
          <w:szCs w:val="22"/>
        </w:rPr>
        <w:t xml:space="preserve"> este pusă de Dumnezeu, de la bun început, ca fundament și cap în toate lucrurile create de El. El avea</w:t>
      </w:r>
      <w:r>
        <w:rPr>
          <w:rFonts w:cstheme="minorHAnsi"/>
          <w:szCs w:val="22"/>
        </w:rPr>
        <w:t xml:space="preserve"> deja înțelepciunea aceasta</w:t>
      </w:r>
      <w:r>
        <w:rPr>
          <w:rFonts w:cstheme="minorHAnsi"/>
          <w:szCs w:val="22"/>
        </w:rPr>
        <w:t xml:space="preserve">, și a pus-o ca ingredient de bază</w:t>
      </w:r>
      <w:r>
        <w:rPr>
          <w:rFonts w:cstheme="minorHAnsi"/>
          <w:szCs w:val="22"/>
        </w:rPr>
        <w:t xml:space="preserve">, ca</w:t>
      </w:r>
      <w:r>
        <w:rPr>
          <w:rFonts w:cstheme="minorHAnsi"/>
          <w:szCs w:val="22"/>
        </w:rPr>
        <w:t xml:space="preserve"> resursă fundamentală, în tot ce a creat. Decizia lui Dumnezeu, cea din veșnicie, este ca înțelepciunea sa să fie prezentă în toate cele create</w:t>
      </w:r>
      <w:r>
        <w:rPr>
          <w:rFonts w:cstheme="minorHAnsi"/>
          <w:szCs w:val="22"/>
        </w:rPr>
        <w:t xml:space="preserve"> și să mărturisească despre atotputernicia și măreția sa</w:t>
      </w:r>
      <w:r>
        <w:rPr>
          <w:rFonts w:cstheme="minorHAnsi"/>
          <w:szCs w:val="22"/>
        </w:rPr>
        <w:t xml:space="preserve">. Nimic nu este nefolositor, </w:t>
      </w:r>
      <w:r>
        <w:rPr>
          <w:rFonts w:cstheme="minorHAnsi"/>
          <w:szCs w:val="22"/>
        </w:rPr>
        <w:t xml:space="preserve">ori </w:t>
      </w:r>
      <w:r>
        <w:rPr>
          <w:rFonts w:cstheme="minorHAnsi"/>
          <w:szCs w:val="22"/>
        </w:rPr>
        <w:t xml:space="preserve">demn de aruncat, </w:t>
      </w:r>
      <w:r>
        <w:rPr>
          <w:rFonts w:cstheme="minorHAnsi"/>
          <w:szCs w:val="22"/>
        </w:rPr>
        <w:t xml:space="preserve">în toată creația, și </w:t>
      </w:r>
      <w:r>
        <w:rPr>
          <w:rFonts w:cstheme="minorHAnsi"/>
          <w:szCs w:val="22"/>
        </w:rPr>
        <w:t xml:space="preserve">despre toate </w:t>
      </w:r>
      <w:r>
        <w:rPr>
          <w:rFonts w:cstheme="minorHAnsi"/>
          <w:szCs w:val="22"/>
        </w:rPr>
        <w:t xml:space="preserve">lucrurile create </w:t>
      </w:r>
      <w:r>
        <w:rPr>
          <w:rFonts w:cstheme="minorHAnsi"/>
          <w:szCs w:val="22"/>
        </w:rPr>
        <w:t xml:space="preserve">Dumnezeu a zis </w:t>
      </w:r>
      <w:r>
        <w:rPr>
          <w:rFonts w:cstheme="minorHAnsi"/>
          <w:szCs w:val="22"/>
        </w:rPr>
        <w:t xml:space="preserve">la început „</w:t>
      </w:r>
      <w:r>
        <w:rPr>
          <w:rFonts w:cstheme="minorHAnsi"/>
          <w:szCs w:val="22"/>
        </w:rPr>
        <w:t xml:space="preserve">sunt</w:t>
      </w:r>
      <w:r>
        <w:rPr>
          <w:rFonts w:cstheme="minorHAnsi"/>
          <w:szCs w:val="22"/>
        </w:rPr>
        <w:t xml:space="preserve"> bun</w:t>
      </w:r>
      <w:r>
        <w:rPr>
          <w:rFonts w:cstheme="minorHAnsi"/>
          <w:szCs w:val="22"/>
        </w:rPr>
        <w:t xml:space="preserve">e</w:t>
      </w:r>
      <w:r>
        <w:rPr>
          <w:rFonts w:cstheme="minorHAnsi"/>
          <w:szCs w:val="22"/>
        </w:rPr>
        <w:t xml:space="preserve">”. </w:t>
      </w:r>
      <w:r>
        <w:rPr>
          <w:rFonts w:cstheme="minorHAnsi"/>
          <w:szCs w:val="22"/>
        </w:rPr>
      </w:r>
    </w:p>
    <w:p>
      <w:pPr>
        <w:pBdr/>
        <w:spacing/>
        <w:ind/>
        <w:rPr>
          <w:rFonts w:cstheme="minorHAnsi"/>
          <w:szCs w:val="22"/>
        </w:rPr>
      </w:pPr>
      <w:r>
        <w:rPr>
          <w:rFonts w:cstheme="minorHAnsi"/>
          <w:szCs w:val="22"/>
        </w:rPr>
        <w:t xml:space="preserve">Așadar, versetul 23 arată că Înțelepciunea aceasta personificată poate spune </w:t>
      </w:r>
      <w:r>
        <w:rPr>
          <w:rFonts w:cstheme="minorHAnsi"/>
          <w:szCs w:val="22"/>
        </w:rPr>
        <w:t xml:space="preserve">„</w:t>
      </w:r>
      <w:r>
        <w:rPr>
          <w:rFonts w:cstheme="minorHAnsi"/>
          <w:szCs w:val="22"/>
        </w:rPr>
        <w:t xml:space="preserve">Eu am fost așezată din veșnicie, înainte de orice început”</w:t>
      </w:r>
      <w:r>
        <w:rPr>
          <w:rFonts w:cstheme="minorHAnsi"/>
          <w:szCs w:val="22"/>
        </w:rPr>
        <w:t xml:space="preserve"> </w:t>
      </w:r>
      <w:r>
        <w:rPr>
          <w:rFonts w:cstheme="minorHAnsi"/>
          <w:szCs w:val="22"/>
        </w:rPr>
        <w:t xml:space="preserve">(</w:t>
      </w:r>
      <w:r>
        <w:rPr>
          <w:rFonts w:cstheme="minorHAnsi"/>
          <w:szCs w:val="22"/>
        </w:rPr>
        <w:t xml:space="preserve">v. </w:t>
      </w:r>
      <w:r>
        <w:rPr>
          <w:rFonts w:cstheme="minorHAnsi"/>
          <w:szCs w:val="22"/>
        </w:rPr>
        <w:t xml:space="preserve">23).</w:t>
      </w:r>
      <w:r>
        <w:rPr>
          <w:rFonts w:cstheme="minorHAnsi"/>
          <w:szCs w:val="22"/>
        </w:rPr>
        <w:t xml:space="preserve"> Înțelepciunea lui Dumnezeu, cea eternă,  este prezentă în toate lucrurile create de El:</w:t>
      </w:r>
      <w:r>
        <w:rPr>
          <w:rFonts w:cstheme="minorHAnsi"/>
          <w:szCs w:val="22"/>
        </w:rPr>
        <w:t xml:space="preserve"> „</w:t>
      </w:r>
      <w:r>
        <w:rPr>
          <w:rFonts w:cstheme="minorHAnsi"/>
          <w:szCs w:val="22"/>
        </w:rPr>
        <w:t xml:space="preserve">înainte de a fi pământul...</w:t>
      </w:r>
      <w:r>
        <w:rPr>
          <w:rFonts w:cstheme="minorHAnsi"/>
          <w:szCs w:val="22"/>
        </w:rPr>
        <w:t xml:space="preserve"> </w:t>
      </w:r>
      <w:r>
        <w:rPr>
          <w:rFonts w:cstheme="minorHAnsi"/>
          <w:szCs w:val="22"/>
        </w:rPr>
        <w:t xml:space="preserve">când încă nu erau adîncuri, nici izvoare încărcate cu ape...</w:t>
      </w:r>
      <w:r>
        <w:rPr>
          <w:rFonts w:cstheme="minorHAnsi"/>
          <w:szCs w:val="22"/>
        </w:rPr>
        <w:t xml:space="preserve"> </w:t>
      </w:r>
      <w:r>
        <w:rPr>
          <w:rFonts w:cstheme="minorHAnsi"/>
          <w:szCs w:val="22"/>
        </w:rPr>
        <w:t xml:space="preserve">munții...</w:t>
      </w:r>
      <w:r>
        <w:rPr>
          <w:rFonts w:cstheme="minorHAnsi"/>
          <w:szCs w:val="22"/>
        </w:rPr>
        <w:t xml:space="preserve"> </w:t>
      </w:r>
      <w:r>
        <w:rPr>
          <w:rFonts w:cstheme="minorHAnsi"/>
          <w:szCs w:val="22"/>
        </w:rPr>
        <w:t xml:space="preserve">dealurile...</w:t>
      </w:r>
      <w:r>
        <w:rPr>
          <w:rFonts w:cstheme="minorHAnsi"/>
          <w:szCs w:val="22"/>
        </w:rPr>
        <w:t xml:space="preserve"> </w:t>
      </w:r>
      <w:r>
        <w:rPr>
          <w:rFonts w:cstheme="minorHAnsi"/>
          <w:szCs w:val="22"/>
        </w:rPr>
        <w:t xml:space="preserve">câmpiile, nici cea dintâi fărâmă din pulberea lumii...</w:t>
      </w:r>
      <w:r>
        <w:rPr>
          <w:rFonts w:cstheme="minorHAnsi"/>
          <w:szCs w:val="22"/>
        </w:rPr>
        <w:t xml:space="preserve"> </w:t>
      </w:r>
      <w:r>
        <w:rPr>
          <w:rFonts w:cstheme="minorHAnsi"/>
          <w:szCs w:val="22"/>
        </w:rPr>
        <w:t xml:space="preserve">e</w:t>
      </w:r>
      <w:r>
        <w:rPr>
          <w:rFonts w:cstheme="minorHAnsi"/>
          <w:szCs w:val="22"/>
        </w:rPr>
        <w:t xml:space="preserve">u eram de față” (vv. 23-27)</w:t>
      </w:r>
      <w:r>
        <w:rPr>
          <w:rFonts w:cstheme="minorHAnsi"/>
          <w:szCs w:val="22"/>
        </w:rPr>
        <w:t xml:space="preserve">. </w:t>
      </w:r>
      <w:r>
        <w:rPr>
          <w:rFonts w:cstheme="minorHAnsi"/>
          <w:szCs w:val="22"/>
        </w:rPr>
        <w:t xml:space="preserve">Și mai mult, </w:t>
      </w:r>
      <w:r>
        <w:rPr>
          <w:rFonts w:cstheme="minorHAnsi"/>
          <w:szCs w:val="22"/>
        </w:rPr>
        <w:t xml:space="preserve">„</w:t>
      </w:r>
      <w:r>
        <w:rPr>
          <w:rFonts w:cstheme="minorHAnsi"/>
          <w:szCs w:val="22"/>
        </w:rPr>
        <w:t xml:space="preserve">c</w:t>
      </w:r>
      <w:r>
        <w:rPr>
          <w:rFonts w:cstheme="minorHAnsi"/>
          <w:szCs w:val="22"/>
        </w:rPr>
        <w:t xml:space="preserve">ând a întocmit Domnul cerurile, eu eram de față... când a tras o zare pe fața adâncului, când a pironit norii sus...</w:t>
      </w:r>
      <w:r>
        <w:rPr>
          <w:rFonts w:cstheme="minorHAnsi"/>
          <w:szCs w:val="22"/>
        </w:rPr>
        <w:t xml:space="preserve"> </w:t>
      </w:r>
      <w:r>
        <w:rPr>
          <w:rFonts w:cstheme="minorHAnsi"/>
          <w:szCs w:val="22"/>
        </w:rPr>
        <w:t xml:space="preserve">când a pus un hotar mării...</w:t>
      </w:r>
      <w:r>
        <w:rPr>
          <w:rFonts w:cstheme="minorHAnsi"/>
          <w:szCs w:val="22"/>
        </w:rPr>
        <w:t xml:space="preserve"> </w:t>
      </w:r>
      <w:r>
        <w:rPr>
          <w:rFonts w:cstheme="minorHAnsi"/>
          <w:szCs w:val="22"/>
        </w:rPr>
        <w:t xml:space="preserve">când a pus temeliile pământului...</w:t>
      </w:r>
      <w:r>
        <w:rPr>
          <w:rFonts w:cstheme="minorHAnsi"/>
          <w:szCs w:val="22"/>
        </w:rPr>
        <w:t xml:space="preserve"> </w:t>
      </w:r>
      <w:r>
        <w:rPr>
          <w:rFonts w:cstheme="minorHAnsi"/>
          <w:szCs w:val="22"/>
        </w:rPr>
        <w:t xml:space="preserve">eu eram meșterul Lui, la lucru lângă El...</w:t>
      </w:r>
      <w:r>
        <w:rPr>
          <w:rFonts w:cstheme="minorHAnsi"/>
          <w:szCs w:val="22"/>
        </w:rPr>
        <w:t xml:space="preserve"> </w:t>
      </w:r>
      <w:r>
        <w:rPr>
          <w:rFonts w:cstheme="minorHAnsi"/>
          <w:szCs w:val="22"/>
        </w:rPr>
        <w:t xml:space="preserve">eram desfătarea Lui...</w:t>
      </w:r>
      <w:r>
        <w:rPr>
          <w:rFonts w:cstheme="minorHAnsi"/>
          <w:szCs w:val="22"/>
        </w:rPr>
        <w:t xml:space="preserve"> </w:t>
      </w:r>
      <w:r>
        <w:rPr>
          <w:rFonts w:cstheme="minorHAnsi"/>
          <w:szCs w:val="22"/>
        </w:rPr>
        <w:t xml:space="preserve">găsindu-mi plăcerea în fiii oamenilor” (</w:t>
      </w:r>
      <w:r>
        <w:rPr>
          <w:rFonts w:cstheme="minorHAnsi"/>
          <w:szCs w:val="22"/>
        </w:rPr>
        <w:t xml:space="preserve">vv. </w:t>
      </w:r>
      <w:r>
        <w:rPr>
          <w:rFonts w:cstheme="minorHAnsi"/>
          <w:szCs w:val="22"/>
        </w:rPr>
        <w:t xml:space="preserve">27-31).</w:t>
      </w:r>
      <w:r>
        <w:rPr>
          <w:rFonts w:cstheme="minorHAnsi"/>
          <w:szCs w:val="22"/>
        </w:rPr>
        <w:t xml:space="preserve"> Astfel, Dumnezeu îi crea</w:t>
      </w:r>
      <w:r>
        <w:rPr>
          <w:rFonts w:cstheme="minorHAnsi"/>
          <w:szCs w:val="22"/>
        </w:rPr>
        <w:t xml:space="preserve">ză cu înțelepciune și pe oameni</w:t>
      </w:r>
      <w:r>
        <w:rPr>
          <w:rFonts w:cstheme="minorHAnsi"/>
          <w:szCs w:val="22"/>
        </w:rPr>
        <w:t xml:space="preserve">, iar înțelepciunea lui Dumnezeu își găsește bucuria și plăcerea în a-i îmbogăți pe oameni</w:t>
      </w:r>
      <w:r>
        <w:rPr>
          <w:rFonts w:cstheme="minorHAnsi"/>
          <w:szCs w:val="22"/>
        </w:rPr>
        <w:t xml:space="preserve">, și în a locui în mintea lor, în gândurile lor, ca să îl poată cunoaște pe Dumnezeu</w:t>
      </w:r>
      <w:r>
        <w:rPr>
          <w:rFonts w:cstheme="minorHAnsi"/>
          <w:szCs w:val="22"/>
        </w:rPr>
        <w:t xml:space="preserve">.</w:t>
      </w:r>
      <w:r>
        <w:rPr>
          <w:rFonts w:cstheme="minorHAnsi"/>
          <w:szCs w:val="22"/>
        </w:rPr>
        <w:t xml:space="preserve"> 1 Corinteni 2:4-16, se arată că prin faptul că Duhul Sfânt vine în noi, primim această înțelepciune a lui Dumnezeu.</w:t>
      </w:r>
      <w:r>
        <w:rPr>
          <w:rFonts w:cstheme="minorHAnsi"/>
          <w:szCs w:val="22"/>
        </w:rPr>
      </w:r>
    </w:p>
    <w:p>
      <w:pPr>
        <w:pStyle w:val="885"/>
        <w:pBdr/>
        <w:spacing/>
        <w:ind/>
        <w:rPr/>
      </w:pPr>
      <w:r>
        <w:t xml:space="preserve">E</w:t>
      </w:r>
      <w:r>
        <w:t xml:space="preserve">pilogul: Avertizări</w:t>
      </w:r>
      <w:r>
        <w:t xml:space="preserve"> (32-36)</w:t>
      </w:r>
      <w:r/>
    </w:p>
    <w:p>
      <w:pPr>
        <w:pBdr/>
        <w:spacing/>
        <w:ind w:firstLine="0"/>
        <w:rPr>
          <w:rFonts w:cstheme="minorHAnsi"/>
          <w:szCs w:val="22"/>
        </w:rPr>
      </w:pPr>
      <w:r>
        <w:rPr>
          <w:rFonts w:cstheme="minorHAnsi"/>
          <w:szCs w:val="22"/>
        </w:rPr>
        <w:t xml:space="preserve">În concluzie, Î</w:t>
      </w:r>
      <w:r>
        <w:rPr>
          <w:rFonts w:cstheme="minorHAnsi"/>
          <w:szCs w:val="22"/>
        </w:rPr>
        <w:t xml:space="preserve">nțelepciunea </w:t>
      </w:r>
      <w:r>
        <w:rPr>
          <w:rFonts w:cstheme="minorHAnsi"/>
          <w:szCs w:val="22"/>
        </w:rPr>
        <w:t xml:space="preserve">lui Dumnezeu </w:t>
      </w:r>
      <w:r>
        <w:rPr>
          <w:rFonts w:cstheme="minorHAnsi"/>
          <w:szCs w:val="22"/>
        </w:rPr>
        <w:t xml:space="preserve">vorbește ca un maestru cu autoritate și se adresează au</w:t>
      </w:r>
      <w:r>
        <w:rPr>
          <w:rFonts w:cstheme="minorHAnsi"/>
          <w:szCs w:val="22"/>
        </w:rPr>
        <w:t xml:space="preserve">dienței sale ca </w:t>
      </w:r>
      <w:r>
        <w:rPr>
          <w:rFonts w:cstheme="minorHAnsi"/>
          <w:szCs w:val="22"/>
        </w:rPr>
        <w:t xml:space="preserve">unor </w:t>
      </w:r>
      <w:r>
        <w:rPr>
          <w:rFonts w:cstheme="minorHAnsi"/>
          <w:szCs w:val="22"/>
        </w:rPr>
        <w:t xml:space="preserve">fii. „</w:t>
      </w:r>
      <w:r>
        <w:rPr>
          <w:rFonts w:cstheme="minorHAnsi"/>
          <w:szCs w:val="22"/>
        </w:rPr>
        <w:t xml:space="preserve">Și acum, f</w:t>
      </w:r>
      <w:r>
        <w:rPr>
          <w:rFonts w:cstheme="minorHAnsi"/>
          <w:szCs w:val="22"/>
        </w:rPr>
        <w:t xml:space="preserve">iilor, ascultați-mă, căci fericiți vor fi</w:t>
      </w:r>
      <w:r>
        <w:rPr>
          <w:rFonts w:cstheme="minorHAnsi"/>
          <w:szCs w:val="22"/>
        </w:rPr>
        <w:t xml:space="preserve"> cei ce păzesc căile mele! Ascultați învățătura, ca să vă faceți înțelepți, și nu lepădați sfatul meu...</w:t>
      </w:r>
      <w:r>
        <w:rPr>
          <w:rFonts w:cstheme="minorHAnsi"/>
          <w:szCs w:val="22"/>
        </w:rPr>
        <w:t xml:space="preserve"> </w:t>
      </w:r>
      <w:r>
        <w:rPr>
          <w:rFonts w:cstheme="minorHAnsi"/>
          <w:szCs w:val="22"/>
        </w:rPr>
        <w:t xml:space="preserve">Căci cel ce mă găsește, găsește viața, și capătă bunăvoința Domnului. Dar cel ce păcătuiește împotriva mea își vatămă sufletul său; toți cei ce mă urăsc pe mine, iubesc moartea” (</w:t>
      </w:r>
      <w:r>
        <w:rPr>
          <w:rFonts w:cstheme="minorHAnsi"/>
          <w:szCs w:val="22"/>
        </w:rPr>
        <w:t xml:space="preserve">vv. </w:t>
      </w:r>
      <w:r>
        <w:rPr>
          <w:rFonts w:cstheme="minorHAnsi"/>
          <w:szCs w:val="22"/>
        </w:rPr>
        <w:t xml:space="preserve">32-36).</w:t>
      </w:r>
      <w:r>
        <w:rPr>
          <w:rFonts w:cstheme="minorHAnsi"/>
          <w:szCs w:val="22"/>
        </w:rPr>
        <w:t xml:space="preserve"> </w:t>
      </w:r>
      <w:r>
        <w:rPr>
          <w:rFonts w:cstheme="minorHAnsi"/>
          <w:szCs w:val="22"/>
        </w:rPr>
      </w:r>
    </w:p>
    <w:p>
      <w:pPr>
        <w:pBdr/>
        <w:spacing/>
        <w:ind/>
        <w:rPr>
          <w:rFonts w:cstheme="minorHAnsi"/>
          <w:szCs w:val="22"/>
        </w:rPr>
      </w:pPr>
      <w:r>
        <w:rPr>
          <w:rFonts w:cstheme="minorHAnsi"/>
          <w:szCs w:val="22"/>
        </w:rPr>
        <w:t xml:space="preserve">În cuvintele ei, vedem cuvintele și invitația lui Dumnezeu. Așa cum arată și Romani </w:t>
      </w:r>
      <w:r>
        <w:rPr>
          <w:rFonts w:cstheme="minorHAnsi"/>
          <w:szCs w:val="22"/>
        </w:rPr>
        <w:t xml:space="preserve">1:</w:t>
      </w:r>
      <w:r>
        <w:t xml:space="preserve"> </w:t>
      </w:r>
      <w:r>
        <w:t xml:space="preserve">19-20, oamenii au fost în stare să vadă această înțelepciune în creație, dar</w:t>
      </w:r>
      <w:r>
        <w:t xml:space="preserve">, din cauza păcatelor, </w:t>
      </w:r>
      <w:r>
        <w:t xml:space="preserve"> nu s-au închinat lui Dumnezeu: „19 Fiindcă ce se poate cunoaşte despre Dumnezeu le este descoperit în ei</w:t>
      </w:r>
      <w:r>
        <w:t xml:space="preserve">, căci le-a fost arătat de Dumnezeu. 20. În adevăr, însuşirile nevăzute ale Lui, puterea Lui veşnică şi dumnezeirea Lui se văd lămurit, de la facerea lumii, când te uiţi cu băgare de seamă la ele în lucrurile făcute de El. Aşa că nu se pot dezvinovăţi...”.</w:t>
      </w:r>
      <w:r>
        <w:rPr>
          <w:rFonts w:cstheme="minorHAnsi"/>
          <w:szCs w:val="22"/>
        </w:rPr>
      </w:r>
    </w:p>
    <w:p>
      <w:pPr>
        <w:pBdr/>
        <w:spacing/>
        <w:ind/>
        <w:rPr>
          <w:rFonts w:cstheme="minorHAnsi"/>
          <w:szCs w:val="22"/>
        </w:rPr>
      </w:pPr>
      <w:r>
        <w:rPr>
          <w:rFonts w:cstheme="minorHAnsi"/>
          <w:szCs w:val="22"/>
        </w:rPr>
      </w:r>
      <w:r>
        <w:rPr>
          <w:rFonts w:cstheme="minorHAnsi"/>
          <w:szCs w:val="22"/>
        </w:rPr>
      </w:r>
    </w:p>
    <w:p>
      <w:pPr>
        <w:pStyle w:val="885"/>
        <w:pBdr/>
        <w:spacing/>
        <w:ind/>
        <w:rPr>
          <w:rFonts w:cstheme="minorHAnsi"/>
          <w:szCs w:val="22"/>
        </w:rPr>
      </w:pPr>
      <w:r>
        <w:rPr>
          <w:rStyle w:val="1141"/>
          <w:rFonts w:ascii="Gentium" w:hAnsi="Gentium"/>
          <w:b/>
          <w:smallCaps/>
          <w:sz w:val="24"/>
          <w:lang w:eastAsia="zh-CN"/>
        </w:rPr>
        <w:t xml:space="preserve">A</w:t>
      </w:r>
      <w:r>
        <w:rPr>
          <w:rStyle w:val="1141"/>
          <w:rFonts w:ascii="Gentium" w:hAnsi="Gentium"/>
          <w:b/>
          <w:smallCaps/>
          <w:sz w:val="24"/>
          <w:lang w:eastAsia="zh-CN"/>
        </w:rPr>
        <w:t xml:space="preserve">plicații</w:t>
      </w:r>
      <w:r>
        <w:rPr>
          <w:rFonts w:cstheme="minorHAnsi"/>
          <w:szCs w:val="22"/>
        </w:rPr>
      </w:r>
    </w:p>
    <w:p>
      <w:pPr>
        <w:pBdr/>
        <w:spacing/>
        <w:ind w:firstLine="0"/>
        <w:rPr>
          <w:rFonts w:cstheme="minorHAnsi"/>
          <w:szCs w:val="22"/>
        </w:rPr>
      </w:pPr>
      <w:r>
        <w:rPr>
          <w:rFonts w:cstheme="minorHAnsi"/>
          <w:szCs w:val="22"/>
        </w:rPr>
        <w:t xml:space="preserve">Care este semnificația expresiilor</w:t>
      </w:r>
      <w:r>
        <w:rPr>
          <w:rFonts w:cstheme="minorHAnsi"/>
          <w:szCs w:val="22"/>
        </w:rPr>
        <w:t xml:space="preserve"> „</w:t>
      </w:r>
      <w:r>
        <w:rPr>
          <w:rFonts w:cstheme="minorHAnsi"/>
          <w:szCs w:val="22"/>
        </w:rPr>
        <w:t xml:space="preserve">proști” și</w:t>
      </w:r>
      <w:r>
        <w:rPr>
          <w:rFonts w:cstheme="minorHAnsi"/>
          <w:szCs w:val="22"/>
        </w:rPr>
        <w:t xml:space="preserve"> „</w:t>
      </w:r>
      <w:r>
        <w:rPr>
          <w:rFonts w:cstheme="minorHAnsi"/>
          <w:szCs w:val="22"/>
        </w:rPr>
        <w:t xml:space="preserve">nebuni” folosite în Proverbe 8:5?.</w:t>
      </w:r>
      <w:r>
        <w:rPr>
          <w:rFonts w:cstheme="minorHAnsi"/>
          <w:szCs w:val="22"/>
        </w:rPr>
      </w:r>
    </w:p>
    <w:p>
      <w:pPr>
        <w:pBdr/>
        <w:spacing/>
        <w:ind w:firstLine="0"/>
        <w:rPr/>
      </w:pPr>
      <w:r>
        <w:t xml:space="preserve">..................................................................................................................................................</w:t>
      </w:r>
      <w:r/>
    </w:p>
    <w:p>
      <w:pPr>
        <w:pBdr/>
        <w:spacing/>
        <w:ind w:firstLine="0"/>
        <w:rPr/>
      </w:pPr>
      <w:r>
        <w:t xml:space="preserve">..................................................................................................................................................</w:t>
      </w:r>
      <w:r/>
    </w:p>
    <w:p>
      <w:pPr>
        <w:pBdr/>
        <w:spacing/>
        <w:ind w:firstLine="0"/>
        <w:rPr/>
      </w:pPr>
      <w:r>
        <w:t xml:space="preserve">..................................................................................................................................................</w:t>
      </w:r>
      <w:r/>
    </w:p>
    <w:p>
      <w:pPr>
        <w:pBdr/>
        <w:spacing/>
        <w:ind w:firstLine="0"/>
        <w:rPr>
          <w:rFonts w:cstheme="minorHAnsi"/>
          <w:szCs w:val="22"/>
        </w:rPr>
      </w:pPr>
      <w:r>
        <w:rPr>
          <w:rFonts w:cstheme="minorHAnsi"/>
          <w:szCs w:val="22"/>
        </w:rPr>
      </w:r>
      <w:r>
        <w:rPr>
          <w:rFonts w:cstheme="minorHAnsi"/>
          <w:szCs w:val="22"/>
        </w:rPr>
      </w:r>
    </w:p>
    <w:p>
      <w:pPr>
        <w:pBdr/>
        <w:spacing/>
        <w:ind w:firstLine="0"/>
        <w:rPr>
          <w:rFonts w:cstheme="minorHAnsi"/>
          <w:szCs w:val="22"/>
        </w:rPr>
      </w:pPr>
      <w:r>
        <w:rPr>
          <w:rFonts w:cstheme="minorHAnsi"/>
          <w:szCs w:val="22"/>
        </w:rPr>
        <w:t xml:space="preserve">Ce argumente practice folosește înțelepciunea personificată, atunci când îndeamnă pe oameni să o caute?</w:t>
      </w:r>
      <w:r>
        <w:rPr>
          <w:rFonts w:cstheme="minorHAnsi"/>
          <w:szCs w:val="22"/>
        </w:rPr>
      </w:r>
    </w:p>
    <w:p>
      <w:pPr>
        <w:pBdr/>
        <w:spacing/>
        <w:ind w:firstLine="0"/>
        <w:rPr/>
      </w:pPr>
      <w:r>
        <w:t xml:space="preserve">..................................................................................................................................................</w:t>
      </w:r>
      <w:r/>
    </w:p>
    <w:p>
      <w:pPr>
        <w:pBdr/>
        <w:spacing/>
        <w:ind w:firstLine="0"/>
        <w:rPr/>
      </w:pPr>
      <w:r>
        <w:t xml:space="preserve">..................................................................................................................................................</w:t>
      </w:r>
      <w:r/>
    </w:p>
    <w:p>
      <w:pPr>
        <w:pBdr/>
        <w:spacing/>
        <w:ind w:firstLine="0"/>
        <w:rPr/>
      </w:pPr>
      <w:r>
        <w:t xml:space="preserve">..................................................................................................................................................</w:t>
      </w:r>
      <w:r/>
    </w:p>
    <w:p>
      <w:pPr>
        <w:pBdr/>
        <w:spacing/>
        <w:ind w:firstLine="0"/>
        <w:rPr>
          <w:rFonts w:cstheme="minorHAnsi"/>
          <w:szCs w:val="22"/>
        </w:rPr>
      </w:pPr>
      <w:r>
        <w:rPr>
          <w:rFonts w:cstheme="minorHAnsi"/>
          <w:szCs w:val="22"/>
        </w:rPr>
      </w:r>
      <w:r>
        <w:rPr>
          <w:rFonts w:cstheme="minorHAnsi"/>
          <w:szCs w:val="22"/>
        </w:rPr>
      </w:r>
    </w:p>
    <w:p>
      <w:pPr>
        <w:pBdr/>
        <w:spacing/>
        <w:ind w:firstLine="0"/>
        <w:rPr>
          <w:rFonts w:cstheme="minorHAnsi"/>
          <w:szCs w:val="22"/>
        </w:rPr>
      </w:pPr>
      <w:r>
        <w:rPr>
          <w:rFonts w:cstheme="minorHAnsi"/>
          <w:szCs w:val="22"/>
        </w:rPr>
        <w:t xml:space="preserve">În ce constă și ce consecințe teologice are erezia lui Arius din sec.IV ?</w:t>
      </w:r>
      <w:r>
        <w:rPr>
          <w:rFonts w:cstheme="minorHAnsi"/>
          <w:szCs w:val="22"/>
        </w:rPr>
      </w:r>
    </w:p>
    <w:p>
      <w:pPr>
        <w:pBdr/>
        <w:spacing/>
        <w:ind w:firstLine="0"/>
        <w:rPr/>
      </w:pPr>
      <w:r>
        <w:t xml:space="preserve">..................................................................................................................................................</w:t>
      </w:r>
      <w:r/>
    </w:p>
    <w:p>
      <w:pPr>
        <w:pBdr/>
        <w:spacing/>
        <w:ind w:firstLine="0"/>
        <w:rPr/>
      </w:pPr>
      <w:r>
        <w:t xml:space="preserve">..................................................................................................................................................</w:t>
      </w:r>
      <w:r/>
    </w:p>
    <w:p>
      <w:pPr>
        <w:pBdr/>
        <w:spacing/>
        <w:ind w:firstLine="0"/>
        <w:rPr/>
      </w:pPr>
      <w:r>
        <w:t xml:space="preserve">..................................................................................................................................................</w:t>
      </w:r>
      <w:r/>
    </w:p>
    <w:p>
      <w:pPr>
        <w:pBdr/>
        <w:spacing/>
        <w:ind/>
        <w:rPr>
          <w:rFonts w:cstheme="minorHAnsi"/>
          <w:szCs w:val="22"/>
        </w:rPr>
      </w:pPr>
      <w:r>
        <w:rPr>
          <w:rFonts w:cstheme="minorHAnsi"/>
          <w:szCs w:val="22"/>
        </w:rPr>
      </w:r>
      <w:r>
        <w:rPr>
          <w:rFonts w:cstheme="minorHAnsi"/>
          <w:szCs w:val="22"/>
        </w:rPr>
      </w:r>
    </w:p>
    <w:p>
      <w:pPr>
        <w:pBdr/>
        <w:spacing/>
        <w:ind w:firstLine="0"/>
        <w:rPr>
          <w:rFonts w:cstheme="minorHAnsi"/>
          <w:szCs w:val="22"/>
        </w:rPr>
      </w:pPr>
      <w:r>
        <w:rPr>
          <w:rFonts w:cstheme="minorHAnsi"/>
          <w:szCs w:val="22"/>
        </w:rPr>
        <w:t xml:space="preserve">Ce rol a avut la începuturi înțelepciunea în creația lui Dumnezeu și cum explică Noul Testament rolul Domnului Isus în Creație?</w:t>
      </w:r>
      <w:r>
        <w:rPr>
          <w:rFonts w:cstheme="minorHAnsi"/>
          <w:szCs w:val="22"/>
        </w:rPr>
      </w:r>
    </w:p>
    <w:p>
      <w:pPr>
        <w:pBdr/>
        <w:spacing/>
        <w:ind w:firstLine="0"/>
        <w:rPr/>
      </w:pPr>
      <w:r>
        <w:t xml:space="preserve">..................................................................................................................................................</w:t>
      </w:r>
      <w:r/>
    </w:p>
    <w:p>
      <w:pPr>
        <w:pBdr/>
        <w:spacing/>
        <w:ind w:firstLine="0"/>
        <w:rPr/>
      </w:pPr>
      <w:r>
        <w:t xml:space="preserve">..................................................................................................................................................</w:t>
      </w:r>
      <w:r/>
    </w:p>
    <w:p>
      <w:pPr>
        <w:pBdr/>
        <w:spacing/>
        <w:ind w:firstLine="0"/>
        <w:rPr/>
      </w:pPr>
      <w:r>
        <w:t xml:space="preserve">..................................................................................................................................................</w:t>
      </w:r>
      <w:r/>
    </w:p>
    <w:p>
      <w:pPr>
        <w:pBdr/>
        <w:spacing/>
        <w:ind/>
        <w:rPr>
          <w:rFonts w:cstheme="minorHAnsi"/>
          <w:szCs w:val="22"/>
        </w:rPr>
      </w:pPr>
      <w:r>
        <w:rPr>
          <w:rFonts w:cstheme="minorHAnsi"/>
          <w:szCs w:val="22"/>
        </w:rPr>
      </w:r>
      <w:r>
        <w:rPr>
          <w:rFonts w:cstheme="minorHAnsi"/>
          <w:szCs w:val="22"/>
        </w:rPr>
      </w:r>
    </w:p>
    <w:p>
      <w:pPr>
        <w:pBdr/>
        <w:spacing/>
        <w:ind w:firstLine="0"/>
        <w:rPr>
          <w:rFonts w:cstheme="minorHAnsi"/>
          <w:szCs w:val="22"/>
        </w:rPr>
      </w:pPr>
      <w:r>
        <w:rPr>
          <w:rFonts w:cstheme="minorHAnsi"/>
          <w:szCs w:val="22"/>
        </w:rPr>
        <w:t xml:space="preserve">Ce consecințe, pentru viața aceasta și pentru eternitate, au iubirea înțelepciunii și respectiv păcătuirea împotriva înțelepciunii ?</w:t>
      </w:r>
      <w:r>
        <w:rPr>
          <w:rFonts w:cstheme="minorHAnsi"/>
          <w:szCs w:val="22"/>
        </w:rPr>
      </w:r>
    </w:p>
    <w:p>
      <w:pPr>
        <w:pBdr/>
        <w:spacing/>
        <w:ind w:firstLine="0"/>
        <w:rPr/>
      </w:pPr>
      <w:r>
        <w:t xml:space="preserve">..................................................................................................................................................</w:t>
      </w:r>
      <w:r/>
    </w:p>
    <w:p>
      <w:pPr>
        <w:pBdr/>
        <w:spacing/>
        <w:ind w:firstLine="0"/>
        <w:rPr/>
      </w:pPr>
      <w:r>
        <w:t xml:space="preserve">..................................................................................................................................................</w:t>
      </w:r>
      <w:r/>
    </w:p>
    <w:p>
      <w:pPr>
        <w:pBdr/>
        <w:spacing/>
        <w:ind w:firstLine="0"/>
        <w:rPr/>
      </w:pPr>
      <w:r>
        <w:t xml:space="preserve">..................................................................................................................................................</w:t>
      </w:r>
      <w:r/>
    </w:p>
    <w:p>
      <w:pPr>
        <w:pBdr/>
        <w:spacing/>
        <w:ind/>
        <w:rPr>
          <w:rFonts w:cstheme="minorHAnsi"/>
          <w:szCs w:val="22"/>
        </w:rPr>
      </w:pPr>
      <w:r>
        <w:rPr>
          <w:rFonts w:cstheme="minorHAnsi"/>
          <w:szCs w:val="22"/>
        </w:rPr>
      </w:r>
      <w:r>
        <w:rPr>
          <w:rFonts w:cstheme="minorHAnsi"/>
          <w:szCs w:val="22"/>
        </w:rPr>
      </w:r>
    </w:p>
    <w:p>
      <w:pPr>
        <w:pBdr/>
        <w:spacing/>
        <w:ind/>
        <w:rPr>
          <w:rFonts w:cstheme="minorHAnsi"/>
          <w:szCs w:val="22"/>
        </w:rPr>
      </w:pPr>
      <w:r>
        <w:rPr>
          <w:rFonts w:cstheme="minorHAnsi"/>
          <w:szCs w:val="22"/>
        </w:rPr>
        <w:t xml:space="preserve">  </w:t>
      </w:r>
      <w:r>
        <w:rPr>
          <w:rFonts w:cstheme="minorHAnsi"/>
          <w:szCs w:val="22"/>
        </w:rPr>
      </w:r>
    </w:p>
    <w:p>
      <w:pPr>
        <w:pBdr/>
        <w:spacing/>
        <w:ind/>
        <w:rPr>
          <w:rFonts w:cstheme="minorHAnsi"/>
          <w:szCs w:val="22"/>
        </w:rPr>
      </w:pPr>
      <w:r>
        <w:rPr>
          <w:rFonts w:cstheme="minorHAnsi"/>
          <w:szCs w:val="22"/>
        </w:rPr>
      </w:r>
      <w:r>
        <w:rPr>
          <w:rFonts w:cstheme="minorHAnsi"/>
          <w:szCs w:val="22"/>
        </w:rPr>
      </w:r>
    </w:p>
    <w:p>
      <w:pPr>
        <w:pBdr/>
        <w:spacing/>
        <w:ind/>
        <w:rPr>
          <w:rFonts w:cstheme="minorHAnsi"/>
          <w:szCs w:val="22"/>
        </w:rPr>
      </w:pPr>
      <w:r>
        <w:rPr>
          <w:rFonts w:cstheme="minorHAnsi"/>
          <w:szCs w:val="22"/>
        </w:rPr>
      </w:r>
      <w:r>
        <w:rPr>
          <w:rFonts w:cstheme="minorHAnsi"/>
          <w:szCs w:val="22"/>
        </w:rPr>
      </w:r>
    </w:p>
    <w:p>
      <w:pPr>
        <w:pBdr/>
        <w:spacing/>
        <w:ind/>
        <w:rPr>
          <w:rFonts w:cstheme="minorHAnsi"/>
          <w:b/>
          <w:bCs/>
          <w:szCs w:val="22"/>
        </w:rPr>
      </w:pPr>
      <w:r>
        <w:rPr>
          <w:rFonts w:cstheme="minorHAnsi"/>
          <w:b/>
          <w:bCs/>
          <w:szCs w:val="22"/>
        </w:rPr>
      </w:r>
      <w:r>
        <w:rPr>
          <w:rFonts w:cstheme="minorHAnsi"/>
          <w:b/>
          <w:bCs/>
          <w:szCs w:val="22"/>
        </w:rPr>
      </w:r>
    </w:p>
    <w:p>
      <w:pPr>
        <w:pBdr/>
        <w:spacing/>
        <w:ind/>
        <w:rPr>
          <w:rFonts w:cstheme="minorHAnsi"/>
          <w:b/>
          <w:bCs/>
          <w:szCs w:val="22"/>
        </w:rPr>
      </w:pPr>
      <w:r>
        <w:rPr>
          <w:rFonts w:cstheme="minorHAnsi"/>
          <w:b/>
          <w:bCs/>
          <w:szCs w:val="22"/>
        </w:rPr>
      </w:r>
      <w:r>
        <w:rPr>
          <w:rFonts w:cstheme="minorHAnsi"/>
          <w:b/>
          <w:bCs/>
          <w:szCs w:val="22"/>
        </w:rPr>
      </w:r>
    </w:p>
    <w:p>
      <w:pPr>
        <w:pBdr/>
        <w:spacing/>
        <w:ind/>
        <w:rPr>
          <w:rFonts w:cstheme="minorHAnsi"/>
          <w:szCs w:val="22"/>
        </w:rPr>
      </w:pPr>
      <w:r>
        <w:rPr>
          <w:rFonts w:cstheme="minorHAnsi"/>
          <w:szCs w:val="22"/>
        </w:rPr>
      </w:r>
      <w:r>
        <w:rPr>
          <w:rFonts w:cstheme="minorHAnsi"/>
          <w:szCs w:val="22"/>
        </w:rPr>
      </w:r>
    </w:p>
    <w:p>
      <w:pPr>
        <w:pBdr/>
        <w:spacing/>
        <w:ind/>
        <w:rPr>
          <w:rFonts w:cstheme="minorHAnsi"/>
          <w:szCs w:val="22"/>
        </w:rPr>
      </w:pPr>
      <w:r>
        <w:rPr>
          <w:rFonts w:cstheme="minorHAnsi"/>
          <w:szCs w:val="22"/>
        </w:rPr>
      </w:r>
      <w:r>
        <w:rPr>
          <w:rFonts w:cstheme="minorHAnsi"/>
          <w:szCs w:val="22"/>
        </w:rPr>
      </w:r>
    </w:p>
    <w:p>
      <w:pPr>
        <w:pBdr/>
        <w:spacing/>
        <w:ind/>
        <w:rPr>
          <w:rFonts w:cstheme="minorHAnsi"/>
          <w:szCs w:val="22"/>
        </w:rPr>
      </w:pPr>
      <w:r>
        <w:rPr>
          <w:rFonts w:cstheme="minorHAnsi"/>
          <w:szCs w:val="22"/>
        </w:rPr>
      </w:r>
      <w:r>
        <w:rPr>
          <w:rFonts w:cstheme="minorHAnsi"/>
          <w:szCs w:val="22"/>
        </w:rPr>
      </w:r>
    </w:p>
    <w:p>
      <w:pPr>
        <w:pBdr/>
        <w:spacing w:after="0" w:line="240" w:lineRule="auto"/>
        <w:ind w:firstLine="0"/>
        <w:jc w:val="left"/>
        <w:rPr>
          <w:rFonts w:cstheme="minorHAnsi"/>
          <w:b/>
          <w:bCs/>
          <w:szCs w:val="22"/>
        </w:rPr>
      </w:pPr>
      <w:r>
        <w:rPr>
          <w:rFonts w:cstheme="minorHAnsi"/>
          <w:b/>
          <w:bCs/>
          <w:szCs w:val="22"/>
        </w:rPr>
        <w:br w:type="page" w:clear="all"/>
      </w:r>
      <w:r>
        <w:rPr>
          <w:rFonts w:cstheme="minorHAnsi"/>
          <w:b/>
          <w:bCs/>
          <w:szCs w:val="22"/>
        </w:rPr>
      </w:r>
    </w:p>
    <w:p>
      <w:pPr>
        <w:pBdr/>
        <w:spacing/>
        <w:ind/>
        <w:rPr>
          <w:rFonts w:cstheme="minorHAnsi"/>
          <w:b/>
          <w:bCs/>
          <w:szCs w:val="22"/>
        </w:rPr>
      </w:pPr>
      <w:r>
        <w:rPr>
          <w:rFonts w:cstheme="minorHAnsi"/>
          <w:b/>
          <w:bCs/>
          <w:szCs w:val="22"/>
        </w:rPr>
      </w:r>
      <w:r>
        <w:rPr>
          <w:rFonts w:cstheme="minorHAnsi"/>
          <w:b/>
          <w:bCs/>
          <w:szCs w:val="22"/>
        </w:rPr>
      </w:r>
    </w:p>
    <w:p>
      <w:pPr>
        <w:pStyle w:val="884"/>
        <w:pBdr/>
        <w:spacing/>
        <w:ind/>
        <w:jc w:val="center"/>
        <w:rPr/>
      </w:pPr>
      <w:r/>
      <w:bookmarkStart w:id="26" w:name="_Toc171151248"/>
      <w:r>
        <w:t xml:space="preserve">S</w:t>
      </w:r>
      <w:r>
        <w:t xml:space="preserve">eptembrie</w:t>
      </w:r>
      <w:bookmarkEnd w:id="26"/>
      <w:r/>
      <w:r/>
    </w:p>
    <w:p>
      <w:pPr>
        <w:pStyle w:val="884"/>
        <w:pBdr/>
        <w:spacing/>
        <w:ind/>
        <w:rPr/>
      </w:pPr>
      <w:r/>
      <w:bookmarkStart w:id="27" w:name="_Toc171151249"/>
      <w:r>
        <w:t xml:space="preserve">5 s</w:t>
      </w:r>
      <w:r>
        <w:t xml:space="preserve">ept., Prov</w:t>
      </w:r>
      <w:r>
        <w:t xml:space="preserve">erbe</w:t>
      </w:r>
      <w:r>
        <w:t xml:space="preserve"> 9, Înțelepciunea și maturizarea, 9:9</w:t>
      </w:r>
      <w:bookmarkEnd w:id="27"/>
      <w:r/>
      <w:r/>
    </w:p>
    <w:p>
      <w:pPr>
        <w:pBdr/>
        <w:spacing/>
        <w:ind w:firstLine="0"/>
        <w:rPr>
          <w:rFonts w:cstheme="minorHAnsi"/>
          <w:b/>
          <w:bCs/>
          <w:szCs w:val="22"/>
        </w:rPr>
      </w:pPr>
      <w:r>
        <w:rPr>
          <w:rFonts w:cstheme="minorHAnsi"/>
          <w:szCs w:val="22"/>
        </w:rPr>
        <w:t xml:space="preserve">La o analiză atentă a structurii capitolului</w:t>
      </w:r>
      <w:r>
        <w:rPr>
          <w:rFonts w:cstheme="minorHAnsi"/>
          <w:szCs w:val="22"/>
        </w:rPr>
        <w:t xml:space="preserve"> 9 din Proverbe observăm că aceste cuvinte de încheiere sumarizează atât intenția cât și conținutul capitolelor 1-8, și oferă o concluzie potrivită pentru această secțiune introductivă a cărții. Capitolul 9 este un capitol „plic”: începe și se termină cu c</w:t>
      </w:r>
      <w:r>
        <w:rPr>
          <w:rFonts w:cstheme="minorHAnsi"/>
          <w:szCs w:val="22"/>
        </w:rPr>
        <w:t xml:space="preserve">hemări la ospăț, una făcută de înțelepciune, alta făcută de nebunie. În mijlocul plicului se află descrierea și sfatul cu privire la tratarea batjocoritorului și a înțeleptului, care marchează cele două moduri prin care se poate răspunde la aceste chemări.</w:t>
      </w:r>
      <w:r>
        <w:rPr>
          <w:rFonts w:cstheme="minorHAnsi"/>
          <w:b/>
          <w:bCs/>
          <w:szCs w:val="22"/>
        </w:rPr>
      </w:r>
    </w:p>
    <w:p>
      <w:pPr>
        <w:pStyle w:val="885"/>
        <w:pBdr/>
        <w:spacing/>
        <w:ind/>
        <w:rPr/>
      </w:pPr>
      <w:r>
        <w:t xml:space="preserve">C</w:t>
      </w:r>
      <w:r>
        <w:t xml:space="preserve">hemarea generoasă a înțelepciunii către cei naivi</w:t>
      </w:r>
      <w:r>
        <w:t xml:space="preserve"> (1-6)</w:t>
      </w:r>
      <w:r/>
    </w:p>
    <w:p>
      <w:pPr>
        <w:pBdr/>
        <w:spacing/>
        <w:ind w:firstLine="0"/>
        <w:rPr>
          <w:rFonts w:cstheme="minorHAnsi"/>
          <w:color w:val="4472c4" w:themeColor="accent1"/>
          <w:szCs w:val="22"/>
        </w:rPr>
      </w:pPr>
      <w:r>
        <w:rPr>
          <w:rFonts w:cstheme="minorHAnsi"/>
          <w:szCs w:val="22"/>
        </w:rPr>
        <w:t xml:space="preserve">Înțelepciunea, personificată din nou, este înfățișată sub forma unei gazde plină de amabilitate.</w:t>
      </w:r>
      <w:r>
        <w:rPr>
          <w:rFonts w:cstheme="minorHAnsi"/>
          <w:szCs w:val="22"/>
        </w:rPr>
        <w:t xml:space="preserve"> Ne aducem aminte de Psalmul 23. </w:t>
      </w:r>
      <w:r>
        <w:rPr>
          <w:rFonts w:cstheme="minorHAnsi"/>
          <w:color w:val="4472c4" w:themeColor="accent1"/>
          <w:szCs w:val="22"/>
        </w:rPr>
      </w:r>
    </w:p>
    <w:p>
      <w:pPr>
        <w:pStyle w:val="886"/>
        <w:pBdr/>
        <w:spacing/>
        <w:ind/>
        <w:rPr/>
      </w:pPr>
      <w:r>
        <w:t xml:space="preserve">Înțelepciunea are multe de oferit (1-3)</w:t>
      </w:r>
      <w:r/>
    </w:p>
    <w:p>
      <w:pPr>
        <w:pBdr/>
        <w:spacing/>
        <w:ind w:firstLine="0"/>
        <w:rPr>
          <w:rFonts w:cstheme="minorHAnsi"/>
          <w:color w:val="000000" w:themeColor="text1"/>
          <w:szCs w:val="22"/>
        </w:rPr>
      </w:pPr>
      <w:r>
        <w:rPr>
          <w:rFonts w:cstheme="minorHAnsi"/>
          <w:b/>
          <w:bCs/>
          <w:i/>
          <w:color w:val="000000" w:themeColor="text1"/>
          <w:szCs w:val="22"/>
        </w:rPr>
        <w:t xml:space="preserve">. </w:t>
      </w:r>
      <w:r>
        <w:rPr>
          <w:rFonts w:cstheme="minorHAnsi"/>
          <w:i/>
          <w:color w:val="000000" w:themeColor="text1"/>
          <w:szCs w:val="22"/>
        </w:rPr>
        <w:t xml:space="preserve">O fundație solidă:</w:t>
      </w:r>
      <w:r>
        <w:rPr>
          <w:rFonts w:cstheme="minorHAnsi"/>
          <w:color w:val="000000" w:themeColor="text1"/>
          <w:szCs w:val="22"/>
        </w:rPr>
        <w:t xml:space="preserve"> „</w:t>
      </w:r>
      <w:r>
        <w:rPr>
          <w:rFonts w:cstheme="minorHAnsi"/>
          <w:color w:val="000000" w:themeColor="text1"/>
          <w:szCs w:val="22"/>
        </w:rPr>
        <w:t xml:space="preserve">Înțelepciunea și-a zidit casa , și-a tăiat cei șapte stâlpi” (1). Dacă femeia adulteră are o casă împodobită</w:t>
      </w:r>
      <w:r>
        <w:rPr>
          <w:rFonts w:cstheme="minorHAnsi"/>
          <w:color w:val="000000" w:themeColor="text1"/>
          <w:szCs w:val="22"/>
        </w:rPr>
        <w:t xml:space="preserve"> </w:t>
      </w:r>
      <w:r>
        <w:rPr>
          <w:rFonts w:cstheme="minorHAnsi"/>
          <w:color w:val="000000" w:themeColor="text1"/>
          <w:szCs w:val="22"/>
        </w:rPr>
        <w:t xml:space="preserve">(Proverbe 7:16), Înțelepciunea are ceva mai bun, un palat sau un templu, cu stâlpi, ca templul lui Solomon (1 Regi 7:21). Stâlpii dau unei clădiri frumusețe și forță. La fel și Cuvântul lui Dumnezeu ne va da putere și nu ne va slăbi energia, </w:t>
      </w:r>
      <w:r>
        <w:rPr>
          <w:rFonts w:cstheme="minorHAnsi"/>
          <w:color w:val="000000" w:themeColor="text1"/>
          <w:szCs w:val="22"/>
        </w:rPr>
        <w:t xml:space="preserve">așa cum o face adulterul (Proverbe 5: 11). Frumusețea sa este reală și netrecătoare, spre deosebire de farmecul femeii prostituate, dependentă de produse cosmetice și haine (Proverbe 7:10). Cifra 7 este un simbol al perfecțiunii, al deplinătății. Cuvântul </w:t>
      </w:r>
      <w:r>
        <w:rPr>
          <w:rFonts w:cstheme="minorHAnsi"/>
          <w:color w:val="000000" w:themeColor="text1"/>
          <w:szCs w:val="22"/>
        </w:rPr>
        <w:t xml:space="preserve">lui Dumnezeu este suficient pentru că vine de la singurul Dumnezeu înțelept. Merită amintită aici și învățătura Domnului Isus care a spus că cine aude cuvintele Lui și le face este asemănat cu un om înțelept, care și-a zidit casa pe stâncă (Matei 7:24-25).</w:t>
      </w:r>
      <w:r>
        <w:rPr>
          <w:rFonts w:cstheme="minorHAnsi"/>
          <w:color w:val="000000" w:themeColor="text1"/>
          <w:szCs w:val="22"/>
        </w:rPr>
      </w:r>
    </w:p>
    <w:p>
      <w:pPr>
        <w:pBdr/>
        <w:spacing/>
        <w:ind w:firstLine="0"/>
        <w:rPr>
          <w:rFonts w:cstheme="minorHAnsi"/>
          <w:color w:val="000000" w:themeColor="text1"/>
          <w:szCs w:val="22"/>
        </w:rPr>
      </w:pPr>
      <w:r>
        <w:rPr>
          <w:rFonts w:cstheme="minorHAnsi"/>
          <w:b/>
          <w:bCs/>
          <w:i/>
          <w:color w:val="000000" w:themeColor="text1"/>
          <w:szCs w:val="22"/>
        </w:rPr>
        <w:t xml:space="preserve">. </w:t>
      </w:r>
      <w:r>
        <w:rPr>
          <w:rFonts w:cstheme="minorHAnsi"/>
          <w:i/>
          <w:color w:val="000000" w:themeColor="text1"/>
          <w:szCs w:val="22"/>
        </w:rPr>
        <w:t xml:space="preserve">O masă îmbelșugată:</w:t>
      </w:r>
      <w:r>
        <w:rPr>
          <w:rFonts w:cstheme="minorHAnsi"/>
          <w:color w:val="000000" w:themeColor="text1"/>
          <w:szCs w:val="22"/>
        </w:rPr>
        <w:t xml:space="preserve"> „</w:t>
      </w:r>
      <w:r>
        <w:rPr>
          <w:rFonts w:cstheme="minorHAnsi"/>
          <w:color w:val="000000" w:themeColor="text1"/>
          <w:szCs w:val="22"/>
        </w:rPr>
        <w:t xml:space="preserve">Și-a junghiat vitele, și-a amestecat vinul, și-a pus masa” (2). Înțelepciunea oferă vin și carne și trimite slujnicele ei să cheme invitații. Există o legătură evidentă între acest ospăț și Pilda celor poftiți la cină (Luca 14:15-24).</w:t>
      </w:r>
      <w:r>
        <w:rPr>
          <w:rFonts w:cstheme="minorHAnsi"/>
          <w:color w:val="000000" w:themeColor="text1"/>
          <w:szCs w:val="22"/>
        </w:rPr>
        <w:t xml:space="preserve"> Dumnezeu ne invită la o viață frumoasă, activă, dinamică, satisfăcătoare. Viața de credință este ca o masă împărătească (Psalmul 23). La revenirea Domnului Hristos, împărăția lui începe, de asemenea cu o masă regală.</w:t>
      </w:r>
      <w:r>
        <w:rPr>
          <w:rFonts w:cstheme="minorHAnsi"/>
          <w:color w:val="000000" w:themeColor="text1"/>
          <w:szCs w:val="22"/>
        </w:rPr>
      </w:r>
    </w:p>
    <w:p>
      <w:pPr>
        <w:pStyle w:val="886"/>
        <w:pBdr/>
        <w:spacing/>
        <w:ind/>
        <w:rPr/>
      </w:pPr>
      <w:r>
        <w:t xml:space="preserve">Înțelepciunea se adresează celor imaturi (4-6)</w:t>
      </w:r>
      <w:r/>
    </w:p>
    <w:p>
      <w:pPr>
        <w:pBdr/>
        <w:spacing/>
        <w:ind w:firstLine="0"/>
        <w:rPr>
          <w:rFonts w:cstheme="minorHAnsi"/>
          <w:color w:val="000000" w:themeColor="text1"/>
          <w:szCs w:val="22"/>
        </w:rPr>
      </w:pPr>
      <w:r>
        <w:rPr>
          <w:rFonts w:cstheme="minorHAnsi"/>
          <w:color w:val="000000" w:themeColor="text1"/>
          <w:szCs w:val="22"/>
        </w:rPr>
        <w:t xml:space="preserve">„</w:t>
      </w:r>
      <w:r>
        <w:rPr>
          <w:rFonts w:cstheme="minorHAnsi"/>
          <w:color w:val="000000" w:themeColor="text1"/>
          <w:szCs w:val="22"/>
        </w:rPr>
        <w:t xml:space="preserve">Cine este prost, să vină încoace!” Celor lipsiți de pricepere le zice:  „Veniți de mâncați din pâinea mea, și beți din vinul pe care l-am amestecat!” (4-5). Chemarea este adresată celor</w:t>
      </w:r>
      <w:r>
        <w:rPr>
          <w:rFonts w:cstheme="minorHAnsi"/>
          <w:color w:val="000000" w:themeColor="text1"/>
          <w:szCs w:val="22"/>
        </w:rPr>
        <w:t xml:space="preserve"> „</w:t>
      </w:r>
      <w:r>
        <w:rPr>
          <w:rFonts w:cstheme="minorHAnsi"/>
          <w:color w:val="000000" w:themeColor="text1"/>
          <w:szCs w:val="22"/>
        </w:rPr>
        <w:t xml:space="preserve">proști” adică naivi, imaturi. Lipsa lor de înțelepciune nu se datorează reavoinței, ci lipsei de informare. Naivi sunt toți copiii și, într-o oarecare măsură, toți tinerii. Ei trebuie să intre în școala lui Dumnezeu și</w:t>
      </w:r>
      <w:r>
        <w:rPr>
          <w:rFonts w:cstheme="minorHAnsi"/>
          <w:color w:val="000000" w:themeColor="text1"/>
          <w:szCs w:val="22"/>
        </w:rPr>
        <w:t xml:space="preserve"> să asculte sfaturile înțelepciunii divine. Tot naivi, neștiutori, trebuie considerați și cei care sunt întorși de curând la Dumnezeu, după o viață trăită după mersul acestei lumii, și au nevoie să crească spre mântuire. Îndemnul înțelepciunii este acesta:</w:t>
      </w:r>
      <w:r>
        <w:rPr>
          <w:rFonts w:cstheme="minorHAnsi"/>
          <w:color w:val="000000" w:themeColor="text1"/>
          <w:szCs w:val="22"/>
        </w:rPr>
        <w:t xml:space="preserve"> „</w:t>
      </w:r>
      <w:r>
        <w:rPr>
          <w:rFonts w:cstheme="minorHAnsi"/>
          <w:color w:val="000000" w:themeColor="text1"/>
          <w:szCs w:val="22"/>
        </w:rPr>
        <w:t xml:space="preserve">Lăsați prostia, și veți trăi, și umblați pe calea priceperii!” (6). Înțelepciunea, din dragoste, oferă viață, fără nici o mențiune despre plăcere.</w:t>
      </w:r>
      <w:r>
        <w:rPr>
          <w:rFonts w:cstheme="minorHAnsi"/>
          <w:color w:val="000000" w:themeColor="text1"/>
          <w:szCs w:val="22"/>
        </w:rPr>
      </w:r>
    </w:p>
    <w:p>
      <w:pPr>
        <w:pStyle w:val="885"/>
        <w:pBdr/>
        <w:spacing/>
        <w:ind/>
        <w:rPr/>
      </w:pPr>
      <w:r>
        <w:t xml:space="preserve">A</w:t>
      </w:r>
      <w:r>
        <w:t xml:space="preserve">titudinea față de frica de Domnul face diferența</w:t>
      </w:r>
      <w:r>
        <w:t xml:space="preserve"> (7-12)</w:t>
      </w:r>
      <w:r/>
    </w:p>
    <w:p>
      <w:pPr>
        <w:pBdr/>
        <w:spacing/>
        <w:ind w:firstLine="0"/>
        <w:rPr>
          <w:rFonts w:cstheme="minorHAnsi"/>
          <w:color w:val="000000" w:themeColor="text1"/>
          <w:szCs w:val="22"/>
        </w:rPr>
      </w:pPr>
      <w:r>
        <w:rPr>
          <w:rFonts w:cstheme="minorHAnsi"/>
          <w:color w:val="000000" w:themeColor="text1"/>
          <w:szCs w:val="22"/>
        </w:rPr>
        <w:t xml:space="preserve">„</w:t>
      </w:r>
      <w:r>
        <w:rPr>
          <w:rFonts w:cstheme="minorHAnsi"/>
          <w:color w:val="000000" w:themeColor="text1"/>
          <w:szCs w:val="22"/>
        </w:rPr>
        <w:t xml:space="preserve">Cel ce mustră pe un batjocoritor își trage dispreț, și cel ce caută să îndrepte pe cel rău se alege cu ocară. Nu mustra pe cel batjocoritor, ca să nu</w:t>
      </w:r>
      <w:r>
        <w:rPr>
          <w:rFonts w:cstheme="minorHAnsi"/>
          <w:color w:val="000000" w:themeColor="text1"/>
          <w:szCs w:val="22"/>
        </w:rPr>
        <w:t xml:space="preserve"> te urască; mustră pe cel înțelept, și el te va iubi” (7-8). Cum se potrivesc aceste versete, cuprinse între cele două invitații ale Înțelepciunii și Nebuniei? Răspunsul este că ele oferă exemple de învățături ale Înțelepciunii, care te ajută să știi cum s</w:t>
      </w:r>
      <w:r>
        <w:rPr>
          <w:rFonts w:cstheme="minorHAnsi"/>
          <w:color w:val="000000" w:themeColor="text1"/>
          <w:szCs w:val="22"/>
        </w:rPr>
        <w:t xml:space="preserve">ă citești restul cărții Proverbe. Aceste versete prezintă, prin contrast, cele două moduri de viață (adică cele două chemări) : înțelepciunea și nebunia. Ele arată care este învățătura celor două femei și ce rezultate produc în viața celor care le urmează.</w:t>
      </w:r>
      <w:r>
        <w:rPr>
          <w:rFonts w:cstheme="minorHAnsi"/>
          <w:color w:val="000000" w:themeColor="text1"/>
          <w:szCs w:val="22"/>
        </w:rPr>
      </w:r>
    </w:p>
    <w:p>
      <w:pPr>
        <w:pBdr/>
        <w:spacing/>
        <w:ind/>
        <w:rPr>
          <w:rFonts w:cstheme="minorHAnsi"/>
          <w:color w:val="000000" w:themeColor="text1"/>
          <w:szCs w:val="22"/>
        </w:rPr>
      </w:pPr>
      <w:r>
        <w:rPr>
          <w:rFonts w:cstheme="minorHAnsi"/>
          <w:color w:val="000000" w:themeColor="text1"/>
          <w:szCs w:val="22"/>
        </w:rPr>
        <w:t xml:space="preserve">Ospățul (masa) la care alegi să mergi determină </w:t>
      </w:r>
      <w:r>
        <w:rPr>
          <w:rFonts w:cstheme="minorHAnsi"/>
          <w:color w:val="000000" w:themeColor="text1"/>
          <w:szCs w:val="22"/>
        </w:rPr>
        <w:t xml:space="preserve">modul în care te comporți în viața de zi cu zi. Indiferent dacă acționezi în mod înțelept sau în mod nelegiuit, lucrul acesta arată ce ospăț (masă, banchet) ai ales. Credința determină întotdeauna comportamentul, iar comportamentul dezvăluie ceea ce crezi.</w:t>
      </w:r>
      <w:r>
        <w:rPr>
          <w:rFonts w:cstheme="minorHAnsi"/>
          <w:color w:val="000000" w:themeColor="text1"/>
          <w:szCs w:val="22"/>
        </w:rPr>
      </w:r>
    </w:p>
    <w:p>
      <w:pPr>
        <w:pStyle w:val="886"/>
        <w:pBdr/>
        <w:spacing/>
        <w:ind/>
        <w:rPr>
          <w:color w:val="000000" w:themeColor="text1"/>
        </w:rPr>
      </w:pPr>
      <w:r>
        <w:t xml:space="preserve">Nu mustra pe cei batjocoritori, dar învață pe cei înțelepți (7-9)</w:t>
      </w:r>
      <w:r>
        <w:rPr>
          <w:color w:val="000000" w:themeColor="text1"/>
        </w:rPr>
      </w:r>
    </w:p>
    <w:p>
      <w:pPr>
        <w:pBdr/>
        <w:spacing/>
        <w:ind w:firstLine="0"/>
        <w:rPr>
          <w:rFonts w:cstheme="minorHAnsi"/>
          <w:color w:val="000000" w:themeColor="text1"/>
          <w:szCs w:val="22"/>
        </w:rPr>
      </w:pPr>
      <w:r>
        <w:rPr>
          <w:rFonts w:cstheme="minorHAnsi"/>
          <w:color w:val="000000" w:themeColor="text1"/>
          <w:szCs w:val="22"/>
        </w:rPr>
        <w:t xml:space="preserve">Deschiderea la învățătură și smerenia ne ajută să creștem. Dar, cei bat-jocoritori nu sunt așa. Batjoc</w:t>
      </w:r>
      <w:r>
        <w:rPr>
          <w:rFonts w:cstheme="minorHAnsi"/>
          <w:color w:val="000000" w:themeColor="text1"/>
          <w:szCs w:val="22"/>
        </w:rPr>
        <w:t xml:space="preserve">oritorul nu acceptă niciodată corectarea. El consideră că ceilalți au nevoie de opiniile lui. Se simte repede ofensat și dacă cineva pare să-i amenințe superioritatea , el își bate joc, jignește și te aștepți la dispreț, ocară și ură din partea lui (7-8). </w:t>
      </w:r>
      <w:r>
        <w:rPr>
          <w:rFonts w:cstheme="minorHAnsi"/>
          <w:color w:val="000000" w:themeColor="text1"/>
          <w:szCs w:val="22"/>
        </w:rPr>
      </w:r>
    </w:p>
    <w:p>
      <w:pPr>
        <w:pBdr/>
        <w:spacing/>
        <w:ind/>
        <w:rPr>
          <w:rFonts w:cstheme="minorHAnsi"/>
          <w:color w:val="000000" w:themeColor="text1"/>
          <w:szCs w:val="22"/>
        </w:rPr>
      </w:pPr>
      <w:r>
        <w:rPr>
          <w:rFonts w:cstheme="minorHAnsi"/>
          <w:color w:val="000000" w:themeColor="text1"/>
          <w:szCs w:val="22"/>
        </w:rPr>
        <w:t xml:space="preserve">Mesagerii înțelepciunii trebuie să arate discernământ în proclamarea mesajului lor. Cei imaturi primesc mesajul înțelepciunii, dar cei răi și batjocoritorii se vor răzvrăti. Ca și creștini avem privilegiul de a umbla cu</w:t>
      </w:r>
      <w:r>
        <w:rPr>
          <w:rFonts w:cstheme="minorHAnsi"/>
          <w:color w:val="000000" w:themeColor="text1"/>
          <w:szCs w:val="22"/>
        </w:rPr>
        <w:t xml:space="preserve"> „</w:t>
      </w:r>
      <w:r>
        <w:rPr>
          <w:rFonts w:cstheme="minorHAnsi"/>
          <w:color w:val="000000" w:themeColor="text1"/>
          <w:szCs w:val="22"/>
        </w:rPr>
        <w:t xml:space="preserve">lucrurile sfinte” ale Domnului. El ne-a încredințat prețioasele adevăruri ale Cuvântului lui Dumnezeu și trebuie să le acordăm o mare atenție. Învățătura Domnului Isus este foarte clară:</w:t>
      </w:r>
      <w:r>
        <w:rPr>
          <w:rFonts w:cstheme="minorHAnsi"/>
          <w:color w:val="000000" w:themeColor="text1"/>
          <w:szCs w:val="22"/>
        </w:rPr>
        <w:t xml:space="preserve"> „</w:t>
      </w:r>
      <w:r>
        <w:rPr>
          <w:rFonts w:cstheme="minorHAnsi"/>
          <w:color w:val="000000" w:themeColor="text1"/>
          <w:szCs w:val="22"/>
        </w:rPr>
        <w:t xml:space="preserve">Să nu da</w:t>
      </w:r>
      <w:r>
        <w:rPr>
          <w:rFonts w:cstheme="minorHAnsi"/>
          <w:color w:val="000000" w:themeColor="text1"/>
          <w:szCs w:val="22"/>
        </w:rPr>
        <w:t xml:space="preserve">ți câinilor lucrurile sfinte și să nu aruncați mărgăritarele voastre înaintea porcilor, ca nu cumva să le calce în picioare, și să se întoarcă să vă rupă” (Matei 7:6). Învață pe cel înțelept și el va accepta mustrarea, iar beneficiile aduse vor fi acestea:</w:t>
      </w:r>
      <w:r>
        <w:rPr>
          <w:rFonts w:cstheme="minorHAnsi"/>
          <w:color w:val="000000" w:themeColor="text1"/>
          <w:szCs w:val="22"/>
        </w:rPr>
        <w:t xml:space="preserve"> „</w:t>
      </w:r>
      <w:r>
        <w:rPr>
          <w:rFonts w:cstheme="minorHAnsi"/>
          <w:color w:val="000000" w:themeColor="text1"/>
          <w:szCs w:val="22"/>
        </w:rPr>
        <w:t xml:space="preserve">el te va iubi”,</w:t>
      </w:r>
      <w:r>
        <w:rPr>
          <w:rFonts w:cstheme="minorHAnsi"/>
          <w:color w:val="000000" w:themeColor="text1"/>
          <w:szCs w:val="22"/>
        </w:rPr>
        <w:t xml:space="preserve"> „</w:t>
      </w:r>
      <w:r>
        <w:rPr>
          <w:rFonts w:cstheme="minorHAnsi"/>
          <w:color w:val="000000" w:themeColor="text1"/>
          <w:szCs w:val="22"/>
        </w:rPr>
        <w:t xml:space="preserve">se va face și mai înțelept” și</w:t>
      </w:r>
      <w:r>
        <w:rPr>
          <w:rFonts w:cstheme="minorHAnsi"/>
          <w:color w:val="000000" w:themeColor="text1"/>
          <w:szCs w:val="22"/>
        </w:rPr>
        <w:t xml:space="preserve"> „</w:t>
      </w:r>
      <w:r>
        <w:rPr>
          <w:rFonts w:cstheme="minorHAnsi"/>
          <w:color w:val="000000" w:themeColor="text1"/>
          <w:szCs w:val="22"/>
        </w:rPr>
        <w:t xml:space="preserve">va învăța și mai mult”(9).</w:t>
      </w:r>
      <w:r>
        <w:rPr>
          <w:rFonts w:cstheme="minorHAnsi"/>
          <w:color w:val="000000" w:themeColor="text1"/>
          <w:szCs w:val="22"/>
        </w:rPr>
      </w:r>
    </w:p>
    <w:p>
      <w:pPr>
        <w:pStyle w:val="886"/>
        <w:pBdr/>
        <w:spacing/>
        <w:ind/>
        <w:rPr>
          <w:color w:val="000000" w:themeColor="text1"/>
        </w:rPr>
      </w:pPr>
      <w:r>
        <w:t xml:space="preserve">Frica de Domnul este începutul înțelepciunii (10-12)</w:t>
      </w:r>
      <w:r>
        <w:rPr>
          <w:color w:val="000000" w:themeColor="text1"/>
        </w:rPr>
      </w:r>
    </w:p>
    <w:p>
      <w:pPr>
        <w:pBdr/>
        <w:spacing/>
        <w:ind w:firstLine="0"/>
        <w:rPr>
          <w:rFonts w:cstheme="minorHAnsi"/>
          <w:color w:val="000000" w:themeColor="text1"/>
          <w:szCs w:val="22"/>
        </w:rPr>
      </w:pPr>
      <w:r>
        <w:rPr>
          <w:rFonts w:cstheme="minorHAnsi"/>
          <w:color w:val="000000" w:themeColor="text1"/>
          <w:szCs w:val="22"/>
        </w:rPr>
        <w:t xml:space="preserve">„</w:t>
      </w:r>
      <w:r>
        <w:rPr>
          <w:rFonts w:cstheme="minorHAnsi"/>
          <w:color w:val="000000" w:themeColor="text1"/>
          <w:szCs w:val="22"/>
        </w:rPr>
        <w:t xml:space="preserve">Începutul înțelepciunii este frica de Domnul; și stiința sfinților, este priceperea. Prin mine</w:t>
      </w:r>
      <w:r>
        <w:rPr>
          <w:rFonts w:cstheme="minorHAnsi"/>
          <w:color w:val="000000" w:themeColor="text1"/>
          <w:szCs w:val="22"/>
        </w:rPr>
        <w:t xml:space="preserve"> ți se vor înmulți zilele, și ți se vor mări anii vieții tale” (10-11). Frica de Domnul și promisiunea unei vieți lungi sunt centrul și punctul cheie structural al capitolului. Chemarea Înțelepciunii (1-6) este contrabalansată de chemarea Nebuniei (13-18).</w:t>
      </w:r>
      <w:r>
        <w:rPr>
          <w:rFonts w:cstheme="minorHAnsi"/>
          <w:color w:val="000000" w:themeColor="text1"/>
          <w:szCs w:val="22"/>
        </w:rPr>
      </w:r>
    </w:p>
    <w:p>
      <w:pPr>
        <w:pBdr/>
        <w:spacing/>
        <w:ind/>
        <w:rPr>
          <w:rFonts w:cstheme="minorHAnsi"/>
          <w:color w:val="000000" w:themeColor="text1"/>
          <w:szCs w:val="22"/>
        </w:rPr>
      </w:pPr>
      <w:r>
        <w:rPr>
          <w:rFonts w:cstheme="minorHAnsi"/>
          <w:color w:val="000000" w:themeColor="text1"/>
          <w:szCs w:val="22"/>
        </w:rPr>
        <w:t xml:space="preserve">Miezul problemei este </w:t>
      </w:r>
      <w:r>
        <w:rPr>
          <w:rFonts w:cstheme="minorHAnsi"/>
          <w:i/>
          <w:color w:val="000000" w:themeColor="text1"/>
          <w:szCs w:val="22"/>
        </w:rPr>
        <w:t xml:space="preserve">teama de Domnul. </w:t>
      </w:r>
      <w:r>
        <w:rPr>
          <w:rFonts w:cstheme="minorHAnsi"/>
          <w:color w:val="000000" w:themeColor="text1"/>
          <w:szCs w:val="22"/>
        </w:rPr>
        <w:t xml:space="preserve">Frica de Domnul este atitudinea potrivită față</w:t>
      </w:r>
      <w:r>
        <w:rPr>
          <w:rFonts w:cstheme="minorHAnsi"/>
          <w:color w:val="000000" w:themeColor="text1"/>
          <w:szCs w:val="22"/>
        </w:rPr>
        <w:t xml:space="preserve"> de puterea Lui copleșitoare. Înseamnă să-L cunoști și să-L respecți ca pe un foc mistuitor. Înțelepciunea începe cu o atitudine, atitudinea de bază a evlaviei: smerenie, respect, teamă sfântă, și da, frică reală în fața măreției Dumnezeului Atotputernic. </w:t>
      </w:r>
      <w:r>
        <w:rPr>
          <w:rFonts w:cstheme="minorHAnsi"/>
          <w:color w:val="000000" w:themeColor="text1"/>
          <w:szCs w:val="22"/>
        </w:rPr>
      </w:r>
    </w:p>
    <w:p>
      <w:pPr>
        <w:pBdr/>
        <w:spacing/>
        <w:ind/>
        <w:rPr>
          <w:rFonts w:cstheme="minorHAnsi"/>
          <w:color w:val="000000" w:themeColor="text1"/>
          <w:szCs w:val="22"/>
        </w:rPr>
      </w:pPr>
      <w:r>
        <w:rPr>
          <w:rFonts w:cstheme="minorHAnsi"/>
          <w:color w:val="000000" w:themeColor="text1"/>
          <w:szCs w:val="22"/>
        </w:rPr>
        <w:t xml:space="preserve">Înțelepciune înseamnă </w:t>
      </w:r>
      <w:r>
        <w:rPr>
          <w:rFonts w:cstheme="minorHAnsi"/>
          <w:color w:val="000000" w:themeColor="text1"/>
          <w:szCs w:val="22"/>
        </w:rPr>
        <w:t xml:space="preserve">să-L cunoști pe Dumnezeu </w:t>
      </w:r>
      <w:r>
        <w:rPr>
          <w:rFonts w:cstheme="minorHAnsi"/>
          <w:color w:val="000000" w:themeColor="text1"/>
          <w:szCs w:val="22"/>
        </w:rPr>
        <w:t xml:space="preserve">ca Cel Sfânt. Numai atun</w:t>
      </w:r>
      <w:r>
        <w:rPr>
          <w:rFonts w:cstheme="minorHAnsi"/>
          <w:color w:val="000000" w:themeColor="text1"/>
          <w:szCs w:val="22"/>
        </w:rPr>
        <w:t xml:space="preserve">ci când înțelegi cât de complet este El separat de orice rău și că toate au ca scop glorificarea Lui, atunci începi să ai o concepție exactă despre Dumnezeu. El există pentru a se glorifica pe Sine Însuși, iar tu exiști pentri a-L slăvi pe El (Isaia 43:7).</w:t>
      </w:r>
      <w:r>
        <w:rPr>
          <w:rFonts w:cstheme="minorHAnsi"/>
          <w:color w:val="000000" w:themeColor="text1"/>
          <w:szCs w:val="22"/>
        </w:rPr>
      </w:r>
    </w:p>
    <w:p>
      <w:pPr>
        <w:pBdr/>
        <w:spacing/>
        <w:ind/>
        <w:rPr>
          <w:rFonts w:cstheme="minorHAnsi"/>
          <w:color w:val="000000" w:themeColor="text1"/>
          <w:szCs w:val="22"/>
        </w:rPr>
      </w:pPr>
      <w:r>
        <w:rPr>
          <w:rFonts w:cstheme="minorHAnsi"/>
          <w:color w:val="000000" w:themeColor="text1"/>
          <w:szCs w:val="22"/>
        </w:rPr>
        <w:t xml:space="preserve">Toată religia adevărată se </w:t>
      </w:r>
      <w:r>
        <w:rPr>
          <w:rFonts w:cstheme="minorHAnsi"/>
          <w:color w:val="000000" w:themeColor="text1"/>
          <w:szCs w:val="22"/>
        </w:rPr>
        <w:t xml:space="preserve">rezumă la aceste două principii</w:t>
      </w:r>
      <w:r>
        <w:rPr>
          <w:rFonts w:cstheme="minorHAnsi"/>
          <w:color w:val="000000" w:themeColor="text1"/>
          <w:szCs w:val="22"/>
        </w:rPr>
        <w:t xml:space="preserve">: </w:t>
      </w:r>
      <w:r>
        <w:rPr>
          <w:rFonts w:cstheme="minorHAnsi"/>
          <w:i/>
          <w:color w:val="000000" w:themeColor="text1"/>
          <w:szCs w:val="22"/>
        </w:rPr>
        <w:t xml:space="preserve">frica de Dumnezeu</w:t>
      </w:r>
      <w:r>
        <w:rPr>
          <w:rFonts w:cstheme="minorHAnsi"/>
          <w:color w:val="000000" w:themeColor="text1"/>
          <w:szCs w:val="22"/>
        </w:rPr>
        <w:t xml:space="preserve"> și </w:t>
      </w:r>
      <w:r>
        <w:rPr>
          <w:rFonts w:cstheme="minorHAnsi"/>
          <w:i/>
          <w:color w:val="000000" w:themeColor="text1"/>
          <w:szCs w:val="22"/>
        </w:rPr>
        <w:t xml:space="preserve">cunoașterea lui Dumnezeu</w:t>
      </w:r>
      <w:r>
        <w:rPr>
          <w:rFonts w:cstheme="minorHAnsi"/>
          <w:color w:val="000000" w:themeColor="text1"/>
          <w:szCs w:val="22"/>
        </w:rPr>
        <w:t xml:space="preserve">. Să ne amintim că a-L cunoaște nu înseamnă doar a ști despre El, ci a-L cunoaște personal</w:t>
      </w:r>
      <w:r>
        <w:rPr>
          <w:rFonts w:cstheme="minorHAnsi"/>
          <w:color w:val="000000" w:themeColor="text1"/>
          <w:szCs w:val="22"/>
        </w:rPr>
        <w:t xml:space="preserve">, prin credință</w:t>
      </w:r>
      <w:r>
        <w:rPr>
          <w:rFonts w:cstheme="minorHAnsi"/>
          <w:color w:val="000000" w:themeColor="text1"/>
          <w:szCs w:val="22"/>
        </w:rPr>
        <w:t xml:space="preserve">. A te teme de El nu înseamnă doar a fi de acord că El ar trebui respectat, ci în adîncul sufletului să ai o frică sfântă de a nu face ceva pe care Dumnezeu să-l dezaprobe. </w:t>
      </w:r>
      <w:r>
        <w:rPr>
          <w:rFonts w:cstheme="minorHAnsi"/>
          <w:color w:val="000000" w:themeColor="text1"/>
          <w:szCs w:val="22"/>
        </w:rPr>
      </w:r>
    </w:p>
    <w:p>
      <w:pPr>
        <w:pBdr/>
        <w:spacing/>
        <w:ind/>
        <w:rPr>
          <w:rFonts w:cstheme="minorHAnsi"/>
          <w:color w:val="000000" w:themeColor="text1"/>
          <w:szCs w:val="22"/>
        </w:rPr>
      </w:pPr>
      <w:r>
        <w:rPr>
          <w:rFonts w:cstheme="minorHAnsi"/>
          <w:color w:val="000000" w:themeColor="text1"/>
          <w:szCs w:val="22"/>
        </w:rPr>
        <w:t xml:space="preserve">Ultimele cuvinte al</w:t>
      </w:r>
      <w:r>
        <w:rPr>
          <w:rFonts w:cstheme="minorHAnsi"/>
          <w:color w:val="000000" w:themeColor="text1"/>
          <w:szCs w:val="22"/>
        </w:rPr>
        <w:t xml:space="preserve">e Înțelepciunii sunt acestea: „</w:t>
      </w:r>
      <w:r>
        <w:rPr>
          <w:rFonts w:cstheme="minorHAnsi"/>
          <w:color w:val="000000" w:themeColor="text1"/>
          <w:szCs w:val="22"/>
        </w:rPr>
        <w:t xml:space="preserve">Dacă ești înțelept, pentru tine ești înțelept; dacă ești batjocoritor, tu singur vei suferi”(</w:t>
      </w:r>
      <w:r>
        <w:rPr>
          <w:rFonts w:cstheme="minorHAnsi"/>
          <w:color w:val="000000" w:themeColor="text1"/>
          <w:szCs w:val="22"/>
        </w:rPr>
        <w:t xml:space="preserve">v. </w:t>
      </w:r>
      <w:r>
        <w:rPr>
          <w:rFonts w:cstheme="minorHAnsi"/>
          <w:color w:val="000000" w:themeColor="text1"/>
          <w:szCs w:val="22"/>
        </w:rPr>
        <w:t xml:space="preserve">13). Ele pun responsabilitatea direct pe umerii ascultător</w:t>
      </w:r>
      <w:r>
        <w:rPr>
          <w:rFonts w:cstheme="minorHAnsi"/>
          <w:color w:val="000000" w:themeColor="text1"/>
          <w:szCs w:val="22"/>
        </w:rPr>
        <w:t xml:space="preserve">ului, arătând clar că fiecare „</w:t>
      </w:r>
      <w:r>
        <w:rPr>
          <w:rFonts w:cstheme="minorHAnsi"/>
          <w:color w:val="000000" w:themeColor="text1"/>
          <w:szCs w:val="22"/>
        </w:rPr>
        <w:t xml:space="preserve">culege ce a semănat”</w:t>
      </w:r>
      <w:r>
        <w:rPr>
          <w:rFonts w:cstheme="minorHAnsi"/>
          <w:color w:val="000000" w:themeColor="text1"/>
          <w:szCs w:val="22"/>
        </w:rPr>
        <w:t xml:space="preserve"> (</w:t>
      </w:r>
      <w:r>
        <w:rPr>
          <w:rFonts w:cstheme="minorHAnsi"/>
          <w:color w:val="000000" w:themeColor="text1"/>
          <w:szCs w:val="22"/>
        </w:rPr>
        <w:t xml:space="preserve">vezi Galateni 6:7-8). Sărbătoarea, ospățul înțelepciunii, cu învățătura și mustrarea ei, este un prim curs în școala fricii de Domnul, este o invitație de a-L cunoaște pe Cel Sfânt.</w:t>
      </w:r>
      <w:r>
        <w:rPr>
          <w:rFonts w:cstheme="minorHAnsi"/>
          <w:color w:val="000000" w:themeColor="text1"/>
          <w:szCs w:val="22"/>
        </w:rPr>
      </w:r>
    </w:p>
    <w:p>
      <w:pPr>
        <w:pStyle w:val="885"/>
        <w:pBdr/>
        <w:spacing/>
        <w:ind/>
        <w:rPr/>
      </w:pPr>
      <w:r>
        <w:t xml:space="preserve">C</w:t>
      </w:r>
      <w:r>
        <w:t xml:space="preserve">hemarea ademenitoare a nebuniei cătrei cei naivi</w:t>
      </w:r>
      <w:r>
        <w:t xml:space="preserve"> (13-18)</w:t>
      </w:r>
      <w:r/>
    </w:p>
    <w:p>
      <w:pPr>
        <w:pBdr/>
        <w:spacing/>
        <w:ind w:firstLine="0"/>
        <w:rPr>
          <w:rFonts w:cstheme="minorHAnsi"/>
          <w:color w:val="000000" w:themeColor="text1"/>
          <w:szCs w:val="22"/>
        </w:rPr>
      </w:pPr>
      <w:r>
        <w:rPr>
          <w:rFonts w:cstheme="minorHAnsi"/>
          <w:color w:val="000000" w:themeColor="text1"/>
          <w:szCs w:val="22"/>
        </w:rPr>
        <w:t xml:space="preserve">„</w:t>
      </w:r>
      <w:r>
        <w:rPr>
          <w:rFonts w:cstheme="minorHAnsi"/>
          <w:color w:val="000000" w:themeColor="text1"/>
          <w:szCs w:val="22"/>
        </w:rPr>
        <w:t xml:space="preserve">Nebunia este o femeie gălăgioasă, proastă și care nu știe nimic” (</w:t>
      </w:r>
      <w:r>
        <w:rPr>
          <w:rFonts w:cstheme="minorHAnsi"/>
          <w:color w:val="000000" w:themeColor="text1"/>
          <w:szCs w:val="22"/>
        </w:rPr>
        <w:t xml:space="preserve">v. </w:t>
      </w:r>
      <w:r>
        <w:rPr>
          <w:rFonts w:cstheme="minorHAnsi"/>
          <w:color w:val="000000" w:themeColor="text1"/>
          <w:szCs w:val="22"/>
        </w:rPr>
        <w:t xml:space="preserve">13). Înțelepciunea este co</w:t>
      </w:r>
      <w:r>
        <w:rPr>
          <w:rFonts w:cstheme="minorHAnsi"/>
          <w:color w:val="000000" w:themeColor="text1"/>
          <w:szCs w:val="22"/>
        </w:rPr>
        <w:t xml:space="preserve">nformarea noastră cu standardul etern stabilit de natura lui Dumnezeu. Nebunia, pe de altă parte, este o deviație de la normal, o alternativă tragică și distrugătoare. Este un refuz premeditat  al omului de a accepta realitatea ca o creație a lui Dumnezeu.</w:t>
      </w:r>
      <w:r>
        <w:rPr>
          <w:rFonts w:cstheme="minorHAnsi"/>
          <w:color w:val="000000" w:themeColor="text1"/>
          <w:szCs w:val="22"/>
        </w:rPr>
      </w:r>
    </w:p>
    <w:p>
      <w:pPr>
        <w:pBdr/>
        <w:spacing/>
        <w:ind/>
        <w:rPr>
          <w:rFonts w:cstheme="minorHAnsi"/>
          <w:color w:val="000000" w:themeColor="text1"/>
          <w:szCs w:val="22"/>
        </w:rPr>
      </w:pPr>
      <w:r>
        <w:rPr>
          <w:rFonts w:cstheme="minorHAnsi"/>
          <w:color w:val="000000" w:themeColor="text1"/>
          <w:szCs w:val="22"/>
        </w:rPr>
        <w:t xml:space="preserve">În Vechiul Testament ebraic sunt cinci termeni pentru nebunie: nebunul naiv, ușor de înșelat (</w:t>
      </w:r>
      <w:r>
        <w:rPr>
          <w:rFonts w:cstheme="minorHAnsi"/>
          <w:i/>
          <w:color w:val="000000" w:themeColor="text1"/>
          <w:szCs w:val="22"/>
        </w:rPr>
        <w:t xml:space="preserve">pethiy</w:t>
      </w:r>
      <w:r>
        <w:rPr>
          <w:rFonts w:cstheme="minorHAnsi"/>
          <w:color w:val="000000" w:themeColor="text1"/>
          <w:szCs w:val="22"/>
        </w:rPr>
        <w:t xml:space="preserve">), nebunul nepriceput, ușor de enervat (</w:t>
      </w:r>
      <w:r>
        <w:rPr>
          <w:rFonts w:cstheme="minorHAnsi"/>
          <w:i/>
          <w:color w:val="000000" w:themeColor="text1"/>
          <w:szCs w:val="22"/>
        </w:rPr>
        <w:t xml:space="preserve">eviyl</w:t>
      </w:r>
      <w:r>
        <w:rPr>
          <w:rFonts w:cstheme="minorHAnsi"/>
          <w:color w:val="000000" w:themeColor="text1"/>
          <w:szCs w:val="22"/>
        </w:rPr>
        <w:t xml:space="preserve">), nebunul senzual, depravat (</w:t>
      </w:r>
      <w:r>
        <w:rPr>
          <w:rFonts w:cstheme="minorHAnsi"/>
          <w:i/>
          <w:color w:val="000000" w:themeColor="text1"/>
          <w:szCs w:val="22"/>
        </w:rPr>
        <w:t xml:space="preserve">keciyl</w:t>
      </w:r>
      <w:r>
        <w:rPr>
          <w:rFonts w:cstheme="minorHAnsi"/>
          <w:color w:val="000000" w:themeColor="text1"/>
          <w:szCs w:val="22"/>
        </w:rPr>
        <w:t xml:space="preserve">, pe care îl găsim aici, ca nebunie gălăgioasă, în v. 13), nebunul batjocoritor (</w:t>
      </w:r>
      <w:r>
        <w:rPr>
          <w:rFonts w:cstheme="minorHAnsi"/>
          <w:i/>
          <w:color w:val="000000" w:themeColor="text1"/>
          <w:szCs w:val="22"/>
        </w:rPr>
        <w:t xml:space="preserve">luvts</w:t>
      </w:r>
      <w:r>
        <w:rPr>
          <w:rFonts w:cstheme="minorHAnsi"/>
          <w:color w:val="000000" w:themeColor="text1"/>
          <w:szCs w:val="22"/>
        </w:rPr>
        <w:t xml:space="preserve">), </w:t>
      </w:r>
      <w:r>
        <w:rPr>
          <w:rFonts w:cstheme="minorHAnsi"/>
          <w:color w:val="000000" w:themeColor="text1"/>
          <w:szCs w:val="22"/>
        </w:rPr>
        <w:t xml:space="preserve">și </w:t>
      </w:r>
      <w:r>
        <w:rPr>
          <w:rFonts w:cstheme="minorHAnsi"/>
          <w:color w:val="000000" w:themeColor="text1"/>
          <w:szCs w:val="22"/>
        </w:rPr>
        <w:t xml:space="preserve">nebunul </w:t>
      </w:r>
      <w:r>
        <w:rPr>
          <w:rFonts w:cstheme="minorHAnsi"/>
          <w:color w:val="000000" w:themeColor="text1"/>
          <w:szCs w:val="22"/>
        </w:rPr>
        <w:t xml:space="preserve">răutăcios</w:t>
      </w:r>
      <w:r>
        <w:rPr>
          <w:rFonts w:cstheme="minorHAnsi"/>
          <w:color w:val="000000" w:themeColor="text1"/>
          <w:szCs w:val="22"/>
        </w:rPr>
        <w:t xml:space="preserve"> și încăpățânat, prost (</w:t>
      </w:r>
      <w:r>
        <w:rPr>
          <w:rFonts w:cstheme="minorHAnsi"/>
          <w:i/>
          <w:color w:val="000000" w:themeColor="text1"/>
          <w:szCs w:val="22"/>
        </w:rPr>
        <w:t xml:space="preserve">nabal</w:t>
      </w:r>
      <w:r>
        <w:rPr>
          <w:rFonts w:cstheme="minorHAnsi"/>
          <w:color w:val="000000" w:themeColor="text1"/>
          <w:szCs w:val="22"/>
        </w:rPr>
        <w:t xml:space="preserve">).</w:t>
      </w:r>
      <w:r>
        <w:rPr>
          <w:rFonts w:cstheme="minorHAnsi"/>
          <w:color w:val="000000" w:themeColor="text1"/>
          <w:szCs w:val="22"/>
        </w:rPr>
      </w:r>
    </w:p>
    <w:p>
      <w:pPr>
        <w:pStyle w:val="886"/>
        <w:pBdr/>
        <w:spacing/>
        <w:ind/>
        <w:rPr/>
      </w:pPr>
      <w:r>
        <w:t xml:space="preserve">Nebunia strigă provocator către cei imaturi (14-16)</w:t>
      </w:r>
      <w:r/>
    </w:p>
    <w:p>
      <w:pPr>
        <w:pBdr/>
        <w:spacing/>
        <w:ind w:firstLine="0"/>
        <w:rPr>
          <w:rFonts w:cstheme="minorHAnsi"/>
          <w:color w:val="000000" w:themeColor="text1"/>
          <w:szCs w:val="22"/>
        </w:rPr>
      </w:pPr>
      <w:r>
        <w:rPr>
          <w:rFonts w:cstheme="minorHAnsi"/>
          <w:color w:val="000000" w:themeColor="text1"/>
          <w:szCs w:val="22"/>
        </w:rPr>
        <w:t xml:space="preserve">Ea stă la ușa casei ei, pe un scaun în cel mai înalt punct al cetății și strigă pe cei care trec și merg drept pe drumul lor: </w:t>
      </w:r>
      <w:r>
        <w:rPr>
          <w:rFonts w:cstheme="minorHAnsi"/>
          <w:color w:val="000000" w:themeColor="text1"/>
          <w:szCs w:val="22"/>
        </w:rPr>
        <w:t xml:space="preserve">„</w:t>
      </w:r>
      <w:r>
        <w:rPr>
          <w:rFonts w:cstheme="minorHAnsi"/>
          <w:color w:val="000000" w:themeColor="text1"/>
          <w:szCs w:val="22"/>
        </w:rPr>
        <w:t xml:space="preserve">Cine este prost, să vină aici!” Iar celui fără minte îi zice...</w:t>
      </w:r>
      <w:r>
        <w:rPr>
          <w:rFonts w:cstheme="minorHAnsi"/>
          <w:color w:val="000000" w:themeColor="text1"/>
          <w:szCs w:val="22"/>
        </w:rPr>
        <w:t xml:space="preserve"> etc.”</w:t>
      </w:r>
      <w:r>
        <w:rPr>
          <w:rFonts w:cstheme="minorHAnsi"/>
          <w:color w:val="000000" w:themeColor="text1"/>
          <w:szCs w:val="22"/>
        </w:rPr>
        <w:t xml:space="preserve"> </w:t>
      </w:r>
      <w:r>
        <w:rPr>
          <w:rFonts w:cstheme="minorHAnsi"/>
          <w:color w:val="000000" w:themeColor="text1"/>
          <w:szCs w:val="22"/>
        </w:rPr>
        <w:t xml:space="preserve">(</w:t>
      </w:r>
      <w:r>
        <w:rPr>
          <w:rFonts w:cstheme="minorHAnsi"/>
          <w:color w:val="000000" w:themeColor="text1"/>
          <w:szCs w:val="22"/>
        </w:rPr>
        <w:t xml:space="preserve">v. </w:t>
      </w:r>
      <w:r>
        <w:rPr>
          <w:rFonts w:cstheme="minorHAnsi"/>
          <w:color w:val="000000" w:themeColor="text1"/>
          <w:szCs w:val="22"/>
        </w:rPr>
        <w:t xml:space="preserve">16). Nebunia își comercializează în mod agresiv marfa, chiar și celor care nu caută în mod activ plăceri seducătoare. Observăm că ea imită adesea înțelepciunea (</w:t>
      </w:r>
      <w:r>
        <w:rPr>
          <w:rFonts w:cstheme="minorHAnsi"/>
          <w:color w:val="000000" w:themeColor="text1"/>
          <w:szCs w:val="22"/>
        </w:rPr>
        <w:t xml:space="preserve">v. </w:t>
      </w:r>
      <w:r>
        <w:rPr>
          <w:rFonts w:cstheme="minorHAnsi"/>
          <w:color w:val="000000" w:themeColor="text1"/>
          <w:szCs w:val="22"/>
        </w:rPr>
        <w:t xml:space="preserve">3, 4 și 14,</w:t>
      </w:r>
      <w:r>
        <w:rPr>
          <w:rFonts w:cstheme="minorHAnsi"/>
          <w:color w:val="000000" w:themeColor="text1"/>
          <w:szCs w:val="22"/>
        </w:rPr>
        <w:t xml:space="preserve"> </w:t>
      </w:r>
      <w:r>
        <w:rPr>
          <w:rFonts w:cstheme="minorHAnsi"/>
          <w:color w:val="000000" w:themeColor="text1"/>
          <w:szCs w:val="22"/>
        </w:rPr>
        <w:t xml:space="preserve">16) așa că numai cei atenți și cu discernământ vor face alegerea corectă. În capitolul 7 femeia adulteră pâ</w:t>
      </w:r>
      <w:r>
        <w:rPr>
          <w:rFonts w:cstheme="minorHAnsi"/>
          <w:color w:val="000000" w:themeColor="text1"/>
          <w:szCs w:val="22"/>
        </w:rPr>
        <w:t xml:space="preserve">ndea noaptea, dar acum nebunia este în mod deschis îndrăzneață și aparent acceptată de comunitate. Ea are comportamentul unei prostituate, nu a depus nici un efort în pregătirea sărbătorii, ci doar stă și strigă. Chemarea ei se adresează trecătorilor care </w:t>
      </w:r>
      <w:r>
        <w:rPr>
          <w:rFonts w:cstheme="minorHAnsi"/>
          <w:color w:val="000000" w:themeColor="text1"/>
          <w:szCs w:val="22"/>
        </w:rPr>
        <w:t xml:space="preserve">„</w:t>
      </w:r>
      <w:r>
        <w:rPr>
          <w:rFonts w:cstheme="minorHAnsi"/>
          <w:color w:val="000000" w:themeColor="text1"/>
          <w:szCs w:val="22"/>
        </w:rPr>
        <w:t xml:space="preserve">merg pe calea cea dreaptă”(</w:t>
      </w:r>
      <w:r>
        <w:rPr>
          <w:rFonts w:cstheme="minorHAnsi"/>
          <w:color w:val="000000" w:themeColor="text1"/>
          <w:szCs w:val="22"/>
        </w:rPr>
        <w:t xml:space="preserve">v. </w:t>
      </w:r>
      <w:r>
        <w:rPr>
          <w:rFonts w:cstheme="minorHAnsi"/>
          <w:color w:val="000000" w:themeColor="text1"/>
          <w:szCs w:val="22"/>
        </w:rPr>
        <w:t xml:space="preserve">15).</w:t>
      </w:r>
      <w:r>
        <w:rPr>
          <w:rFonts w:cstheme="minorHAnsi"/>
          <w:color w:val="000000" w:themeColor="text1"/>
          <w:szCs w:val="22"/>
        </w:rPr>
      </w:r>
    </w:p>
    <w:p>
      <w:pPr>
        <w:pBdr/>
        <w:spacing/>
        <w:ind w:firstLine="0"/>
        <w:rPr>
          <w:rFonts w:cstheme="minorHAnsi"/>
          <w:color w:val="000000" w:themeColor="text1"/>
          <w:szCs w:val="22"/>
        </w:rPr>
      </w:pPr>
      <w:r>
        <w:rPr>
          <w:rFonts w:cstheme="minorHAnsi"/>
          <w:color w:val="000000" w:themeColor="text1"/>
          <w:szCs w:val="22"/>
        </w:rPr>
      </w:r>
      <w:r>
        <w:rPr>
          <w:rFonts w:cstheme="minorHAnsi"/>
          <w:color w:val="000000" w:themeColor="text1"/>
          <w:szCs w:val="22"/>
        </w:rPr>
      </w:r>
    </w:p>
    <w:p>
      <w:pPr>
        <w:pStyle w:val="886"/>
        <w:pBdr/>
        <w:spacing/>
        <w:ind/>
        <w:rPr>
          <w:color w:val="000000" w:themeColor="text1"/>
        </w:rPr>
      </w:pPr>
      <w:r>
        <w:t xml:space="preserve">Dincolo de plăceri, nebunia duce la moarte și la condamnare (17-18)</w:t>
      </w:r>
      <w:r>
        <w:rPr>
          <w:color w:val="000000" w:themeColor="text1"/>
        </w:rPr>
      </w:r>
    </w:p>
    <w:p>
      <w:pPr>
        <w:pBdr/>
        <w:spacing/>
        <w:ind w:firstLine="0"/>
        <w:rPr>
          <w:rFonts w:cstheme="minorHAnsi"/>
          <w:color w:val="000000" w:themeColor="text1"/>
          <w:szCs w:val="22"/>
        </w:rPr>
      </w:pPr>
      <w:r>
        <w:rPr>
          <w:rFonts w:cstheme="minorHAnsi"/>
          <w:color w:val="000000" w:themeColor="text1"/>
          <w:szCs w:val="22"/>
        </w:rPr>
        <w:t xml:space="preserve">„</w:t>
      </w:r>
      <w:r>
        <w:rPr>
          <w:rFonts w:cstheme="minorHAnsi"/>
          <w:color w:val="000000" w:themeColor="text1"/>
          <w:szCs w:val="22"/>
        </w:rPr>
        <w:t xml:space="preserve">Apele furate sunt dulci, și pâinea luată pe ascuns este plăcută” (17). Nebu</w:t>
      </w:r>
      <w:r>
        <w:rPr>
          <w:rFonts w:cstheme="minorHAnsi"/>
          <w:color w:val="000000" w:themeColor="text1"/>
          <w:szCs w:val="22"/>
        </w:rPr>
        <w:t xml:space="preserve">nia ademenește în mod deschis cu plăcerile efemere. Nu ascunde caracterul nelegiuit al acestora, apelând la plăcerile trupești pentru a-și satisface poftele. Este ceva sinistru și atractiv și o face în mod obraznic. Ceea ce pare a fi o cale către plăcere (</w:t>
      </w:r>
      <w:r>
        <w:rPr>
          <w:rFonts w:cstheme="minorHAnsi"/>
          <w:color w:val="000000" w:themeColor="text1"/>
          <w:szCs w:val="22"/>
        </w:rPr>
        <w:t xml:space="preserve">„</w:t>
      </w:r>
      <w:r>
        <w:rPr>
          <w:rFonts w:cstheme="minorHAnsi"/>
          <w:color w:val="000000" w:themeColor="text1"/>
          <w:szCs w:val="22"/>
        </w:rPr>
        <w:t xml:space="preserve">ușa casei sale”- v.14) este de fapt coridorul către iad. </w:t>
      </w:r>
      <w:r>
        <w:rPr>
          <w:rFonts w:cstheme="minorHAnsi"/>
          <w:color w:val="000000" w:themeColor="text1"/>
          <w:szCs w:val="22"/>
        </w:rPr>
        <w:t xml:space="preserve">„</w:t>
      </w:r>
      <w:r>
        <w:rPr>
          <w:rFonts w:cstheme="minorHAnsi"/>
          <w:color w:val="000000" w:themeColor="text1"/>
          <w:szCs w:val="22"/>
        </w:rPr>
        <w:t xml:space="preserve">El nu știe că acolo sunt morții, și că oaspeții ei sunt în văile locuinței morților” (18). </w:t>
      </w:r>
      <w:r>
        <w:rPr>
          <w:rFonts w:cstheme="minorHAnsi"/>
          <w:color w:val="000000" w:themeColor="text1"/>
          <w:szCs w:val="22"/>
        </w:rPr>
      </w:r>
    </w:p>
    <w:p>
      <w:pPr>
        <w:pBdr/>
        <w:spacing/>
        <w:ind/>
        <w:rPr>
          <w:rFonts w:cstheme="minorHAnsi"/>
          <w:color w:val="000000" w:themeColor="text1"/>
          <w:szCs w:val="22"/>
        </w:rPr>
      </w:pPr>
      <w:r>
        <w:rPr>
          <w:rFonts w:cstheme="minorHAnsi"/>
          <w:color w:val="000000" w:themeColor="text1"/>
          <w:szCs w:val="22"/>
        </w:rPr>
        <w:t xml:space="preserve">Viața oferită de nebunie este o viață nedisciplinată, imorală, o trăire zbuciumată care vine în contradicție cu planul lui Dumnezeu. Înțelepciunea lui Dumnezeu oferă viața, nebunia duce sigur la moarte.</w:t>
      </w:r>
      <w:r>
        <w:rPr>
          <w:rFonts w:cstheme="minorHAnsi"/>
          <w:color w:val="000000" w:themeColor="text1"/>
          <w:szCs w:val="22"/>
        </w:rPr>
      </w:r>
    </w:p>
    <w:p>
      <w:pPr>
        <w:pBdr/>
        <w:spacing/>
        <w:ind/>
        <w:rPr>
          <w:rFonts w:cstheme="minorHAnsi"/>
          <w:color w:val="000000" w:themeColor="text1"/>
          <w:szCs w:val="22"/>
        </w:rPr>
      </w:pPr>
      <w:r>
        <w:rPr>
          <w:rFonts w:cstheme="minorHAnsi"/>
          <w:color w:val="000000" w:themeColor="text1"/>
          <w:szCs w:val="22"/>
        </w:rPr>
        <w:t xml:space="preserve">Domnul Isus îi avertiza pe oameni să evite această cale largă, care duce la pierzare și să urmeze calea îngustă, dar dreaptă și care duce la viață (Matei 7:13-14).</w:t>
      </w:r>
      <w:r>
        <w:rPr>
          <w:rFonts w:cstheme="minorHAnsi"/>
          <w:color w:val="000000" w:themeColor="text1"/>
          <w:szCs w:val="22"/>
        </w:rPr>
      </w:r>
    </w:p>
    <w:p>
      <w:pPr>
        <w:pBdr/>
        <w:spacing/>
        <w:ind/>
        <w:rPr>
          <w:rFonts w:cstheme="minorHAnsi"/>
          <w:color w:val="000000" w:themeColor="text1"/>
          <w:szCs w:val="22"/>
        </w:rPr>
      </w:pPr>
      <w:r>
        <w:rPr>
          <w:rFonts w:cstheme="minorHAnsi"/>
          <w:color w:val="000000" w:themeColor="text1"/>
          <w:szCs w:val="22"/>
        </w:rPr>
      </w:r>
      <w:r>
        <w:rPr>
          <w:rFonts w:cstheme="minorHAnsi"/>
          <w:color w:val="000000" w:themeColor="text1"/>
          <w:szCs w:val="22"/>
        </w:rPr>
      </w:r>
    </w:p>
    <w:p>
      <w:pPr>
        <w:pStyle w:val="885"/>
        <w:pBdr/>
        <w:spacing/>
        <w:ind/>
        <w:rPr/>
      </w:pPr>
      <w:r>
        <w:t xml:space="preserve">A</w:t>
      </w:r>
      <w:r>
        <w:t xml:space="preserve">plicații</w:t>
      </w:r>
      <w:r/>
    </w:p>
    <w:p>
      <w:pPr>
        <w:pBdr/>
        <w:spacing/>
        <w:ind w:firstLine="0"/>
        <w:rPr>
          <w:rFonts w:cstheme="minorHAnsi"/>
          <w:color w:val="000000" w:themeColor="text1"/>
          <w:szCs w:val="22"/>
        </w:rPr>
      </w:pPr>
      <w:r>
        <w:rPr>
          <w:rFonts w:cstheme="minorHAnsi"/>
          <w:color w:val="000000" w:themeColor="text1"/>
          <w:szCs w:val="22"/>
        </w:rPr>
      </w:r>
      <w:r>
        <w:rPr>
          <w:rFonts w:cstheme="minorHAnsi"/>
          <w:color w:val="000000" w:themeColor="text1"/>
          <w:szCs w:val="22"/>
        </w:rPr>
      </w:r>
    </w:p>
    <w:p>
      <w:pPr>
        <w:pBdr/>
        <w:spacing/>
        <w:ind w:firstLine="0"/>
        <w:rPr>
          <w:rFonts w:cstheme="minorHAnsi"/>
          <w:color w:val="000000" w:themeColor="text1"/>
          <w:szCs w:val="22"/>
        </w:rPr>
      </w:pPr>
      <w:r>
        <w:rPr>
          <w:rFonts w:cstheme="minorHAnsi"/>
          <w:color w:val="000000" w:themeColor="text1"/>
          <w:szCs w:val="22"/>
        </w:rPr>
        <w:t xml:space="preserve">Înțelepciunea personificată și nebunia personificată, ambele strigă către oameni și fac oferte atrăgătoare. În ce se aseamănă și în ce se deosebesc ofertele lor?</w:t>
      </w:r>
      <w:r>
        <w:rPr>
          <w:rFonts w:cstheme="minorHAnsi"/>
          <w:color w:val="000000" w:themeColor="text1"/>
          <w:szCs w:val="22"/>
        </w:rPr>
      </w:r>
    </w:p>
    <w:p>
      <w:pPr>
        <w:pBdr/>
        <w:spacing/>
        <w:ind w:firstLine="0"/>
        <w:rPr/>
      </w:pPr>
      <w:r>
        <w:t xml:space="preserve">..................................................................................................................................................</w:t>
      </w:r>
      <w:r/>
    </w:p>
    <w:p>
      <w:pPr>
        <w:pBdr/>
        <w:spacing/>
        <w:ind w:firstLine="0"/>
        <w:rPr/>
      </w:pPr>
      <w:r>
        <w:t xml:space="preserve">..................................................................................................................................................</w:t>
      </w:r>
      <w:r/>
    </w:p>
    <w:p>
      <w:pPr>
        <w:pBdr/>
        <w:spacing/>
        <w:ind w:firstLine="0"/>
        <w:rPr/>
      </w:pPr>
      <w:r>
        <w:t xml:space="preserve">..................................................................................................................................................</w:t>
      </w:r>
      <w:r/>
    </w:p>
    <w:p>
      <w:pPr>
        <w:pBdr/>
        <w:spacing/>
        <w:ind w:firstLine="0"/>
        <w:rPr>
          <w:rFonts w:cstheme="minorHAnsi"/>
          <w:color w:val="000000" w:themeColor="text1"/>
          <w:szCs w:val="22"/>
        </w:rPr>
      </w:pPr>
      <w:r>
        <w:rPr>
          <w:rFonts w:cstheme="minorHAnsi"/>
          <w:color w:val="000000" w:themeColor="text1"/>
          <w:szCs w:val="22"/>
        </w:rPr>
      </w:r>
      <w:r>
        <w:rPr>
          <w:rFonts w:cstheme="minorHAnsi"/>
          <w:color w:val="000000" w:themeColor="text1"/>
          <w:szCs w:val="22"/>
        </w:rPr>
      </w:r>
    </w:p>
    <w:p>
      <w:pPr>
        <w:pBdr/>
        <w:spacing/>
        <w:ind w:firstLine="0"/>
        <w:rPr>
          <w:rFonts w:cstheme="minorHAnsi"/>
          <w:color w:val="000000" w:themeColor="text1"/>
          <w:szCs w:val="22"/>
        </w:rPr>
      </w:pPr>
      <w:r>
        <w:rPr>
          <w:rFonts w:cstheme="minorHAnsi"/>
          <w:color w:val="000000" w:themeColor="text1"/>
          <w:szCs w:val="22"/>
        </w:rPr>
        <w:t xml:space="preserve">Frica de Domnul și cunoașterea lui Dumnezeu sunt prezentate ca fiind începutul înțelepciunii. În termeni practici cum ar putea fi definite ele?</w:t>
      </w:r>
      <w:r>
        <w:rPr>
          <w:rFonts w:cstheme="minorHAnsi"/>
          <w:color w:val="000000" w:themeColor="text1"/>
          <w:szCs w:val="22"/>
        </w:rPr>
      </w:r>
    </w:p>
    <w:p>
      <w:pPr>
        <w:pBdr/>
        <w:spacing/>
        <w:ind w:firstLine="0"/>
        <w:rPr/>
      </w:pPr>
      <w:r>
        <w:t xml:space="preserve">..................................................................................................................................................</w:t>
      </w:r>
      <w:r/>
    </w:p>
    <w:p>
      <w:pPr>
        <w:pBdr/>
        <w:spacing/>
        <w:ind w:firstLine="0"/>
        <w:rPr/>
      </w:pPr>
      <w:r>
        <w:t xml:space="preserve">..................................................................................................................................................</w:t>
      </w:r>
      <w:r/>
    </w:p>
    <w:p>
      <w:pPr>
        <w:pBdr/>
        <w:spacing/>
        <w:ind w:firstLine="0"/>
        <w:rPr/>
      </w:pPr>
      <w:r>
        <w:t xml:space="preserve">..................................................................................................................................................</w:t>
      </w:r>
      <w:r/>
    </w:p>
    <w:p>
      <w:pPr>
        <w:pBdr/>
        <w:spacing/>
        <w:ind w:firstLine="0"/>
        <w:rPr>
          <w:rFonts w:cstheme="minorHAnsi"/>
          <w:color w:val="000000" w:themeColor="text1"/>
          <w:szCs w:val="22"/>
        </w:rPr>
      </w:pPr>
      <w:r>
        <w:rPr>
          <w:rFonts w:cstheme="minorHAnsi"/>
          <w:color w:val="000000" w:themeColor="text1"/>
          <w:szCs w:val="22"/>
        </w:rPr>
      </w:r>
      <w:r>
        <w:rPr>
          <w:rFonts w:cstheme="minorHAnsi"/>
          <w:color w:val="000000" w:themeColor="text1"/>
          <w:szCs w:val="22"/>
        </w:rPr>
      </w:r>
    </w:p>
    <w:p>
      <w:pPr>
        <w:pBdr/>
        <w:spacing/>
        <w:ind w:firstLine="0"/>
        <w:rPr>
          <w:rFonts w:cstheme="minorHAnsi"/>
          <w:color w:val="000000" w:themeColor="text1"/>
          <w:szCs w:val="22"/>
        </w:rPr>
      </w:pPr>
      <w:r>
        <w:rPr>
          <w:rFonts w:cstheme="minorHAnsi"/>
          <w:color w:val="000000" w:themeColor="text1"/>
          <w:szCs w:val="22"/>
        </w:rPr>
        <w:t xml:space="preserve">Ce înseamnă și cum trebuie aplicat îndemnul Domnului Isus din Predica de pe munte</w:t>
      </w:r>
      <w:r>
        <w:rPr>
          <w:rFonts w:cstheme="minorHAnsi"/>
          <w:color w:val="000000" w:themeColor="text1"/>
          <w:szCs w:val="22"/>
        </w:rPr>
        <w:t xml:space="preserve"> „</w:t>
      </w:r>
      <w:r>
        <w:rPr>
          <w:rFonts w:cstheme="minorHAnsi"/>
          <w:color w:val="000000" w:themeColor="text1"/>
          <w:szCs w:val="22"/>
        </w:rPr>
        <w:t xml:space="preserve">să nu aruncați mărgăritarele voastre înaintea porcilor”?</w:t>
      </w:r>
      <w:r>
        <w:rPr>
          <w:rFonts w:cstheme="minorHAnsi"/>
          <w:color w:val="000000" w:themeColor="text1"/>
          <w:szCs w:val="22"/>
        </w:rPr>
      </w:r>
    </w:p>
    <w:p>
      <w:pPr>
        <w:pBdr/>
        <w:spacing/>
        <w:ind w:firstLine="0"/>
        <w:rPr/>
      </w:pPr>
      <w:r>
        <w:t xml:space="preserve">..................................................................................................................................................</w:t>
      </w:r>
      <w:r/>
    </w:p>
    <w:p>
      <w:pPr>
        <w:pBdr/>
        <w:spacing/>
        <w:ind w:firstLine="0"/>
        <w:rPr/>
      </w:pPr>
      <w:r>
        <w:t xml:space="preserve">..................................................................................................................................................</w:t>
      </w:r>
      <w:r/>
    </w:p>
    <w:p>
      <w:pPr>
        <w:pBdr/>
        <w:spacing/>
        <w:ind w:firstLine="0"/>
        <w:rPr/>
      </w:pPr>
      <w:r>
        <w:t xml:space="preserve">..................................................................................................................................................</w:t>
      </w:r>
      <w:r/>
    </w:p>
    <w:p>
      <w:pPr>
        <w:pBdr/>
        <w:spacing/>
        <w:ind w:firstLine="0"/>
        <w:rPr>
          <w:rFonts w:cstheme="minorHAnsi"/>
          <w:color w:val="000000" w:themeColor="text1"/>
          <w:szCs w:val="22"/>
        </w:rPr>
      </w:pPr>
      <w:r>
        <w:rPr>
          <w:rFonts w:cstheme="minorHAnsi"/>
          <w:color w:val="000000" w:themeColor="text1"/>
          <w:szCs w:val="22"/>
        </w:rPr>
        <w:t xml:space="preserve">Modul în care alegi să îți împlinești dorințele sufletului și ale trupului sunt prezentate metaforic de Solomon ca un ospăț sau masă.  La care masă participi și cine se bucură de </w:t>
      </w:r>
      <w:r>
        <w:rPr>
          <w:rFonts w:cstheme="minorHAnsi"/>
          <w:color w:val="000000" w:themeColor="text1"/>
          <w:szCs w:val="22"/>
        </w:rPr>
        <w:t xml:space="preserve">tine: înțelepciunea sau nebunia</w:t>
      </w:r>
      <w:r>
        <w:rPr>
          <w:rFonts w:cstheme="minorHAnsi"/>
          <w:color w:val="000000" w:themeColor="text1"/>
          <w:szCs w:val="22"/>
        </w:rPr>
        <w:t xml:space="preserve">?</w:t>
      </w:r>
      <w:r>
        <w:rPr>
          <w:rFonts w:cstheme="minorHAnsi"/>
          <w:color w:val="000000" w:themeColor="text1"/>
          <w:szCs w:val="22"/>
        </w:rPr>
      </w:r>
    </w:p>
    <w:p>
      <w:pPr>
        <w:pBdr/>
        <w:spacing/>
        <w:ind w:firstLine="0"/>
        <w:rPr/>
      </w:pPr>
      <w:r>
        <w:t xml:space="preserve">..................................................................................................................................................</w:t>
      </w:r>
      <w:r/>
    </w:p>
    <w:p>
      <w:pPr>
        <w:pBdr/>
        <w:spacing/>
        <w:ind w:firstLine="0"/>
        <w:rPr/>
      </w:pPr>
      <w:r>
        <w:t xml:space="preserve">..................................................................................................................................................</w:t>
      </w:r>
      <w:r/>
    </w:p>
    <w:p>
      <w:pPr>
        <w:pBdr/>
        <w:spacing/>
        <w:ind w:firstLine="0"/>
        <w:rPr/>
      </w:pPr>
      <w:r>
        <w:t xml:space="preserve">..................................................................................................................................................</w:t>
      </w:r>
      <w:r/>
    </w:p>
    <w:p>
      <w:pPr>
        <w:pBdr/>
        <w:spacing/>
        <w:ind w:firstLine="0"/>
        <w:rPr>
          <w:rFonts w:cstheme="minorHAnsi"/>
          <w:color w:val="000000" w:themeColor="text1"/>
          <w:szCs w:val="22"/>
        </w:rPr>
      </w:pPr>
      <w:r>
        <w:rPr>
          <w:rFonts w:cstheme="minorHAnsi"/>
          <w:color w:val="000000" w:themeColor="text1"/>
          <w:szCs w:val="22"/>
        </w:rPr>
      </w:r>
      <w:r>
        <w:rPr>
          <w:rFonts w:cstheme="minorHAnsi"/>
          <w:color w:val="000000" w:themeColor="text1"/>
          <w:szCs w:val="22"/>
        </w:rPr>
      </w:r>
    </w:p>
    <w:p>
      <w:pPr>
        <w:pBdr/>
        <w:spacing w:after="0" w:line="240" w:lineRule="auto"/>
        <w:ind w:firstLine="0"/>
        <w:jc w:val="left"/>
        <w:rPr>
          <w:rFonts w:cstheme="minorHAnsi"/>
          <w:b/>
          <w:bCs/>
          <w:i/>
          <w:iCs/>
          <w:color w:val="000000" w:themeColor="text1"/>
          <w:szCs w:val="22"/>
        </w:rPr>
      </w:pPr>
      <w:r>
        <w:rPr>
          <w:rFonts w:cstheme="minorHAnsi"/>
          <w:b/>
          <w:bCs/>
          <w:i/>
          <w:iCs/>
          <w:color w:val="000000" w:themeColor="text1"/>
          <w:szCs w:val="22"/>
        </w:rPr>
        <w:br w:type="page" w:clear="all"/>
      </w:r>
      <w:r>
        <w:rPr>
          <w:rFonts w:cstheme="minorHAnsi"/>
          <w:b/>
          <w:bCs/>
          <w:i/>
          <w:iCs/>
          <w:color w:val="000000" w:themeColor="text1"/>
          <w:szCs w:val="22"/>
        </w:rPr>
      </w:r>
    </w:p>
    <w:p>
      <w:pPr>
        <w:pStyle w:val="884"/>
        <w:pBdr/>
        <w:spacing/>
        <w:ind/>
        <w:rPr/>
      </w:pPr>
      <w:r/>
      <w:bookmarkStart w:id="28" w:name="_Toc171151250"/>
      <w:r>
        <w:t xml:space="preserve">12 s</w:t>
      </w:r>
      <w:r>
        <w:t xml:space="preserve">ept., Prov</w:t>
      </w:r>
      <w:r>
        <w:t xml:space="preserve">erbe </w:t>
      </w:r>
      <w:r>
        <w:t xml:space="preserve">10, Înțelepciunea, comunicarea și caracterul</w:t>
      </w:r>
      <w:r>
        <w:t xml:space="preserve">, 10:16</w:t>
      </w:r>
      <w:bookmarkEnd w:id="28"/>
      <w:r/>
      <w:r/>
    </w:p>
    <w:p>
      <w:pPr>
        <w:pBdr/>
        <w:spacing/>
        <w:ind w:firstLine="0"/>
        <w:rPr>
          <w:rFonts w:cstheme="minorHAnsi"/>
          <w:color w:val="000000" w:themeColor="text1"/>
          <w:szCs w:val="22"/>
        </w:rPr>
      </w:pPr>
      <w:r>
        <w:rPr>
          <w:rFonts w:cstheme="minorHAnsi"/>
          <w:color w:val="000000" w:themeColor="text1"/>
          <w:szCs w:val="22"/>
        </w:rPr>
        <w:t xml:space="preserve">Partea a doua a cărții Proverbe (cap.10:1-22:16) este intitulată</w:t>
      </w:r>
      <w:r>
        <w:rPr>
          <w:rFonts w:cstheme="minorHAnsi"/>
          <w:color w:val="000000" w:themeColor="text1"/>
          <w:szCs w:val="22"/>
        </w:rPr>
        <w:t xml:space="preserve"> „</w:t>
      </w:r>
      <w:r>
        <w:rPr>
          <w:rFonts w:cstheme="minorHAnsi"/>
          <w:color w:val="000000" w:themeColor="text1"/>
          <w:szCs w:val="22"/>
        </w:rPr>
        <w:t xml:space="preserve">Pildele lui Solomon” (10:1). Stilul și modul de prezentare sunt diferite de cele din prima parte și este scrisă pentru folosul persoanelor care au avansat de la starea de tânăr la cea de adult. </w:t>
      </w:r>
      <w:r>
        <w:rPr>
          <w:rFonts w:cstheme="minorHAnsi"/>
          <w:color w:val="000000" w:themeColor="text1"/>
          <w:szCs w:val="22"/>
        </w:rPr>
      </w:r>
    </w:p>
    <w:p>
      <w:pPr>
        <w:pBdr/>
        <w:spacing/>
        <w:ind/>
        <w:rPr/>
      </w:pPr>
      <w:r>
        <w:t xml:space="preserve">Dacă în prima par</w:t>
      </w:r>
      <w:r>
        <w:t xml:space="preserve">te (cap.1-9) erau folosite </w:t>
      </w:r>
      <w:r>
        <w:rPr>
          <w:lang w:val="en-US"/>
        </w:rPr>
        <w:t xml:space="preserve">ornamentele </w:t>
      </w:r>
      <w:r>
        <w:t xml:space="preserve">bogate</w:t>
      </w:r>
      <w:r>
        <w:rPr>
          <w:lang w:val="en-US"/>
        </w:rPr>
        <w:t xml:space="preserve"> ale</w:t>
      </w:r>
      <w:r>
        <w:t xml:space="preserve"> imaginației, pentru a captiva atenția celor tineri și a-i atrage la o </w:t>
      </w:r>
      <w:r>
        <w:rPr>
          <w:lang w:val="en-US"/>
        </w:rPr>
        <w:t xml:space="preserve">via</w:t>
      </w:r>
      <w:r>
        <w:rPr>
          <w:lang w:val="ro-RO"/>
        </w:rPr>
        <w:t xml:space="preserve">ță </w:t>
      </w:r>
      <w:r>
        <w:t xml:space="preserve">practică corectă, în această parte a proverbelor, totul este despre activitate și afaceri, cu concizie și continuitate. Fiecare gând, deși foarte bine șlefuit, </w:t>
      </w:r>
      <w:r>
        <w:t xml:space="preserve">este în același timp cât se poate de concentrat. Autorul este foarte conștient de valoarea fiecărui moment al vieții de adult și stabilește o serie întreagă de reguli de viață scurte, la obiect, cu învățături importante în cât mai puține cuvinte.</w:t>
      </w:r>
      <w:r/>
    </w:p>
    <w:p>
      <w:pPr>
        <w:pBdr/>
        <w:spacing/>
        <w:ind/>
        <w:rPr>
          <w:rFonts w:cstheme="minorHAnsi"/>
          <w:color w:val="4472c4" w:themeColor="accent1"/>
          <w:szCs w:val="22"/>
        </w:rPr>
      </w:pPr>
      <w:r>
        <w:rPr>
          <w:rFonts w:cstheme="minorHAnsi"/>
          <w:color w:val="000000" w:themeColor="text1"/>
          <w:szCs w:val="22"/>
        </w:rPr>
        <w:t xml:space="preserve">Majoritatea proverbelor din această parte a cărții au un format comun. Foarte des, ele sunt compuse din două rânduri, cel de al doil</w:t>
      </w:r>
      <w:r>
        <w:rPr>
          <w:rFonts w:cstheme="minorHAnsi"/>
          <w:color w:val="000000" w:themeColor="text1"/>
          <w:szCs w:val="22"/>
        </w:rPr>
        <w:t xml:space="preserve">ea fiind în contrast cu primul. Par să fie așezate la voia întâmplării, dar nu este așa, ci sunt organizate cu anumite repetiții și reveniri, pe teme. De multe ori o serie de proverbe care tratează același subiect sau care expun același principiu au fost grupate împreună. Repetarea unui cuvânt sau a unei expresii </w:t>
      </w:r>
      <w:r>
        <w:rPr>
          <w:rFonts w:cstheme="minorHAnsi"/>
          <w:color w:val="000000" w:themeColor="text1"/>
          <w:szCs w:val="22"/>
        </w:rPr>
        <w:t xml:space="preserve">devine uneori un refren care</w:t>
      </w:r>
      <w:r>
        <w:rPr>
          <w:rFonts w:cstheme="minorHAnsi"/>
          <w:color w:val="000000" w:themeColor="text1"/>
          <w:szCs w:val="22"/>
        </w:rPr>
        <w:t xml:space="preserve"> unește diverse maxime. </w:t>
      </w:r>
      <w:r>
        <w:rPr>
          <w:rFonts w:cstheme="minorHAnsi"/>
          <w:color w:val="000000" w:themeColor="text1"/>
          <w:szCs w:val="22"/>
        </w:rPr>
        <w:t xml:space="preserve">Alteori, o anumită temă este reluată la interval de două-trei capitole, dar dintr-un alt punct de vedere, complementar.</w:t>
      </w:r>
      <w:r>
        <w:rPr>
          <w:rFonts w:cstheme="minorHAnsi"/>
          <w:color w:val="000000" w:themeColor="text1"/>
          <w:szCs w:val="22"/>
        </w:rPr>
        <w:t xml:space="preserve"> </w:t>
      </w:r>
      <w:r>
        <w:rPr>
          <w:rFonts w:cstheme="minorHAnsi"/>
          <w:color w:val="4472c4" w:themeColor="accent1"/>
          <w:szCs w:val="22"/>
        </w:rPr>
      </w:r>
    </w:p>
    <w:p>
      <w:pPr>
        <w:pStyle w:val="885"/>
        <w:pBdr/>
        <w:spacing/>
        <w:ind/>
        <w:rPr/>
      </w:pPr>
      <w:r>
        <w:t xml:space="preserve">Fiul harnic și fiul</w:t>
      </w:r>
      <w:r>
        <w:t xml:space="preserve"> leneș</w:t>
      </w:r>
      <w:r>
        <w:t xml:space="preserve"> (1-5)</w:t>
      </w:r>
      <w:r/>
    </w:p>
    <w:p>
      <w:pPr>
        <w:pBdr/>
        <w:spacing/>
        <w:ind w:firstLine="0"/>
        <w:rPr>
          <w:rFonts w:cstheme="minorHAnsi"/>
          <w:color w:val="000000" w:themeColor="text1"/>
          <w:szCs w:val="22"/>
        </w:rPr>
      </w:pPr>
      <w:r>
        <w:rPr>
          <w:rFonts w:cstheme="minorHAnsi"/>
          <w:color w:val="000000" w:themeColor="text1"/>
          <w:szCs w:val="22"/>
        </w:rPr>
        <w:t xml:space="preserve">Versetele 1-5 formează o colecție marcată de incluziuni (paralelisme)</w:t>
      </w:r>
      <w:r>
        <w:rPr>
          <w:rFonts w:cstheme="minorHAnsi"/>
          <w:color w:val="000000" w:themeColor="text1"/>
          <w:szCs w:val="22"/>
        </w:rPr>
        <w:t xml:space="preserve"> cum sunt „</w:t>
      </w:r>
      <w:r>
        <w:rPr>
          <w:rFonts w:cstheme="minorHAnsi"/>
          <w:color w:val="000000" w:themeColor="text1"/>
          <w:szCs w:val="22"/>
        </w:rPr>
        <w:t xml:space="preserve">fiu înțelept/ fiu nebun” (1) și</w:t>
      </w:r>
      <w:r>
        <w:rPr>
          <w:rFonts w:cstheme="minorHAnsi"/>
          <w:color w:val="000000" w:themeColor="text1"/>
          <w:szCs w:val="22"/>
        </w:rPr>
        <w:t xml:space="preserve"> „</w:t>
      </w:r>
      <w:r>
        <w:rPr>
          <w:rFonts w:cstheme="minorHAnsi"/>
          <w:color w:val="000000" w:themeColor="text1"/>
          <w:szCs w:val="22"/>
        </w:rPr>
        <w:t xml:space="preserve">fiu înțelept/ fiu care aduce rușine” (5). Tema colecției </w:t>
      </w:r>
      <w:r>
        <w:rPr>
          <w:rFonts w:cstheme="minorHAnsi"/>
          <w:color w:val="000000" w:themeColor="text1"/>
          <w:szCs w:val="22"/>
        </w:rPr>
        <w:t xml:space="preserve">de proverbe din capitolul 10 </w:t>
      </w:r>
      <w:r>
        <w:rPr>
          <w:rFonts w:cstheme="minorHAnsi"/>
          <w:color w:val="000000" w:themeColor="text1"/>
          <w:szCs w:val="22"/>
        </w:rPr>
        <w:t xml:space="preserve">este că o familie va prospera, dacă fiii sunt harnici în munca lor, dar </w:t>
      </w:r>
      <w:r>
        <w:rPr>
          <w:rFonts w:cstheme="minorHAnsi"/>
          <w:color w:val="000000" w:themeColor="text1"/>
          <w:szCs w:val="22"/>
        </w:rPr>
        <w:t xml:space="preserve">va </w:t>
      </w:r>
      <w:r>
        <w:rPr>
          <w:rFonts w:cstheme="minorHAnsi"/>
          <w:color w:val="000000" w:themeColor="text1"/>
          <w:szCs w:val="22"/>
        </w:rPr>
        <w:t xml:space="preserve">sărăc</w:t>
      </w:r>
      <w:r>
        <w:rPr>
          <w:rFonts w:cstheme="minorHAnsi"/>
          <w:color w:val="000000" w:themeColor="text1"/>
          <w:szCs w:val="22"/>
        </w:rPr>
        <w:t xml:space="preserve">i</w:t>
      </w:r>
      <w:r>
        <w:rPr>
          <w:rFonts w:cstheme="minorHAnsi"/>
          <w:color w:val="000000" w:themeColor="text1"/>
          <w:szCs w:val="22"/>
        </w:rPr>
        <w:t xml:space="preserve">, dacă fiii sunt leneși. Este interesant că, după prologul de nouă capitole prezentat ca sfatul unui tată către fiul său de a alege înțelepciunea și nu prostia, primul proverb din această colecție se referă la familie.</w:t>
      </w:r>
      <w:r>
        <w:rPr>
          <w:rFonts w:cstheme="minorHAnsi"/>
          <w:color w:val="000000" w:themeColor="text1"/>
          <w:szCs w:val="22"/>
        </w:rPr>
      </w:r>
    </w:p>
    <w:p>
      <w:pPr>
        <w:pBdr/>
        <w:spacing/>
        <w:ind/>
        <w:rPr>
          <w:rFonts w:cstheme="minorHAnsi"/>
          <w:color w:val="000000" w:themeColor="text1"/>
          <w:szCs w:val="22"/>
        </w:rPr>
      </w:pPr>
      <w:r>
        <w:rPr>
          <w:rFonts w:cstheme="minorHAnsi"/>
          <w:color w:val="000000" w:themeColor="text1"/>
          <w:szCs w:val="22"/>
        </w:rPr>
        <w:t xml:space="preserve">Solomon se referă la impactul pe care deciziile unui fiu le au asupra părinților săi. Fiul înțelept aduce bucurie, iar cel nebun aduce mâhnire. Versetul 2 (</w:t>
      </w:r>
      <w:r>
        <w:rPr>
          <w:rFonts w:cstheme="minorHAnsi"/>
          <w:color w:val="000000" w:themeColor="text1"/>
          <w:szCs w:val="22"/>
        </w:rPr>
        <w:t xml:space="preserve">„</w:t>
      </w:r>
      <w:r>
        <w:rPr>
          <w:rFonts w:cstheme="minorHAnsi"/>
          <w:color w:val="000000" w:themeColor="text1"/>
          <w:szCs w:val="22"/>
        </w:rPr>
        <w:t xml:space="preserve">Comorile câștigate pe nedr</w:t>
      </w:r>
      <w:r>
        <w:rPr>
          <w:rFonts w:cstheme="minorHAnsi"/>
          <w:color w:val="000000" w:themeColor="text1"/>
          <w:szCs w:val="22"/>
        </w:rPr>
        <w:t xml:space="preserve">ept nu folosesc, dar neprihăni</w:t>
      </w:r>
      <w:r>
        <w:rPr>
          <w:rFonts w:cstheme="minorHAnsi"/>
          <w:color w:val="000000" w:themeColor="text1"/>
          <w:szCs w:val="22"/>
        </w:rPr>
        <w:t xml:space="preserve">rea izbăvește de la moarte”) este foarte asemănător cu Proverbe 11:4. Neprihănirea care izbăvește de la moarte ar trebui </w:t>
      </w:r>
      <w:r>
        <w:rPr>
          <w:rFonts w:cstheme="minorHAnsi"/>
          <w:color w:val="000000" w:themeColor="text1"/>
          <w:szCs w:val="22"/>
        </w:rPr>
        <w:t xml:space="preserve">înțeleasă</w:t>
      </w:r>
      <w:r>
        <w:rPr>
          <w:rFonts w:cstheme="minorHAnsi"/>
          <w:color w:val="000000" w:themeColor="text1"/>
          <w:szCs w:val="22"/>
        </w:rPr>
        <w:t xml:space="preserve"> în lumina întregii revelații biblice</w:t>
      </w:r>
      <w:r>
        <w:rPr>
          <w:rFonts w:cstheme="minorHAnsi"/>
          <w:color w:val="000000" w:themeColor="text1"/>
          <w:szCs w:val="22"/>
        </w:rPr>
        <w:t xml:space="preserve">, adică cel credincios va avea darul vieții veșnice, cu Dumnezeu</w:t>
      </w:r>
      <w:r>
        <w:rPr>
          <w:rFonts w:cstheme="minorHAnsi"/>
          <w:color w:val="000000" w:themeColor="text1"/>
          <w:szCs w:val="22"/>
        </w:rPr>
        <w:t xml:space="preserve">. În general, afirmația din aceste versete este aplicabilă vieții de aici și acum, în sensul că </w:t>
      </w:r>
      <w:r>
        <w:rPr>
          <w:rFonts w:cstheme="minorHAnsi"/>
          <w:color w:val="000000" w:themeColor="text1"/>
          <w:szCs w:val="22"/>
        </w:rPr>
        <w:t xml:space="preserve">o viață echilibrată duce la </w:t>
      </w:r>
      <w:r>
        <w:rPr>
          <w:rFonts w:cstheme="minorHAnsi"/>
          <w:color w:val="000000" w:themeColor="text1"/>
          <w:szCs w:val="22"/>
        </w:rPr>
        <w:t xml:space="preserve">longevitatea fizică</w:t>
      </w:r>
      <w:r>
        <w:rPr>
          <w:rFonts w:cstheme="minorHAnsi"/>
          <w:color w:val="000000" w:themeColor="text1"/>
          <w:szCs w:val="22"/>
        </w:rPr>
        <w:t xml:space="preserve">, sau omul de caracter va fi prețuit de ceilalți</w:t>
      </w:r>
      <w:r>
        <w:rPr>
          <w:rFonts w:cstheme="minorHAnsi"/>
          <w:color w:val="000000" w:themeColor="text1"/>
          <w:szCs w:val="22"/>
        </w:rPr>
        <w:t xml:space="preserve"> </w:t>
      </w:r>
      <w:r>
        <w:rPr>
          <w:rFonts w:cstheme="minorHAnsi"/>
          <w:color w:val="000000" w:themeColor="text1"/>
          <w:szCs w:val="22"/>
        </w:rPr>
        <w:t xml:space="preserve">și va trăi mai mul </w:t>
      </w:r>
      <w:r>
        <w:rPr>
          <w:rFonts w:cstheme="minorHAnsi"/>
          <w:color w:val="000000" w:themeColor="text1"/>
          <w:szCs w:val="22"/>
        </w:rPr>
        <w:t xml:space="preserve">(Proverbe 3:2, 10:27, 12:28). Dar, versetul nu ar trebui să fie citit ca o regulă sau </w:t>
      </w:r>
      <w:r>
        <w:rPr>
          <w:rFonts w:cstheme="minorHAnsi"/>
          <w:color w:val="000000" w:themeColor="text1"/>
          <w:szCs w:val="22"/>
        </w:rPr>
        <w:t xml:space="preserve">ca promisiune</w:t>
      </w:r>
      <w:r>
        <w:rPr>
          <w:rFonts w:cstheme="minorHAnsi"/>
          <w:color w:val="000000" w:themeColor="text1"/>
          <w:szCs w:val="22"/>
        </w:rPr>
        <w:t xml:space="preserve"> că oamenii </w:t>
      </w:r>
      <w:r>
        <w:rPr>
          <w:rFonts w:cstheme="minorHAnsi"/>
          <w:color w:val="000000" w:themeColor="text1"/>
          <w:szCs w:val="22"/>
        </w:rPr>
        <w:t xml:space="preserve">drepți</w:t>
      </w:r>
      <w:r>
        <w:rPr>
          <w:rFonts w:cstheme="minorHAnsi"/>
          <w:color w:val="000000" w:themeColor="text1"/>
          <w:szCs w:val="22"/>
        </w:rPr>
        <w:t xml:space="preserve"> nu vor muri </w:t>
      </w:r>
      <w:r>
        <w:rPr>
          <w:rFonts w:cstheme="minorHAnsi"/>
          <w:color w:val="000000" w:themeColor="text1"/>
          <w:szCs w:val="22"/>
        </w:rPr>
        <w:t xml:space="preserve">decât la vârstă înaintată. </w:t>
      </w:r>
      <w:r>
        <w:rPr>
          <w:rFonts w:cstheme="minorHAnsi"/>
          <w:color w:val="000000" w:themeColor="text1"/>
          <w:szCs w:val="22"/>
        </w:rPr>
      </w:r>
    </w:p>
    <w:p>
      <w:pPr>
        <w:pBdr/>
        <w:spacing/>
        <w:ind/>
        <w:rPr>
          <w:rFonts w:cstheme="minorHAnsi"/>
          <w:color w:val="000000" w:themeColor="text1"/>
          <w:szCs w:val="22"/>
        </w:rPr>
      </w:pPr>
      <w:r>
        <w:rPr>
          <w:rFonts w:cstheme="minorHAnsi"/>
          <w:color w:val="000000" w:themeColor="text1"/>
          <w:szCs w:val="22"/>
        </w:rPr>
        <w:t xml:space="preserve">În Proverbe 10:5 lenea, caracterizată prin somnul lung atunci când este nevoie de lucru de făcut, este rușinoasă (vezi  Proverbe 6:9-11, 19:15, 20:13). Timpul </w:t>
      </w:r>
      <w:r>
        <w:rPr>
          <w:rFonts w:cstheme="minorHAnsi"/>
          <w:color w:val="000000" w:themeColor="text1"/>
          <w:szCs w:val="22"/>
        </w:rPr>
        <w:t xml:space="preserve">este stofa din care ne croim viața</w:t>
      </w:r>
      <w:r>
        <w:rPr>
          <w:rFonts w:cstheme="minorHAnsi"/>
          <w:color w:val="000000" w:themeColor="text1"/>
          <w:szCs w:val="22"/>
        </w:rPr>
        <w:t xml:space="preserve">. Trebuie să îl folosim bine, cu înțelepciune.</w:t>
      </w:r>
      <w:r>
        <w:rPr>
          <w:rFonts w:cstheme="minorHAnsi"/>
          <w:color w:val="000000" w:themeColor="text1"/>
          <w:szCs w:val="22"/>
        </w:rPr>
      </w:r>
    </w:p>
    <w:p>
      <w:pPr>
        <w:pStyle w:val="885"/>
        <w:pBdr/>
        <w:spacing/>
        <w:ind/>
        <w:rPr/>
      </w:pPr>
      <w:r>
        <w:t xml:space="preserve">G</w:t>
      </w:r>
      <w:r>
        <w:t xml:space="preserve">ura celor răi</w:t>
      </w:r>
      <w:r>
        <w:t xml:space="preserve">: importanța comunicării sincere</w:t>
      </w:r>
      <w:r>
        <w:t xml:space="preserve"> (6-11)</w:t>
      </w:r>
      <w:r/>
    </w:p>
    <w:p>
      <w:pPr>
        <w:pBdr/>
        <w:spacing/>
        <w:ind w:firstLine="0"/>
        <w:rPr>
          <w:rFonts w:cstheme="minorHAnsi"/>
          <w:color w:val="000000" w:themeColor="text1"/>
          <w:szCs w:val="22"/>
        </w:rPr>
      </w:pPr>
      <w:r>
        <w:rPr>
          <w:rFonts w:cstheme="minorHAnsi"/>
          <w:color w:val="000000" w:themeColor="text1"/>
          <w:szCs w:val="22"/>
        </w:rPr>
        <w:t xml:space="preserve">Versetele 6 și 11 formează o incluziune,</w:t>
      </w:r>
      <w:r>
        <w:rPr>
          <w:rFonts w:cstheme="minorHAnsi"/>
          <w:color w:val="000000" w:themeColor="text1"/>
          <w:szCs w:val="22"/>
        </w:rPr>
        <w:t xml:space="preserve"> un fel de sa</w:t>
      </w:r>
      <w:r>
        <w:rPr>
          <w:rFonts w:cstheme="minorHAnsi"/>
          <w:color w:val="000000" w:themeColor="text1"/>
          <w:szCs w:val="22"/>
        </w:rPr>
        <w:t xml:space="preserve">ndviș literar.</w:t>
      </w:r>
      <w:r>
        <w:rPr>
          <w:rFonts w:cstheme="minorHAnsi"/>
          <w:color w:val="000000" w:themeColor="text1"/>
          <w:szCs w:val="22"/>
        </w:rPr>
        <w:t xml:space="preserve"> În cadrul acestei incluziuni verse</w:t>
      </w:r>
      <w:r>
        <w:rPr>
          <w:rFonts w:cstheme="minorHAnsi"/>
          <w:color w:val="000000" w:themeColor="text1"/>
          <w:szCs w:val="22"/>
        </w:rPr>
        <w:t xml:space="preserve">tele 7 și 9 sunt asemănătoare (</w:t>
      </w:r>
      <w:r>
        <w:rPr>
          <w:rFonts w:cstheme="minorHAnsi"/>
          <w:color w:val="000000" w:themeColor="text1"/>
          <w:szCs w:val="22"/>
        </w:rPr>
        <w:t xml:space="preserve">soarta celor neprihăniți </w:t>
      </w:r>
      <w:r>
        <w:rPr>
          <w:rFonts w:cstheme="minorHAnsi"/>
          <w:color w:val="000000" w:themeColor="text1"/>
          <w:szCs w:val="22"/>
        </w:rPr>
        <w:t xml:space="preserve">în paralel cu </w:t>
      </w:r>
      <w:r>
        <w:rPr>
          <w:rFonts w:cstheme="minorHAnsi"/>
          <w:color w:val="000000" w:themeColor="text1"/>
          <w:szCs w:val="22"/>
        </w:rPr>
        <w:t xml:space="preserve">soarta celor răi), la fel și versetele 8 și 10 (ambele conțin versul</w:t>
      </w:r>
      <w:r>
        <w:rPr>
          <w:rFonts w:cstheme="minorHAnsi"/>
          <w:color w:val="000000" w:themeColor="text1"/>
          <w:szCs w:val="22"/>
        </w:rPr>
        <w:t xml:space="preserve"> „</w:t>
      </w:r>
      <w:r>
        <w:rPr>
          <w:rFonts w:cstheme="minorHAnsi"/>
          <w:color w:val="000000" w:themeColor="text1"/>
          <w:szCs w:val="22"/>
        </w:rPr>
        <w:t xml:space="preserve">ci</w:t>
      </w:r>
      <w:r>
        <w:rPr>
          <w:rFonts w:cstheme="minorHAnsi"/>
          <w:color w:val="000000" w:themeColor="text1"/>
          <w:szCs w:val="22"/>
        </w:rPr>
        <w:t xml:space="preserve">ne are o gură nesocotită se prăpădește singur”). Repetarea a două versuri în această secțiune, ambele referitoare la gura celor răi, indică accentul major al acestei colecții. Cel care face cu ochiul (10) desemnează o persoană vicleană, cu o agendă ascunsă</w:t>
      </w:r>
      <w:r>
        <w:rPr>
          <w:rFonts w:cstheme="minorHAnsi"/>
          <w:color w:val="000000" w:themeColor="text1"/>
          <w:szCs w:val="22"/>
        </w:rPr>
        <w:t xml:space="preserve">, un comunicator prefăcut, răuvoitor</w:t>
      </w:r>
      <w:r>
        <w:rPr>
          <w:rFonts w:cstheme="minorHAnsi"/>
          <w:color w:val="000000" w:themeColor="text1"/>
          <w:szCs w:val="22"/>
        </w:rPr>
        <w:t xml:space="preserve">.</w:t>
      </w:r>
      <w:r>
        <w:rPr>
          <w:rFonts w:cstheme="minorHAnsi"/>
          <w:color w:val="000000" w:themeColor="text1"/>
          <w:szCs w:val="22"/>
        </w:rPr>
      </w:r>
    </w:p>
    <w:p>
      <w:pPr>
        <w:pBdr/>
        <w:spacing/>
        <w:ind/>
        <w:rPr>
          <w:rFonts w:cstheme="minorHAnsi"/>
          <w:color w:val="000000" w:themeColor="text1"/>
          <w:szCs w:val="22"/>
        </w:rPr>
      </w:pPr>
      <w:r>
        <w:rPr>
          <w:rFonts w:cstheme="minorHAnsi"/>
          <w:color w:val="000000" w:themeColor="text1"/>
          <w:szCs w:val="22"/>
        </w:rPr>
        <w:t xml:space="preserve">În versetul 10 </w:t>
      </w:r>
      <w:r>
        <w:rPr>
          <w:rFonts w:cstheme="minorHAnsi"/>
          <w:color w:val="000000" w:themeColor="text1"/>
          <w:szCs w:val="22"/>
        </w:rPr>
        <w:t xml:space="preserve">găsim două lucruri rele </w:t>
      </w:r>
      <w:r>
        <w:rPr>
          <w:rFonts w:cstheme="minorHAnsi"/>
          <w:color w:val="000000" w:themeColor="text1"/>
          <w:szCs w:val="22"/>
        </w:rPr>
        <w:t xml:space="preserve">puse în contrast</w:t>
      </w:r>
      <w:r>
        <w:rPr>
          <w:rFonts w:cstheme="minorHAnsi"/>
          <w:color w:val="000000" w:themeColor="text1"/>
          <w:szCs w:val="22"/>
        </w:rPr>
        <w:t xml:space="preserve">, nu unul bun și unul rău, cum eram obișnuiți</w:t>
      </w:r>
      <w:r>
        <w:rPr>
          <w:rFonts w:cstheme="minorHAnsi"/>
          <w:color w:val="000000" w:themeColor="text1"/>
          <w:szCs w:val="22"/>
        </w:rPr>
        <w:t xml:space="preserve">. Înșelătorul tăcut poate să reușeasc</w:t>
      </w:r>
      <w:r>
        <w:rPr>
          <w:rFonts w:cstheme="minorHAnsi"/>
          <w:color w:val="000000" w:themeColor="text1"/>
          <w:szCs w:val="22"/>
        </w:rPr>
        <w:t xml:space="preserve">ă în planurile lui pentru o vreme, în timp ce un prost care vorbește nesocotit nu va ajunge nicăieri. Acest lucru nu înseamnă o aprobare a înșelătorului (vezi Proverbe 12:23). În cele din urmă, așa cum arată și alte pasaje, și el se va întâlni cu judecata.</w:t>
      </w:r>
      <w:r>
        <w:rPr>
          <w:rFonts w:cstheme="minorHAnsi"/>
          <w:color w:val="000000" w:themeColor="text1"/>
          <w:szCs w:val="22"/>
        </w:rPr>
        <w:t xml:space="preserve"> Prin două r</w:t>
      </w:r>
      <w:r>
        <w:rPr>
          <w:rFonts w:cstheme="minorHAnsi"/>
          <w:color w:val="000000" w:themeColor="text1"/>
          <w:szCs w:val="22"/>
        </w:rPr>
        <w:t xml:space="preserve">ele, se arată un adevăr </w:t>
      </w:r>
      <w:r>
        <w:rPr>
          <w:rFonts w:cstheme="minorHAnsi"/>
          <w:color w:val="000000" w:themeColor="text1"/>
          <w:szCs w:val="22"/>
        </w:rPr>
        <w:t xml:space="preserve">important, </w:t>
      </w:r>
      <w:r>
        <w:rPr>
          <w:rFonts w:cstheme="minorHAnsi"/>
          <w:color w:val="000000" w:themeColor="text1"/>
          <w:szCs w:val="22"/>
        </w:rPr>
        <w:t xml:space="preserve">în sine</w:t>
      </w:r>
      <w:r>
        <w:rPr>
          <w:rFonts w:cstheme="minorHAnsi"/>
          <w:color w:val="000000" w:themeColor="text1"/>
          <w:szCs w:val="22"/>
        </w:rPr>
        <w:t xml:space="preserve"> pozitiv: cine vorbește mai puțin, reușește mai mult decât cine vorbește mult, și aceasta este adevărat, și pentru cei buni și pentru cei răi.</w:t>
      </w:r>
      <w:r>
        <w:rPr>
          <w:rFonts w:cstheme="minorHAnsi"/>
          <w:color w:val="000000" w:themeColor="text1"/>
          <w:szCs w:val="22"/>
        </w:rPr>
      </w:r>
    </w:p>
    <w:p>
      <w:pPr>
        <w:pStyle w:val="885"/>
        <w:pBdr/>
        <w:spacing/>
        <w:ind/>
        <w:rPr/>
      </w:pPr>
      <w:r>
        <w:t xml:space="preserve">Comunicare bună și dragoste, contra minciună și răutate</w:t>
      </w:r>
      <w:r>
        <w:t xml:space="preserve"> (12-18)</w:t>
      </w:r>
      <w:r/>
    </w:p>
    <w:p>
      <w:pPr>
        <w:pBdr/>
        <w:spacing/>
        <w:ind w:firstLine="0"/>
        <w:rPr>
          <w:rFonts w:cstheme="minorHAnsi"/>
          <w:color w:val="000000" w:themeColor="text1"/>
          <w:szCs w:val="22"/>
        </w:rPr>
      </w:pPr>
      <w:r>
        <w:rPr>
          <w:rFonts w:cstheme="minorHAnsi"/>
          <w:color w:val="000000" w:themeColor="text1"/>
          <w:szCs w:val="22"/>
        </w:rPr>
        <w:t xml:space="preserve">Versetele 12 și 18 formează </w:t>
      </w:r>
      <w:r>
        <w:rPr>
          <w:rFonts w:cstheme="minorHAnsi"/>
          <w:color w:val="000000" w:themeColor="text1"/>
          <w:szCs w:val="22"/>
        </w:rPr>
        <w:t xml:space="preserve">și ele </w:t>
      </w:r>
      <w:r>
        <w:rPr>
          <w:rFonts w:cstheme="minorHAnsi"/>
          <w:color w:val="000000" w:themeColor="text1"/>
          <w:szCs w:val="22"/>
        </w:rPr>
        <w:t xml:space="preserve">o incluziune, </w:t>
      </w:r>
      <w:r>
        <w:rPr>
          <w:rFonts w:cstheme="minorHAnsi"/>
          <w:color w:val="000000" w:themeColor="text1"/>
          <w:szCs w:val="22"/>
        </w:rPr>
        <w:t xml:space="preserve">bazată pe discutarea înțelepciunii vorbirii și a calității noastre sufletești. Ura folosește buzele spre rău, fără dragoste, și construiește bârfe distrugătoare.</w:t>
      </w:r>
      <w:r>
        <w:rPr>
          <w:rFonts w:cstheme="minorHAnsi"/>
          <w:color w:val="000000" w:themeColor="text1"/>
          <w:szCs w:val="22"/>
        </w:rPr>
      </w:r>
    </w:p>
    <w:p>
      <w:pPr>
        <w:pBdr/>
        <w:spacing/>
        <w:ind/>
        <w:rPr/>
      </w:pPr>
      <w:r>
        <w:t xml:space="preserve">V</w:t>
      </w:r>
      <w:r>
        <w:t xml:space="preserve">ersetele 13-14 ș</w:t>
      </w:r>
      <w:r>
        <w:t xml:space="preserve">i 15-16 sunt proverbe pereche, care se referă și ele la vorbire bună, la certare cu folos, la viață și la calea vieții, și pe de cealaltă parte, se referă la </w:t>
      </w:r>
      <w:r>
        <w:t xml:space="preserve"> </w:t>
      </w:r>
      <w:r>
        <w:t xml:space="preserve">disprețuirea certării, la minciună, la gură nebună și la pieire, la nenorocirea vieții.</w:t>
      </w:r>
      <w:r/>
    </w:p>
    <w:p>
      <w:pPr>
        <w:pBdr/>
        <w:spacing/>
        <w:ind/>
        <w:rPr>
          <w:rFonts w:cstheme="minorHAnsi"/>
          <w:b/>
          <w:bCs/>
          <w:color w:val="000000" w:themeColor="text1"/>
          <w:szCs w:val="22"/>
        </w:rPr>
      </w:pPr>
      <w:r>
        <w:rPr>
          <w:rFonts w:cstheme="minorHAnsi"/>
          <w:color w:val="000000" w:themeColor="text1"/>
          <w:szCs w:val="22"/>
        </w:rPr>
        <w:t xml:space="preserve">Apostolul Petru a citat din Proverbe 10:12 în prima sa epistolă: „Mai pe sus de toate, să aveți o dragoste fierbinte unii pentru alții, căci dragostea acoperă o sumedenie de păcate” (1 Petru 4:8). Unii au considerat că</w:t>
      </w:r>
      <w:r>
        <w:rPr>
          <w:rFonts w:cstheme="minorHAnsi"/>
          <w:color w:val="000000" w:themeColor="text1"/>
          <w:szCs w:val="22"/>
        </w:rPr>
        <w:t xml:space="preserve"> „</w:t>
      </w:r>
      <w:r>
        <w:rPr>
          <w:rFonts w:cstheme="minorHAnsi"/>
          <w:color w:val="000000" w:themeColor="text1"/>
          <w:szCs w:val="22"/>
        </w:rPr>
        <w:t xml:space="preserve">dragostea acoperă o sumedenie de păcate” în sensul că a arăta iubire față de alții acoperă propriile păcate înaintea lui Dumnezeu. Totuși, în context, sensul clar este că iubirea este arătată celorlalți </w:t>
      </w:r>
      <w:r>
        <w:rPr>
          <w:rFonts w:cstheme="minorHAnsi"/>
          <w:color w:val="000000" w:themeColor="text1"/>
          <w:szCs w:val="22"/>
        </w:rPr>
        <w:t xml:space="preserve">prin </w:t>
      </w:r>
      <w:r>
        <w:rPr>
          <w:rFonts w:cstheme="minorHAnsi"/>
          <w:color w:val="000000" w:themeColor="text1"/>
          <w:szCs w:val="22"/>
        </w:rPr>
        <w:t xml:space="preserve">acoperirea păcatelor </w:t>
      </w:r>
      <w:r>
        <w:rPr>
          <w:rFonts w:cstheme="minorHAnsi"/>
          <w:color w:val="000000" w:themeColor="text1"/>
          <w:szCs w:val="22"/>
        </w:rPr>
        <w:t xml:space="preserve">lor</w:t>
      </w:r>
      <w:r>
        <w:rPr>
          <w:rFonts w:cstheme="minorHAnsi"/>
          <w:color w:val="000000" w:themeColor="text1"/>
          <w:szCs w:val="22"/>
        </w:rPr>
        <w:t xml:space="preserve"> </w:t>
      </w:r>
      <w:r>
        <w:rPr>
          <w:rFonts w:cstheme="minorHAnsi"/>
          <w:color w:val="000000" w:themeColor="text1"/>
          <w:szCs w:val="22"/>
        </w:rPr>
        <w:t xml:space="preserve">-</w:t>
      </w:r>
      <w:r>
        <w:rPr>
          <w:rFonts w:cstheme="minorHAnsi"/>
          <w:color w:val="000000" w:themeColor="text1"/>
          <w:szCs w:val="22"/>
        </w:rPr>
        <w:t xml:space="preserve"> adică îngropându-le greșelile trecute și nu aducerea lor în discuție, nici înaintea lor (generând ceartă), nici înaintea altora. Proverbe 11:13 vorbește despre a nu da pe față secrete (care includ greșeli din trecut) ca un act de credincioșie</w:t>
      </w:r>
      <w:r>
        <w:rPr>
          <w:rFonts w:cstheme="minorHAnsi"/>
          <w:color w:val="000000" w:themeColor="text1"/>
          <w:szCs w:val="22"/>
        </w:rPr>
        <w:t xml:space="preserve"> și maturitate în relații</w:t>
      </w:r>
      <w:r>
        <w:rPr>
          <w:rFonts w:cstheme="minorHAnsi"/>
          <w:color w:val="000000" w:themeColor="text1"/>
          <w:szCs w:val="22"/>
        </w:rPr>
        <w:t xml:space="preserve">. Acoperirea păcatelor implică ier</w:t>
      </w:r>
      <w:r>
        <w:rPr>
          <w:rFonts w:cstheme="minorHAnsi"/>
          <w:color w:val="000000" w:themeColor="text1"/>
          <w:szCs w:val="22"/>
        </w:rPr>
        <w:t xml:space="preserve">tarea lor, așa cum face Dumnezeu în Psalmul 32:1. Desigur, în sensul folosit în Psalmul 32, numai Dumnezeu poate acoperi păcatele complet. Versetul 18 compară două lucruri rele: ipocrizia, care este  destul de rea, dar răspândirea bârfelor este și mai rea.</w:t>
      </w:r>
      <w:r>
        <w:rPr>
          <w:rFonts w:cstheme="minorHAnsi"/>
          <w:b/>
          <w:bCs/>
          <w:color w:val="000000" w:themeColor="text1"/>
          <w:szCs w:val="22"/>
        </w:rPr>
      </w:r>
    </w:p>
    <w:p>
      <w:pPr>
        <w:pStyle w:val="885"/>
        <w:pBdr/>
        <w:spacing/>
        <w:ind/>
        <w:rPr/>
      </w:pPr>
      <w:r>
        <w:t xml:space="preserve">D</w:t>
      </w:r>
      <w:r>
        <w:t xml:space="preserve">espre limbă, </w:t>
      </w:r>
      <w:r>
        <w:t xml:space="preserve">comunicare și caracter</w:t>
      </w:r>
      <w:r>
        <w:t xml:space="preserve"> (19-32)</w:t>
      </w:r>
      <w:r/>
    </w:p>
    <w:p>
      <w:pPr>
        <w:pBdr/>
        <w:spacing/>
        <w:ind w:firstLine="0"/>
        <w:rPr>
          <w:rFonts w:cstheme="minorHAnsi"/>
          <w:color w:val="000000" w:themeColor="text1"/>
          <w:szCs w:val="22"/>
        </w:rPr>
      </w:pPr>
      <w:r>
        <w:rPr>
          <w:rFonts w:cstheme="minorHAnsi"/>
          <w:color w:val="000000" w:themeColor="text1"/>
          <w:szCs w:val="22"/>
        </w:rPr>
        <w:t xml:space="preserve">Această secțiune este un chiasm (aranjament concentric) alcătuit din 4 colecții separate, cu un singur proverb stând la centru, ca un fel de pod (prezentat cu o nuanță plină de umor). Structura secțiunii poate fi reprezentată astfel:</w:t>
      </w:r>
      <w:r>
        <w:rPr>
          <w:rFonts w:cstheme="minorHAnsi"/>
          <w:color w:val="000000" w:themeColor="text1"/>
          <w:szCs w:val="22"/>
        </w:rPr>
      </w:r>
    </w:p>
    <w:p>
      <w:pPr>
        <w:pBdr/>
        <w:spacing/>
        <w:ind w:left="576"/>
        <w:rPr>
          <w:rFonts w:cstheme="minorHAnsi"/>
          <w:color w:val="000000" w:themeColor="text1"/>
          <w:szCs w:val="22"/>
        </w:rPr>
      </w:pPr>
      <w:r>
        <w:rPr>
          <w:rFonts w:cstheme="minorHAnsi"/>
          <w:color w:val="000000" w:themeColor="text1"/>
          <w:szCs w:val="22"/>
        </w:rPr>
        <w:t xml:space="preserve">A : Despre limbă (19-21) </w:t>
      </w:r>
      <w:r>
        <w:rPr>
          <w:rFonts w:cstheme="minorHAnsi"/>
          <w:color w:val="000000" w:themeColor="text1"/>
          <w:szCs w:val="22"/>
        </w:rPr>
      </w:r>
    </w:p>
    <w:p>
      <w:pPr>
        <w:pBdr/>
        <w:spacing/>
        <w:ind w:left="576"/>
        <w:rPr>
          <w:rFonts w:cstheme="minorHAnsi"/>
          <w:color w:val="000000" w:themeColor="text1"/>
          <w:szCs w:val="22"/>
        </w:rPr>
      </w:pPr>
      <w:r>
        <w:rPr>
          <w:rFonts w:cstheme="minorHAnsi"/>
          <w:color w:val="000000" w:themeColor="text1"/>
          <w:szCs w:val="22"/>
        </w:rPr>
        <w:t xml:space="preserve">    B : Despre siguranța personală </w:t>
      </w:r>
      <w:r>
        <w:rPr>
          <w:rFonts w:cstheme="minorHAnsi"/>
          <w:color w:val="000000" w:themeColor="text1"/>
          <w:szCs w:val="22"/>
        </w:rPr>
        <w:t xml:space="preserve">în viață </w:t>
      </w:r>
      <w:r>
        <w:rPr>
          <w:rFonts w:cstheme="minorHAnsi"/>
          <w:color w:val="000000" w:themeColor="text1"/>
          <w:szCs w:val="22"/>
        </w:rPr>
        <w:t xml:space="preserve">(22-25)</w:t>
      </w:r>
      <w:r>
        <w:rPr>
          <w:rFonts w:cstheme="minorHAnsi"/>
          <w:color w:val="000000" w:themeColor="text1"/>
          <w:szCs w:val="22"/>
        </w:rPr>
      </w:r>
    </w:p>
    <w:p>
      <w:pPr>
        <w:pBdr/>
        <w:spacing/>
        <w:ind w:left="576"/>
        <w:rPr>
          <w:rFonts w:cstheme="minorHAnsi"/>
          <w:color w:val="000000" w:themeColor="text1"/>
          <w:szCs w:val="22"/>
        </w:rPr>
      </w:pPr>
      <w:r>
        <w:rPr>
          <w:rFonts w:cstheme="minorHAnsi"/>
          <w:color w:val="000000" w:themeColor="text1"/>
          <w:szCs w:val="22"/>
        </w:rPr>
        <w:t xml:space="preserve">        C : Despre lene (26)</w:t>
      </w:r>
      <w:r>
        <w:rPr>
          <w:rFonts w:cstheme="minorHAnsi"/>
          <w:color w:val="000000" w:themeColor="text1"/>
          <w:szCs w:val="22"/>
        </w:rPr>
      </w:r>
    </w:p>
    <w:p>
      <w:pPr>
        <w:pBdr/>
        <w:spacing/>
        <w:ind w:left="576"/>
        <w:rPr>
          <w:rFonts w:cstheme="minorHAnsi"/>
          <w:color w:val="000000" w:themeColor="text1"/>
          <w:szCs w:val="22"/>
        </w:rPr>
      </w:pPr>
      <w:r>
        <w:rPr>
          <w:rFonts w:cstheme="minorHAnsi"/>
          <w:color w:val="000000" w:themeColor="text1"/>
          <w:szCs w:val="22"/>
        </w:rPr>
        <w:t xml:space="preserve">     B*: Despre siguranța personală </w:t>
      </w:r>
      <w:r>
        <w:rPr>
          <w:rFonts w:cstheme="minorHAnsi"/>
          <w:color w:val="000000" w:themeColor="text1"/>
          <w:szCs w:val="22"/>
        </w:rPr>
        <w:t xml:space="preserve">în viață </w:t>
      </w:r>
      <w:r>
        <w:rPr>
          <w:rFonts w:cstheme="minorHAnsi"/>
          <w:color w:val="000000" w:themeColor="text1"/>
          <w:szCs w:val="22"/>
        </w:rPr>
        <w:t xml:space="preserve">(27-30)</w:t>
      </w:r>
      <w:r>
        <w:rPr>
          <w:rFonts w:cstheme="minorHAnsi"/>
          <w:color w:val="000000" w:themeColor="text1"/>
          <w:szCs w:val="22"/>
        </w:rPr>
      </w:r>
    </w:p>
    <w:p>
      <w:pPr>
        <w:pBdr/>
        <w:spacing/>
        <w:ind w:left="576"/>
        <w:rPr>
          <w:rFonts w:cstheme="minorHAnsi"/>
          <w:color w:val="000000" w:themeColor="text1"/>
          <w:szCs w:val="22"/>
        </w:rPr>
      </w:pPr>
      <w:r>
        <w:rPr>
          <w:rFonts w:cstheme="minorHAnsi"/>
          <w:color w:val="000000" w:themeColor="text1"/>
          <w:szCs w:val="22"/>
        </w:rPr>
        <w:t xml:space="preserve">A*: Despre limbă  </w:t>
      </w:r>
      <w:r>
        <w:rPr>
          <w:rFonts w:cstheme="minorHAnsi"/>
          <w:color w:val="000000" w:themeColor="text1"/>
          <w:szCs w:val="22"/>
        </w:rPr>
      </w:r>
    </w:p>
    <w:p>
      <w:pPr>
        <w:pStyle w:val="886"/>
        <w:pBdr/>
        <w:spacing/>
        <w:ind/>
        <w:rPr/>
      </w:pPr>
      <w:r>
        <w:t xml:space="preserve">A.Colecția de 3 proverbe</w:t>
      </w:r>
      <w:r>
        <w:t xml:space="preserve">: vorbirea</w:t>
      </w:r>
      <w:r>
        <w:t xml:space="preserve"> </w:t>
      </w:r>
      <w:r>
        <w:t xml:space="preserve">aleasă și vorbirea rea </w:t>
      </w:r>
      <w:r>
        <w:t xml:space="preserve">(19-21)</w:t>
      </w:r>
      <w:r/>
    </w:p>
    <w:p>
      <w:pPr>
        <w:pBdr/>
        <w:spacing/>
        <w:ind w:firstLine="0"/>
        <w:rPr>
          <w:rFonts w:cstheme="minorHAnsi"/>
          <w:color w:val="000000" w:themeColor="text1"/>
          <w:szCs w:val="22"/>
        </w:rPr>
      </w:pPr>
      <w:r>
        <w:rPr>
          <w:rFonts w:cstheme="minorHAnsi"/>
          <w:color w:val="000000" w:themeColor="text1"/>
          <w:szCs w:val="22"/>
        </w:rPr>
        <w:t xml:space="preserve">Are ca temă folosirea limbii, iar fiecare vers este în antiteză cu perechea lui. Versetele 20-21 sunt  foarte asemănătoare și pot fi considerate ca pr</w:t>
      </w:r>
      <w:r>
        <w:rPr>
          <w:rFonts w:cstheme="minorHAnsi"/>
          <w:color w:val="000000" w:themeColor="text1"/>
          <w:szCs w:val="22"/>
        </w:rPr>
        <w:t xml:space="preserve">overbe pereche. Cine este neprihănit are o vorbire folositoare, înviorătoare, de preț ca argintul, dar cei răi vorbesc lucruri fără preț, răutăcioase, </w:t>
      </w:r>
      <w:r>
        <w:rPr>
          <w:rFonts w:cstheme="minorHAnsi"/>
          <w:color w:val="000000" w:themeColor="text1"/>
          <w:szCs w:val="22"/>
        </w:rPr>
        <w:t xml:space="preserve">fără judecată.</w:t>
      </w:r>
      <w:r>
        <w:rPr>
          <w:rFonts w:cstheme="minorHAnsi"/>
          <w:color w:val="000000" w:themeColor="text1"/>
          <w:szCs w:val="22"/>
        </w:rPr>
      </w:r>
    </w:p>
    <w:p>
      <w:pPr>
        <w:pStyle w:val="886"/>
        <w:pBdr/>
        <w:spacing/>
        <w:ind/>
        <w:rPr/>
      </w:pPr>
      <w:r>
        <w:t xml:space="preserve">B.Colecția de 4 proverbe (22-25)</w:t>
      </w:r>
      <w:r/>
    </w:p>
    <w:p>
      <w:pPr>
        <w:pBdr/>
        <w:spacing/>
        <w:ind w:firstLine="0"/>
        <w:rPr>
          <w:rFonts w:cstheme="minorHAnsi"/>
          <w:color w:val="000000" w:themeColor="text1"/>
          <w:szCs w:val="22"/>
        </w:rPr>
      </w:pPr>
      <w:r>
        <w:rPr>
          <w:rFonts w:cstheme="minorHAnsi"/>
          <w:color w:val="000000" w:themeColor="text1"/>
          <w:szCs w:val="22"/>
        </w:rPr>
        <w:t xml:space="preserve">Colecția aceasta cuprinde asemănări tematice. Numai prin neprihănire și înțelepciune se poate obține o adevărată siguranță în viața aceasta. Cei </w:t>
      </w:r>
      <w:r>
        <w:rPr>
          <w:rFonts w:cstheme="minorHAnsi"/>
          <w:color w:val="000000" w:themeColor="text1"/>
          <w:szCs w:val="22"/>
        </w:rPr>
        <w:t xml:space="preserve">neprihăniți („</w:t>
      </w:r>
      <w:r>
        <w:rPr>
          <w:rFonts w:cstheme="minorHAnsi"/>
          <w:color w:val="000000" w:themeColor="text1"/>
          <w:szCs w:val="22"/>
        </w:rPr>
        <w:t xml:space="preserve">Binecuvântarea Domnului îmbogățește, și El nu lasă să fie urmată de niciun necaz”-v.</w:t>
      </w:r>
      <w:r>
        <w:rPr>
          <w:rFonts w:cstheme="minorHAnsi"/>
          <w:color w:val="000000" w:themeColor="text1"/>
          <w:szCs w:val="22"/>
        </w:rPr>
        <w:t xml:space="preserve"> </w:t>
      </w:r>
      <w:r>
        <w:rPr>
          <w:rFonts w:cstheme="minorHAnsi"/>
          <w:color w:val="000000" w:themeColor="text1"/>
          <w:szCs w:val="22"/>
        </w:rPr>
        <w:t xml:space="preserve">22) pot avea bogăție, fără necazurile care o însoțesc adesea (oameni lingușitori, probleme juridice), în timp ce cei răi, în cele din urmă, vor fi doborâți de dezastrul de care se tem (22, 24). </w:t>
      </w:r>
      <w:r>
        <w:rPr>
          <w:rFonts w:cstheme="minorHAnsi"/>
          <w:color w:val="000000" w:themeColor="text1"/>
          <w:szCs w:val="22"/>
        </w:rPr>
      </w:r>
    </w:p>
    <w:p>
      <w:pPr>
        <w:pBdr/>
        <w:spacing/>
        <w:ind/>
        <w:rPr>
          <w:rFonts w:cstheme="minorHAnsi"/>
          <w:color w:val="000000" w:themeColor="text1"/>
          <w:szCs w:val="22"/>
        </w:rPr>
      </w:pPr>
      <w:r>
        <w:rPr>
          <w:rFonts w:cstheme="minorHAnsi"/>
          <w:color w:val="000000" w:themeColor="text1"/>
          <w:szCs w:val="22"/>
        </w:rPr>
        <w:t xml:space="preserve">Cei răi găsesc o mare pl</w:t>
      </w:r>
      <w:r>
        <w:rPr>
          <w:rFonts w:cstheme="minorHAnsi"/>
          <w:color w:val="000000" w:themeColor="text1"/>
          <w:szCs w:val="22"/>
        </w:rPr>
        <w:t xml:space="preserve">ăcere în nelegiuirile lor, dar ei nu vor rezista atunci când vine nenorocirea (23, 25). Versetul 25 („Cum trece vârtejul așa piere cel rău, dar cel neprihănit are temelii veșnice”) poate fi corelat cu cuvintele Domnului Isus din Predica de pe munte. Omul c</w:t>
      </w:r>
      <w:r>
        <w:rPr>
          <w:rFonts w:cstheme="minorHAnsi"/>
          <w:color w:val="000000" w:themeColor="text1"/>
          <w:szCs w:val="22"/>
        </w:rPr>
        <w:t xml:space="preserve">u judecată își zidește casa pe stânca Cuvântului lui Dumnezeu, iar cel nechibzuit își zidește casa pe nisip. Când au venit ploaia, șivoaiele și vânturile, casa zidită pe stâncă a rezistat, cealaltă s-a prăbușit, și prăbușirea i-a fost mare (Matei 7:24-27).</w:t>
      </w:r>
      <w:r>
        <w:rPr>
          <w:rFonts w:cstheme="minorHAnsi"/>
          <w:color w:val="000000" w:themeColor="text1"/>
          <w:szCs w:val="22"/>
        </w:rPr>
      </w:r>
    </w:p>
    <w:p>
      <w:pPr>
        <w:pStyle w:val="886"/>
        <w:pBdr/>
        <w:spacing/>
        <w:ind/>
        <w:rPr/>
      </w:pPr>
      <w:r>
        <w:t xml:space="preserve">C. Proverbul </w:t>
      </w:r>
      <w:r>
        <w:t xml:space="preserve">central: c</w:t>
      </w:r>
      <w:r>
        <w:t xml:space="preserve">aracterul și hărnicia sunt centrale</w:t>
      </w:r>
      <w:r>
        <w:t xml:space="preserve"> (26)</w:t>
      </w:r>
      <w:r/>
    </w:p>
    <w:p>
      <w:pPr>
        <w:pBdr/>
        <w:spacing/>
        <w:ind w:firstLine="0"/>
        <w:rPr>
          <w:rFonts w:cstheme="minorHAnsi"/>
          <w:color w:val="000000" w:themeColor="text1"/>
          <w:szCs w:val="22"/>
        </w:rPr>
      </w:pPr>
      <w:r>
        <w:rPr>
          <w:rFonts w:cstheme="minorHAnsi"/>
          <w:color w:val="000000" w:themeColor="text1"/>
          <w:szCs w:val="22"/>
        </w:rPr>
        <w:t xml:space="preserve">Leneșul este iritant, neplăcut pentru toți care au de-a face cu el, este ca</w:t>
      </w:r>
      <w:r>
        <w:rPr>
          <w:rFonts w:cstheme="minorHAnsi"/>
          <w:color w:val="000000" w:themeColor="text1"/>
          <w:szCs w:val="22"/>
        </w:rPr>
        <w:t xml:space="preserve"> „</w:t>
      </w:r>
      <w:r>
        <w:rPr>
          <w:rFonts w:cstheme="minorHAnsi"/>
          <w:color w:val="000000" w:themeColor="text1"/>
          <w:szCs w:val="22"/>
        </w:rPr>
        <w:t xml:space="preserve">oțetul pentru dinți și ca fumul pentru ochi”</w:t>
      </w:r>
      <w:r>
        <w:rPr>
          <w:rFonts w:cstheme="minorHAnsi"/>
          <w:color w:val="000000" w:themeColor="text1"/>
          <w:szCs w:val="22"/>
        </w:rPr>
        <w:t xml:space="preserve">. Versetul din mijloc ne arată că deciziile, așteptările și comportamentul, ne construiesc în timp, caracterul. Un om neînțelept și necredincios, ajunge ipocrit și de neîncredere, deranjant, le</w:t>
      </w:r>
      <w:r>
        <w:rPr>
          <w:rFonts w:cstheme="minorHAnsi"/>
          <w:color w:val="000000" w:themeColor="text1"/>
          <w:szCs w:val="22"/>
        </w:rPr>
        <w:t xml:space="preserve">neș, de evitat. În Noul Testament, Hristos spune pildele talanților și a banilor împrumutați despre astfel de slujitori, iar robul leneș și viclean, care este ajunge și necredincios și acuzator, este criticat, judecat,  și, la sfârșit, aruncat de Stăpân în</w:t>
      </w:r>
      <w:r>
        <w:rPr>
          <w:rFonts w:cstheme="minorHAnsi"/>
          <w:color w:val="000000" w:themeColor="text1"/>
          <w:szCs w:val="22"/>
        </w:rPr>
        <w:t xml:space="preserve"> întunericul de afară (Matei 25:25,</w:t>
      </w:r>
      <w:r>
        <w:rPr>
          <w:rFonts w:cstheme="minorHAnsi"/>
          <w:color w:val="000000" w:themeColor="text1"/>
          <w:szCs w:val="22"/>
        </w:rPr>
        <w:t xml:space="preserve"> </w:t>
      </w:r>
      <w:r>
        <w:rPr>
          <w:rFonts w:cstheme="minorHAnsi"/>
          <w:color w:val="000000" w:themeColor="text1"/>
          <w:szCs w:val="22"/>
        </w:rPr>
        <w:t xml:space="preserve">36).</w:t>
      </w:r>
      <w:r>
        <w:rPr>
          <w:rFonts w:cstheme="minorHAnsi"/>
          <w:color w:val="000000" w:themeColor="text1"/>
          <w:szCs w:val="22"/>
        </w:rPr>
      </w:r>
    </w:p>
    <w:p>
      <w:pPr>
        <w:pStyle w:val="886"/>
        <w:pBdr/>
        <w:spacing/>
        <w:ind/>
        <w:rPr/>
      </w:pPr>
      <w:r>
        <w:t xml:space="preserve">B*. Cele 4 proverbe (27-30)</w:t>
      </w:r>
      <w:r/>
    </w:p>
    <w:p>
      <w:pPr>
        <w:pBdr/>
        <w:spacing/>
        <w:ind w:firstLine="0"/>
        <w:rPr>
          <w:rFonts w:cstheme="minorHAnsi"/>
          <w:color w:val="000000" w:themeColor="text1"/>
          <w:szCs w:val="22"/>
        </w:rPr>
      </w:pPr>
      <w:r>
        <w:rPr>
          <w:rFonts w:cstheme="minorHAnsi"/>
          <w:color w:val="000000" w:themeColor="text1"/>
          <w:szCs w:val="22"/>
        </w:rPr>
        <w:t xml:space="preserve">Cele 4 versete tratează tema vieții lungi pentru cel neprihănit și a distrugerii pentru cei răi. Versetele 27 și 29 sunt asemănătoare și au ca temă pe Domnul (</w:t>
      </w:r>
      <w:r>
        <w:rPr>
          <w:rFonts w:cstheme="minorHAnsi"/>
          <w:color w:val="000000" w:themeColor="text1"/>
          <w:szCs w:val="22"/>
        </w:rPr>
        <w:t xml:space="preserve">„</w:t>
      </w:r>
      <w:r>
        <w:rPr>
          <w:rFonts w:cstheme="minorHAnsi"/>
          <w:color w:val="000000" w:themeColor="text1"/>
          <w:szCs w:val="22"/>
        </w:rPr>
        <w:t xml:space="preserve">frica de Domnul” și</w:t>
      </w:r>
      <w:r>
        <w:rPr>
          <w:rFonts w:cstheme="minorHAnsi"/>
          <w:color w:val="000000" w:themeColor="text1"/>
          <w:szCs w:val="22"/>
        </w:rPr>
        <w:t xml:space="preserve"> „</w:t>
      </w:r>
      <w:r>
        <w:rPr>
          <w:rFonts w:cstheme="minorHAnsi"/>
          <w:color w:val="000000" w:themeColor="text1"/>
          <w:szCs w:val="22"/>
        </w:rPr>
        <w:t xml:space="preserve">Calea Domnului”), iar versetele 28 și 30 sunt legate prin tema despre</w:t>
      </w:r>
      <w:r>
        <w:rPr>
          <w:rFonts w:cstheme="minorHAnsi"/>
          <w:color w:val="000000" w:themeColor="text1"/>
          <w:szCs w:val="22"/>
        </w:rPr>
        <w:t xml:space="preserve"> „</w:t>
      </w:r>
      <w:r>
        <w:rPr>
          <w:rFonts w:cstheme="minorHAnsi"/>
          <w:color w:val="000000" w:themeColor="text1"/>
          <w:szCs w:val="22"/>
        </w:rPr>
        <w:t xml:space="preserve">cel neprihănit”.</w:t>
      </w:r>
      <w:r>
        <w:rPr>
          <w:rFonts w:cstheme="minorHAnsi"/>
          <w:color w:val="000000" w:themeColor="text1"/>
          <w:szCs w:val="22"/>
        </w:rPr>
      </w:r>
    </w:p>
    <w:p>
      <w:pPr>
        <w:pBdr/>
        <w:spacing/>
        <w:ind/>
        <w:rPr>
          <w:rFonts w:cstheme="minorHAnsi"/>
          <w:color w:val="000000" w:themeColor="text1"/>
          <w:szCs w:val="22"/>
        </w:rPr>
      </w:pPr>
      <w:r>
        <w:rPr>
          <w:rFonts w:cstheme="minorHAnsi"/>
          <w:color w:val="000000" w:themeColor="text1"/>
          <w:szCs w:val="22"/>
        </w:rPr>
        <w:t xml:space="preserve">Versetul 27 (</w:t>
      </w:r>
      <w:r>
        <w:rPr>
          <w:rFonts w:cstheme="minorHAnsi"/>
          <w:color w:val="000000" w:themeColor="text1"/>
          <w:szCs w:val="22"/>
        </w:rPr>
        <w:t xml:space="preserve">„</w:t>
      </w:r>
      <w:r>
        <w:rPr>
          <w:rFonts w:cstheme="minorHAnsi"/>
          <w:color w:val="000000" w:themeColor="text1"/>
          <w:szCs w:val="22"/>
        </w:rPr>
        <w:t xml:space="preserve">Frica de Domnul lungește zilele, dar anii celui rău sunt scurtați”), ca și Proverbe 10:2, ar trebui să fie înțeles: (1) ca un principiu general al vieții fizice, toate celelalte fiind egale (re</w:t>
      </w:r>
      <w:r>
        <w:rPr>
          <w:rFonts w:cstheme="minorHAnsi"/>
          <w:color w:val="000000" w:themeColor="text1"/>
          <w:szCs w:val="22"/>
        </w:rPr>
        <w:t xml:space="preserve">cunoscând că circumstanțele în economia lui Dumnezeu permit uneori să se întâmple opusul în lumea aceasta) și (2) în contextul vieții veșnice pentru cei neprihăniți, versus moartea veșnică pentru cei răi. Este contextul cel mai important de avut în vedere.</w:t>
      </w:r>
      <w:r>
        <w:rPr>
          <w:rFonts w:cstheme="minorHAnsi"/>
          <w:color w:val="000000" w:themeColor="text1"/>
          <w:szCs w:val="22"/>
        </w:rPr>
      </w:r>
    </w:p>
    <w:p>
      <w:pPr>
        <w:pStyle w:val="886"/>
        <w:pBdr/>
        <w:spacing/>
        <w:ind/>
        <w:rPr/>
      </w:pPr>
      <w:r>
        <w:t xml:space="preserve">A*. Colecția de 2 proverbe</w:t>
      </w:r>
      <w:r>
        <w:t xml:space="preserve">: </w:t>
      </w:r>
      <w:r>
        <w:t xml:space="preserve">vorbirea</w:t>
      </w:r>
      <w:r>
        <w:t xml:space="preserve"> </w:t>
      </w:r>
      <w:r>
        <w:t xml:space="preserve">arată caracterul </w:t>
      </w:r>
      <w:r>
        <w:t xml:space="preserve">(31-32)</w:t>
      </w:r>
      <w:r/>
    </w:p>
    <w:p>
      <w:pPr>
        <w:pBdr/>
        <w:spacing/>
        <w:ind w:firstLine="0"/>
        <w:rPr>
          <w:rFonts w:cstheme="minorHAnsi"/>
          <w:color w:val="000000" w:themeColor="text1"/>
          <w:szCs w:val="22"/>
        </w:rPr>
      </w:pPr>
      <w:r>
        <w:rPr>
          <w:rFonts w:cstheme="minorHAnsi"/>
          <w:color w:val="000000" w:themeColor="text1"/>
          <w:szCs w:val="22"/>
        </w:rPr>
        <w:t xml:space="preserve">Conține proverbe pereche, iar tema colecției este folosirea limbii.</w:t>
      </w:r>
      <w:r>
        <w:rPr>
          <w:rFonts w:cstheme="minorHAnsi"/>
          <w:color w:val="000000" w:themeColor="text1"/>
          <w:szCs w:val="22"/>
        </w:rPr>
        <w:t xml:space="preserve"> Limba înțeleaptă și dreaptă este</w:t>
      </w:r>
      <w:r>
        <w:rPr>
          <w:rFonts w:cstheme="minorHAnsi"/>
          <w:color w:val="000000" w:themeColor="text1"/>
          <w:szCs w:val="22"/>
        </w:rPr>
        <w:t xml:space="preserve"> de dorit, dar cea stricată, va fi nimicită. Versetul este și o pledoarie pentru proverbele acestea înțelepte din cartea Proverbe. Cel drept spune lucruri plăcute (ca în Proverbe), iar cel rău vorbește răutăți. Vorbirea arată, în cele din urmă, caracterul.</w:t>
      </w:r>
      <w:r>
        <w:rPr>
          <w:rFonts w:cstheme="minorHAnsi"/>
          <w:color w:val="000000" w:themeColor="text1"/>
          <w:szCs w:val="22"/>
        </w:rPr>
      </w:r>
    </w:p>
    <w:p>
      <w:pPr>
        <w:pStyle w:val="885"/>
        <w:pBdr/>
        <w:spacing/>
        <w:ind/>
        <w:rPr/>
      </w:pPr>
      <w:r>
        <w:t xml:space="preserve">A</w:t>
      </w:r>
      <w:r>
        <w:t xml:space="preserve">plicații</w:t>
      </w:r>
      <w:r/>
    </w:p>
    <w:p>
      <w:pPr>
        <w:pBdr/>
        <w:spacing/>
        <w:ind w:firstLine="0"/>
        <w:rPr>
          <w:rFonts w:cstheme="minorHAnsi"/>
          <w:color w:val="000000" w:themeColor="text1"/>
          <w:szCs w:val="22"/>
        </w:rPr>
      </w:pPr>
      <w:r>
        <w:rPr>
          <w:rFonts w:cstheme="minorHAnsi"/>
          <w:color w:val="000000" w:themeColor="text1"/>
          <w:szCs w:val="22"/>
        </w:rPr>
        <w:t xml:space="preserve">Hărnicia sau lenevia fiilor într-o familie au impact asupra întregii  familii. Ce câștiguri și ce pagube aduc acestea atât pentru copii, cât și pentru părinți ?</w:t>
      </w:r>
      <w:r>
        <w:rPr>
          <w:rFonts w:cstheme="minorHAnsi"/>
          <w:color w:val="000000" w:themeColor="text1"/>
          <w:szCs w:val="22"/>
        </w:rPr>
      </w:r>
    </w:p>
    <w:p>
      <w:pPr>
        <w:pBdr/>
        <w:spacing/>
        <w:ind w:firstLine="0"/>
        <w:rPr/>
      </w:pPr>
      <w:r>
        <w:t xml:space="preserve">..................................................................................................................................................</w:t>
      </w:r>
      <w:r/>
    </w:p>
    <w:p>
      <w:pPr>
        <w:pBdr/>
        <w:spacing/>
        <w:ind w:firstLine="0"/>
        <w:rPr/>
      </w:pPr>
      <w:r>
        <w:t xml:space="preserve">..................................................................................................................................................</w:t>
      </w:r>
      <w:r/>
    </w:p>
    <w:p>
      <w:pPr>
        <w:pBdr/>
        <w:spacing/>
        <w:ind w:firstLine="0"/>
        <w:rPr/>
      </w:pPr>
      <w:r>
        <w:t xml:space="preserve">..................................................................................................................................................</w:t>
      </w:r>
      <w:r/>
    </w:p>
    <w:p>
      <w:pPr>
        <w:pBdr/>
        <w:spacing/>
        <w:ind w:firstLine="0"/>
        <w:rPr>
          <w:rFonts w:cstheme="minorHAnsi"/>
          <w:color w:val="000000" w:themeColor="text1"/>
          <w:szCs w:val="22"/>
        </w:rPr>
      </w:pPr>
      <w:r>
        <w:rPr>
          <w:rFonts w:cstheme="minorHAnsi"/>
          <w:color w:val="000000" w:themeColor="text1"/>
          <w:szCs w:val="22"/>
        </w:rPr>
      </w:r>
      <w:r>
        <w:rPr>
          <w:rFonts w:cstheme="minorHAnsi"/>
          <w:color w:val="000000" w:themeColor="text1"/>
          <w:szCs w:val="22"/>
        </w:rPr>
      </w:r>
    </w:p>
    <w:p>
      <w:pPr>
        <w:pBdr/>
        <w:spacing/>
        <w:ind w:firstLine="0"/>
        <w:rPr>
          <w:rFonts w:cstheme="minorHAnsi"/>
          <w:color w:val="000000" w:themeColor="text1"/>
          <w:szCs w:val="22"/>
        </w:rPr>
      </w:pPr>
      <w:r>
        <w:rPr>
          <w:rFonts w:cstheme="minorHAnsi"/>
          <w:color w:val="000000" w:themeColor="text1"/>
          <w:szCs w:val="22"/>
        </w:rPr>
        <w:t xml:space="preserve">Care este sensul expresiei</w:t>
      </w:r>
      <w:r>
        <w:rPr>
          <w:rFonts w:cstheme="minorHAnsi"/>
          <w:color w:val="000000" w:themeColor="text1"/>
          <w:szCs w:val="22"/>
        </w:rPr>
        <w:t xml:space="preserve"> „</w:t>
      </w:r>
      <w:r>
        <w:rPr>
          <w:rFonts w:cstheme="minorHAnsi"/>
          <w:color w:val="000000" w:themeColor="text1"/>
          <w:szCs w:val="22"/>
        </w:rPr>
        <w:t xml:space="preserve">Neprihănirea izbăvește de la moarte”(v.2)? Se referă doar la viața fizică sau și la viața eternă ? Care este contextul potrivit de luat în considerare, în lumina întregii revelații biblice?</w:t>
      </w:r>
      <w:r>
        <w:rPr>
          <w:rFonts w:cstheme="minorHAnsi"/>
          <w:color w:val="000000" w:themeColor="text1"/>
          <w:szCs w:val="22"/>
        </w:rPr>
      </w:r>
    </w:p>
    <w:p>
      <w:pPr>
        <w:pBdr/>
        <w:spacing/>
        <w:ind w:firstLine="0"/>
        <w:rPr/>
      </w:pPr>
      <w:r>
        <w:t xml:space="preserve">..................................................................................................................................................</w:t>
      </w:r>
      <w:r/>
    </w:p>
    <w:p>
      <w:pPr>
        <w:pBdr/>
        <w:spacing/>
        <w:ind w:firstLine="0"/>
        <w:rPr/>
      </w:pPr>
      <w:r>
        <w:t xml:space="preserve">..................................................................................................................................................</w:t>
      </w:r>
      <w:r/>
    </w:p>
    <w:p>
      <w:pPr>
        <w:pBdr/>
        <w:spacing/>
        <w:ind w:firstLine="0"/>
        <w:rPr/>
      </w:pPr>
      <w:r>
        <w:t xml:space="preserve">..................................................................................................................................................</w:t>
      </w:r>
      <w:r/>
    </w:p>
    <w:p>
      <w:pPr>
        <w:pBdr/>
        <w:spacing/>
        <w:ind w:firstLine="0"/>
        <w:rPr>
          <w:rFonts w:cstheme="minorHAnsi"/>
          <w:color w:val="000000" w:themeColor="text1"/>
          <w:szCs w:val="22"/>
        </w:rPr>
      </w:pPr>
      <w:r>
        <w:rPr>
          <w:rFonts w:cstheme="minorHAnsi"/>
          <w:color w:val="000000" w:themeColor="text1"/>
          <w:szCs w:val="22"/>
        </w:rPr>
      </w:r>
      <w:r>
        <w:rPr>
          <w:rFonts w:cstheme="minorHAnsi"/>
          <w:color w:val="000000" w:themeColor="text1"/>
          <w:szCs w:val="22"/>
        </w:rPr>
      </w:r>
    </w:p>
    <w:p>
      <w:pPr>
        <w:pBdr/>
        <w:spacing/>
        <w:ind w:firstLine="0"/>
        <w:rPr>
          <w:rFonts w:cstheme="minorHAnsi"/>
          <w:color w:val="000000" w:themeColor="text1"/>
          <w:szCs w:val="22"/>
        </w:rPr>
      </w:pPr>
      <w:r>
        <w:rPr>
          <w:rFonts w:cstheme="minorHAnsi"/>
          <w:color w:val="000000" w:themeColor="text1"/>
          <w:szCs w:val="22"/>
        </w:rPr>
        <w:t xml:space="preserve">Solomon afirmă că</w:t>
      </w:r>
      <w:r>
        <w:rPr>
          <w:rFonts w:cstheme="minorHAnsi"/>
          <w:color w:val="000000" w:themeColor="text1"/>
          <w:szCs w:val="22"/>
        </w:rPr>
        <w:t xml:space="preserve"> „</w:t>
      </w:r>
      <w:r>
        <w:rPr>
          <w:rFonts w:cstheme="minorHAnsi"/>
          <w:color w:val="000000" w:themeColor="text1"/>
          <w:szCs w:val="22"/>
        </w:rPr>
        <w:t xml:space="preserve">dragostea acoperă toate greșelile” (v. 12). Care este semnificația acestei expresii și cum trebuie ea aplicată</w:t>
      </w:r>
      <w:r>
        <w:rPr>
          <w:rFonts w:cstheme="minorHAnsi"/>
          <w:color w:val="000000" w:themeColor="text1"/>
          <w:szCs w:val="22"/>
        </w:rPr>
        <w:t xml:space="preserve">?</w:t>
      </w:r>
      <w:r>
        <w:rPr>
          <w:rFonts w:cstheme="minorHAnsi"/>
          <w:color w:val="000000" w:themeColor="text1"/>
          <w:szCs w:val="22"/>
        </w:rPr>
      </w:r>
    </w:p>
    <w:p>
      <w:pPr>
        <w:pBdr/>
        <w:spacing/>
        <w:ind w:firstLine="0"/>
        <w:rPr/>
      </w:pPr>
      <w:r>
        <w:t xml:space="preserve">..................................................................................................................................................</w:t>
      </w:r>
      <w:r/>
    </w:p>
    <w:p>
      <w:pPr>
        <w:pBdr/>
        <w:spacing/>
        <w:ind w:firstLine="0"/>
        <w:rPr/>
      </w:pPr>
      <w:r>
        <w:t xml:space="preserve">..................................................................................................................................................</w:t>
      </w:r>
      <w:r/>
    </w:p>
    <w:p>
      <w:pPr>
        <w:pBdr/>
        <w:spacing/>
        <w:ind w:firstLine="0"/>
        <w:rPr>
          <w:rFonts w:cstheme="minorHAnsi"/>
          <w:color w:val="000000" w:themeColor="text1"/>
          <w:szCs w:val="22"/>
        </w:rPr>
      </w:pPr>
      <w:r>
        <w:t xml:space="preserve">..................................................................................................................................................</w:t>
      </w:r>
      <w:r>
        <w:rPr>
          <w:rFonts w:cstheme="minorHAnsi"/>
          <w:color w:val="000000" w:themeColor="text1"/>
          <w:szCs w:val="22"/>
        </w:rPr>
      </w:r>
    </w:p>
    <w:sectPr>
      <w:headerReference w:type="default" r:id="rId15"/>
      <w:headerReference w:type="even" r:id="rId16"/>
      <w:headerReference w:type="first" r:id="rId17"/>
      <w:footnotePr/>
      <w:endnotePr/>
      <w:type w:val="nextPage"/>
      <w:pgSz w:h="10772" w:orient="portrait" w:w="9071"/>
      <w:pgMar w:top="737" w:right="850" w:bottom="567" w:left="850" w:header="680" w:footer="0" w:gutter="0"/>
      <w:cols w:num="1" w:sep="0" w:space="720" w:equalWidth="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line="240" w:lineRule="auto"/>
        <w:ind/>
        <w:rPr/>
      </w:pPr>
      <w:r>
        <w:separator/>
      </w:r>
      <w:r/>
    </w:p>
  </w:endnote>
  <w:endnote w:type="continuationSeparator" w:id="0">
    <w:p>
      <w:pPr>
        <w:pBdr/>
        <w:spacing w:after="0" w:line="240" w:lineRule="auto"/>
        <w:ind/>
        <w:rPr/>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egoe UI Black">
    <w:panose1 w:val="020B0A02040204020203"/>
  </w:font>
  <w:font w:name="Symbol">
    <w:panose1 w:val="05050102010706020507"/>
  </w:font>
  <w:font w:name="Calibri">
    <w:panose1 w:val="020F0502020204030204"/>
  </w:font>
  <w:font w:name="Liberation Mono">
    <w:panose1 w:val="02070409020205020404"/>
  </w:font>
  <w:font w:name="Cambria">
    <w:panose1 w:val="02040503050406030204"/>
  </w:font>
  <w:font w:name="Cambria Math">
    <w:panose1 w:val="02040503050406030204"/>
  </w:font>
  <w:font w:name="Calibri Light">
    <w:panose1 w:val="020F0302020204030204"/>
  </w:font>
  <w:font w:name="Liberation Serif">
    <w:panose1 w:val="02020603050405020304"/>
  </w:font>
  <w:font w:name="MS Gothic">
    <w:panose1 w:val="020B0609070205080204"/>
  </w:font>
  <w:font w:name="Times New Roman">
    <w:panose1 w:val="02020603050405020304"/>
  </w:font>
  <w:font w:name="Courier New">
    <w:panose1 w:val="02070309020205020404"/>
  </w:font>
  <w:font w:name="Mangal">
    <w:panose1 w:val="00000400000000000000"/>
  </w:font>
  <w:font w:name="New Century Schoolbook">
    <w:panose1 w:val="02040603050705020304"/>
  </w:font>
  <w:font w:name="Tahoma">
    <w:panose1 w:val="020B0604030504040204"/>
  </w:font>
  <w:font w:name="NSimSun">
    <w:panose1 w:val="02010609030101010101"/>
  </w:font>
  <w:font w:name="Arial">
    <w:panose1 w:val="020B0604020202020204"/>
  </w:font>
  <w:font w:name="Lohit Hindi">
    <w:panose1 w:val="05050102010205020202"/>
  </w:font>
  <w:font w:name="DejaVu Sans">
    <w:panose1 w:val="020B0603030804020204"/>
  </w:font>
  <w:font w:name="Gentium">
    <w:panose1 w:val="020005030600000200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line="240" w:lineRule="auto"/>
        <w:ind/>
        <w:rPr/>
      </w:pPr>
      <w:r>
        <w:separator/>
      </w:r>
      <w:r/>
    </w:p>
  </w:footnote>
  <w:footnote w:type="continuationSeparator" w:id="0">
    <w:p>
      <w:pPr>
        <w:pBdr/>
        <w:spacing w:after="0" w:line="240" w:lineRule="auto"/>
        <w:ind/>
        <w:rPr/>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230"/>
      <w:pBdr/>
      <w:tabs>
        <w:tab w:val="clear" w:leader="none" w:pos="6379"/>
        <w:tab w:val="right" w:leader="none" w:pos="7105"/>
        <w:tab w:val="left" w:leader="none" w:pos="7200"/>
        <w:tab w:val="left" w:leader="none" w:pos="7227"/>
      </w:tabs>
      <w:spacing/>
      <w:ind w:right="0" w:firstLine="0"/>
      <w:rPr>
        <w:rFonts w:ascii="Gentium" w:hAnsi="Gentium"/>
      </w:rPr>
    </w:pPr>
    <w:r>
      <w:rPr>
        <w:rFonts w:ascii="Gentium" w:hAnsi="Gentium"/>
        <w:i/>
        <w:iCs/>
      </w:rPr>
      <w:t xml:space="preserve">Ghid Proverbe </w:t>
    </w:r>
    <w:r>
      <w:rPr>
        <w:rFonts w:ascii="Gentium" w:hAnsi="Gentium"/>
      </w:rPr>
      <w:tab/>
      <w:t xml:space="preserve">                           </w:t>
    </w:r>
    <w:r>
      <w:rPr>
        <w:rFonts w:ascii="Gentium" w:hAnsi="Gentium"/>
        <w:lang w:eastAsia="ro-RO"/>
      </w:rPr>
      <w:fldChar w:fldCharType="begin"/>
    </w:r>
    <w:r>
      <w:rPr>
        <w:rFonts w:ascii="Gentium" w:hAnsi="Gentium"/>
        <w:lang w:eastAsia="ro-RO"/>
      </w:rPr>
      <w:instrText xml:space="preserve"> PAGE </w:instrText>
    </w:r>
    <w:r>
      <w:rPr>
        <w:rFonts w:ascii="Gentium" w:hAnsi="Gentium"/>
        <w:lang w:eastAsia="ro-RO"/>
      </w:rPr>
      <w:fldChar w:fldCharType="separate"/>
    </w:r>
    <w:r>
      <w:rPr>
        <w:rFonts w:ascii="Gentium" w:hAnsi="Gentium"/>
        <w:lang w:eastAsia="ro-RO"/>
      </w:rPr>
      <w:t xml:space="preserve">2</w:t>
    </w:r>
    <w:r>
      <w:rPr>
        <w:rFonts w:ascii="Gentium" w:hAnsi="Gentium"/>
        <w:lang w:eastAsia="ro-RO"/>
      </w:rPr>
      <w:fldChar w:fldCharType="end"/>
    </w:r>
    <w:r>
      <w:rPr>
        <w:rFonts w:ascii="Gentium" w:hAnsi="Gentium"/>
      </w:rPr>
    </w:r>
  </w:p>
  <w:p>
    <w:pPr>
      <w:pStyle w:val="1230"/>
      <w:pBdr/>
      <w:spacing/>
      <w:ind w:firstLine="0"/>
      <w:rPr/>
    </w:pPr>
    <w:r>
      <w:rPr>
        <w:rFonts w:ascii="Gentium" w:hAnsi="Gentium"/>
      </w:rPr>
      <w:t xml:space="preserve">    </w:t>
    </w:r>
    <w:r/>
  </w:p>
  <w:p>
    <w:pPr>
      <w:pStyle w:val="1230"/>
      <w:pBdr/>
      <w:spacing/>
      <w:ind w:firstLine="0"/>
      <w:rPr>
        <w:rFonts w:ascii="Gentium" w:hAnsi="Gentium"/>
      </w:rPr>
    </w:pPr>
    <w:r>
      <w:rPr>
        <w:rFonts w:ascii="Gentium" w:hAnsi="Gentium"/>
      </w:rPr>
    </w:r>
    <w:r>
      <w:rPr>
        <w:rFonts w:ascii="Gentium" w:hAnsi="Gentium"/>
      </w:rP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228"/>
      <w:pBdr/>
      <w:spacing/>
      <w:ind w:right="28" w:firstLine="0"/>
      <w:jc w:val="left"/>
      <w:rPr/>
    </w:pPr>
    <w:r>
      <w:rPr>
        <w:rStyle w:val="1165"/>
        <w:rFonts w:cs="New Century Schoolbook"/>
        <w:i/>
        <w:iCs/>
      </w:rPr>
      <w:fldChar w:fldCharType="begin"/>
    </w:r>
    <w:r>
      <w:rPr>
        <w:rStyle w:val="1165"/>
        <w:rFonts w:cs="New Century Schoolbook"/>
        <w:i/>
        <w:iCs/>
      </w:rPr>
      <w:instrText xml:space="preserve"> PAGE </w:instrText>
    </w:r>
    <w:r>
      <w:rPr>
        <w:rStyle w:val="1165"/>
        <w:rFonts w:cs="New Century Schoolbook"/>
        <w:i/>
        <w:iCs/>
      </w:rPr>
      <w:fldChar w:fldCharType="separate"/>
    </w:r>
    <w:r>
      <w:rPr>
        <w:rStyle w:val="1165"/>
        <w:rFonts w:cs="New Century Schoolbook"/>
        <w:i/>
        <w:iCs/>
      </w:rPr>
      <w:t xml:space="preserve">0</w:t>
    </w:r>
    <w:r>
      <w:rPr>
        <w:rStyle w:val="1165"/>
        <w:rFonts w:cs="New Century Schoolbook"/>
        <w:i/>
        <w:iCs/>
      </w:rPr>
      <w:fldChar w:fldCharType="end"/>
    </w:r>
    <w:r>
      <w:rPr>
        <w:rStyle w:val="1165"/>
        <w:rFonts w:eastAsia="New Century Schoolbook" w:cs="New Century Schoolbook"/>
        <w:i/>
        <w:iCs/>
      </w:rPr>
      <w:t xml:space="preserve"> </w:t>
    </w:r>
    <w:r>
      <w:rPr>
        <w:rStyle w:val="1165"/>
        <w:rFonts w:eastAsia="New Century Schoolbook" w:cs="New Century Schoolbook"/>
      </w:rPr>
      <w:t xml:space="preserve">                                                                                                                                          </w:t>
    </w:r>
    <w:r>
      <w:rPr>
        <w:rStyle w:val="1165"/>
        <w:rFonts w:eastAsia="New Century Schoolbook" w:cs="New Century Schoolbook"/>
        <w:i/>
        <w:iCs/>
      </w:rPr>
      <w:t xml:space="preserve">Ghid studiu 2 Corinteni</w:t>
    </w:r>
    <w:r/>
  </w:p>
  <w:p>
    <w:pPr>
      <w:pStyle w:val="1228"/>
      <w:pBdr/>
      <w:spacing/>
      <w:ind w:right="28" w:firstLine="0"/>
      <w:jc w:val="left"/>
      <w:rPr/>
    </w:pPr>
    <w:r>
      <w:rPr>
        <w:rStyle w:val="1165"/>
        <w:rFonts w:cs="New Century Schoolbook"/>
      </w:rPr>
      <w:t xml:space="preserve"> </w:t>
    </w:r>
    <w:r>
      <w:rPr>
        <w:rStyle w:val="1165"/>
        <w:rFonts w:cs="New Century Schoolbook"/>
        <w:sz w:val="20"/>
        <w:szCs w:val="20"/>
        <w:lang w:eastAsia="zh-CN"/>
      </w:rPr>
      <w:tab/>
    </w: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230"/>
      <w:pBdr/>
      <w:tabs>
        <w:tab w:val="clear" w:leader="none" w:pos="6379"/>
        <w:tab w:val="right" w:leader="none" w:pos="7105"/>
        <w:tab w:val="left" w:leader="none" w:pos="7200"/>
        <w:tab w:val="left" w:leader="none" w:pos="7227"/>
      </w:tabs>
      <w:spacing/>
      <w:ind w:right="0" w:firstLine="0"/>
      <w:rPr>
        <w:rFonts w:ascii="Gentium" w:hAnsi="Gentium"/>
      </w:rPr>
    </w:pPr>
    <w:r>
      <w:rPr>
        <w:rFonts w:ascii="Gentium" w:hAnsi="Gentium"/>
        <w:i/>
        <w:iCs/>
      </w:rPr>
      <w:t xml:space="preserve">Ghid Proverbe </w:t>
    </w:r>
    <w:r>
      <w:rPr>
        <w:rFonts w:ascii="Gentium" w:hAnsi="Gentium"/>
      </w:rPr>
      <w:tab/>
      <w:t xml:space="preserve">                           </w:t>
    </w:r>
    <w:r>
      <w:rPr>
        <w:rFonts w:ascii="Gentium" w:hAnsi="Gentium"/>
        <w:lang w:eastAsia="ro-RO"/>
      </w:rPr>
      <w:fldChar w:fldCharType="begin"/>
    </w:r>
    <w:r>
      <w:rPr>
        <w:rFonts w:ascii="Gentium" w:hAnsi="Gentium"/>
        <w:lang w:eastAsia="ro-RO"/>
      </w:rPr>
      <w:instrText xml:space="preserve"> PAGE </w:instrText>
    </w:r>
    <w:r>
      <w:rPr>
        <w:rFonts w:ascii="Gentium" w:hAnsi="Gentium"/>
        <w:lang w:eastAsia="ro-RO"/>
      </w:rPr>
      <w:fldChar w:fldCharType="separate"/>
    </w:r>
    <w:r>
      <w:rPr>
        <w:rFonts w:ascii="Gentium" w:hAnsi="Gentium"/>
        <w:lang w:eastAsia="ro-RO"/>
      </w:rPr>
      <w:t xml:space="preserve">1</w:t>
    </w:r>
    <w:r>
      <w:rPr>
        <w:rFonts w:ascii="Gentium" w:hAnsi="Gentium"/>
        <w:lang w:eastAsia="ro-RO"/>
      </w:rPr>
      <w:fldChar w:fldCharType="end"/>
    </w:r>
    <w:r>
      <w:rPr>
        <w:rFonts w:ascii="Gentium" w:hAnsi="Gentium"/>
      </w:rPr>
    </w:r>
  </w:p>
  <w:p>
    <w:pPr>
      <w:pStyle w:val="1230"/>
      <w:pBdr/>
      <w:spacing/>
      <w:ind w:firstLine="0"/>
      <w:rPr/>
    </w:pPr>
    <w:r>
      <w:rPr>
        <w:rFonts w:ascii="Gentium" w:hAnsi="Gentium"/>
      </w:rPr>
      <w:t xml:space="preserve">    </w:t>
    </w:r>
    <w:r/>
  </w:p>
  <w:p>
    <w:pPr>
      <w:pStyle w:val="1230"/>
      <w:pBdr/>
      <w:spacing/>
      <w:ind w:firstLine="0"/>
      <w:rPr>
        <w:rFonts w:ascii="Gentium" w:hAnsi="Gentium"/>
      </w:rPr>
    </w:pPr>
    <w:r>
      <w:rPr>
        <w:rFonts w:ascii="Gentium" w:hAnsi="Gentium"/>
      </w:rPr>
    </w:r>
    <w:r>
      <w:rPr>
        <w:rFonts w:ascii="Gentium" w:hAnsi="Gentium"/>
      </w:rPr>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230"/>
      <w:pBdr/>
      <w:tabs>
        <w:tab w:val="clear" w:leader="none" w:pos="6379"/>
        <w:tab w:val="right" w:leader="none" w:pos="7105"/>
        <w:tab w:val="left" w:leader="none" w:pos="7200"/>
        <w:tab w:val="left" w:leader="none" w:pos="7227"/>
      </w:tabs>
      <w:spacing/>
      <w:ind w:right="0" w:firstLine="0"/>
      <w:rPr>
        <w:rFonts w:ascii="Gentium" w:hAnsi="Gentium"/>
      </w:rPr>
    </w:pPr>
    <w:r>
      <w:rPr>
        <w:rFonts w:ascii="Gentium" w:hAnsi="Gentium"/>
        <w:i/>
        <w:iCs/>
      </w:rPr>
      <w:t xml:space="preserve">Ghid studiu Evanghelia după Marcu</w:t>
    </w:r>
    <w:r>
      <w:rPr>
        <w:rFonts w:ascii="Gentium" w:hAnsi="Gentium"/>
      </w:rPr>
      <w:tab/>
      <w:t xml:space="preserve">                           </w:t>
    </w:r>
    <w:r>
      <w:rPr>
        <w:rFonts w:ascii="Gentium" w:hAnsi="Gentium"/>
        <w:lang w:eastAsia="ro-RO"/>
      </w:rPr>
      <w:fldChar w:fldCharType="begin"/>
    </w:r>
    <w:r>
      <w:rPr>
        <w:rFonts w:ascii="Gentium" w:hAnsi="Gentium"/>
        <w:lang w:eastAsia="ro-RO"/>
      </w:rPr>
      <w:instrText xml:space="preserve"> PAGE </w:instrText>
    </w:r>
    <w:r>
      <w:rPr>
        <w:rFonts w:ascii="Gentium" w:hAnsi="Gentium"/>
        <w:lang w:eastAsia="ro-RO"/>
      </w:rPr>
      <w:fldChar w:fldCharType="separate"/>
    </w:r>
    <w:r>
      <w:rPr>
        <w:rFonts w:ascii="Gentium" w:hAnsi="Gentium"/>
        <w:lang w:eastAsia="ro-RO"/>
      </w:rPr>
      <w:t xml:space="preserve">3</w:t>
    </w:r>
    <w:r>
      <w:rPr>
        <w:rFonts w:ascii="Gentium" w:hAnsi="Gentium"/>
        <w:lang w:eastAsia="ro-RO"/>
      </w:rPr>
      <w:fldChar w:fldCharType="end"/>
    </w:r>
    <w:r>
      <w:rPr>
        <w:rFonts w:ascii="Gentium" w:hAnsi="Gentium"/>
      </w:rPr>
    </w:r>
  </w:p>
  <w:p>
    <w:pPr>
      <w:pStyle w:val="1230"/>
      <w:pBdr/>
      <w:spacing/>
      <w:ind w:firstLine="0"/>
      <w:rPr/>
    </w:pPr>
    <w:r>
      <w:rPr>
        <w:rFonts w:ascii="Gentium" w:hAnsi="Gentium"/>
      </w:rPr>
      <w:t xml:space="preserve">    </w:t>
    </w:r>
    <w:r/>
  </w:p>
  <w:p>
    <w:pPr>
      <w:pStyle w:val="1230"/>
      <w:pBdr/>
      <w:spacing/>
      <w:ind w:firstLine="0"/>
      <w:rPr>
        <w:rFonts w:ascii="Gentium" w:hAnsi="Gentium"/>
      </w:rPr>
    </w:pPr>
    <w:r>
      <w:rPr>
        <w:rFonts w:ascii="Gentium" w:hAnsi="Gentium"/>
      </w:rPr>
    </w:r>
    <w:r>
      <w:rPr>
        <w:rFonts w:ascii="Gentium" w:hAnsi="Gentium"/>
      </w:rPr>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228"/>
      <w:pBdr/>
      <w:spacing/>
      <w:ind w:right="28" w:firstLine="0"/>
      <w:jc w:val="left"/>
      <w:rPr/>
    </w:pPr>
    <w:r>
      <w:rPr>
        <w:rStyle w:val="1165"/>
        <w:rFonts w:cs="New Century Schoolbook"/>
        <w:i/>
        <w:iCs/>
      </w:rPr>
      <w:fldChar w:fldCharType="begin"/>
    </w:r>
    <w:r>
      <w:rPr>
        <w:rStyle w:val="1165"/>
        <w:rFonts w:cs="New Century Schoolbook"/>
        <w:i/>
        <w:iCs/>
      </w:rPr>
      <w:instrText xml:space="preserve"> PAGE </w:instrText>
    </w:r>
    <w:r>
      <w:rPr>
        <w:rStyle w:val="1165"/>
        <w:rFonts w:cs="New Century Schoolbook"/>
        <w:i/>
        <w:iCs/>
      </w:rPr>
      <w:fldChar w:fldCharType="separate"/>
    </w:r>
    <w:r>
      <w:rPr>
        <w:rStyle w:val="1165"/>
        <w:rFonts w:cs="New Century Schoolbook"/>
        <w:i/>
        <w:iCs/>
      </w:rPr>
      <w:t xml:space="preserve">0</w:t>
    </w:r>
    <w:r>
      <w:rPr>
        <w:rStyle w:val="1165"/>
        <w:rFonts w:cs="New Century Schoolbook"/>
        <w:i/>
        <w:iCs/>
      </w:rPr>
      <w:fldChar w:fldCharType="end"/>
    </w:r>
    <w:r>
      <w:rPr>
        <w:rStyle w:val="1165"/>
        <w:rFonts w:eastAsia="New Century Schoolbook" w:cs="New Century Schoolbook"/>
        <w:i/>
        <w:iCs/>
      </w:rPr>
      <w:t xml:space="preserve"> </w:t>
    </w:r>
    <w:r>
      <w:rPr>
        <w:rStyle w:val="1165"/>
        <w:rFonts w:eastAsia="New Century Schoolbook" w:cs="New Century Schoolbook"/>
      </w:rPr>
      <w:t xml:space="preserve">                                                                                                                                          </w:t>
    </w:r>
    <w:r>
      <w:rPr>
        <w:rStyle w:val="1165"/>
        <w:rFonts w:eastAsia="New Century Schoolbook" w:cs="New Century Schoolbook"/>
        <w:i/>
        <w:iCs/>
      </w:rPr>
      <w:t xml:space="preserve">Ghid studiu 2 Corinteni</w:t>
    </w:r>
    <w:r/>
  </w:p>
  <w:p>
    <w:pPr>
      <w:pStyle w:val="1228"/>
      <w:pBdr/>
      <w:spacing/>
      <w:ind w:right="28" w:firstLine="0"/>
      <w:jc w:val="left"/>
      <w:rPr/>
    </w:pPr>
    <w:r>
      <w:rPr>
        <w:rStyle w:val="1165"/>
        <w:rFonts w:cs="New Century Schoolbook"/>
      </w:rPr>
      <w:t xml:space="preserve"> </w:t>
    </w:r>
    <w:r>
      <w:rPr>
        <w:rStyle w:val="1165"/>
        <w:rFonts w:cs="New Century Schoolbook"/>
        <w:sz w:val="20"/>
        <w:szCs w:val="20"/>
        <w:lang w:eastAsia="zh-CN"/>
      </w:rPr>
      <w:tab/>
    </w:r>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230"/>
      <w:pBdr/>
      <w:tabs>
        <w:tab w:val="clear" w:leader="none" w:pos="6379"/>
        <w:tab w:val="right" w:leader="none" w:pos="7105"/>
        <w:tab w:val="left" w:leader="none" w:pos="7200"/>
        <w:tab w:val="left" w:leader="none" w:pos="7227"/>
      </w:tabs>
      <w:spacing/>
      <w:ind w:right="0" w:firstLine="0"/>
      <w:rPr>
        <w:rFonts w:ascii="Gentium" w:hAnsi="Gentium"/>
      </w:rPr>
    </w:pPr>
    <w:r>
      <w:rPr>
        <w:rFonts w:ascii="Gentium" w:hAnsi="Gentium"/>
        <w:i/>
        <w:iCs/>
      </w:rPr>
      <w:t xml:space="preserve">Ghid studiu Evanghelia după Marcu</w:t>
    </w:r>
    <w:r>
      <w:rPr>
        <w:rFonts w:ascii="Gentium" w:hAnsi="Gentium"/>
      </w:rPr>
      <w:tab/>
      <w:t xml:space="preserve">                           </w:t>
    </w:r>
    <w:r>
      <w:rPr>
        <w:rFonts w:ascii="Gentium" w:hAnsi="Gentium"/>
        <w:lang w:eastAsia="ro-RO"/>
      </w:rPr>
      <w:fldChar w:fldCharType="begin"/>
    </w:r>
    <w:r>
      <w:rPr>
        <w:rFonts w:ascii="Gentium" w:hAnsi="Gentium"/>
        <w:lang w:eastAsia="ro-RO"/>
      </w:rPr>
      <w:instrText xml:space="preserve"> PAGE </w:instrText>
    </w:r>
    <w:r>
      <w:rPr>
        <w:rFonts w:ascii="Gentium" w:hAnsi="Gentium"/>
        <w:lang w:eastAsia="ro-RO"/>
      </w:rPr>
      <w:fldChar w:fldCharType="separate"/>
    </w:r>
    <w:r>
      <w:rPr>
        <w:rFonts w:ascii="Gentium" w:hAnsi="Gentium"/>
        <w:lang w:eastAsia="ro-RO"/>
      </w:rPr>
      <w:t xml:space="preserve">2</w:t>
    </w:r>
    <w:r>
      <w:rPr>
        <w:rFonts w:ascii="Gentium" w:hAnsi="Gentium"/>
        <w:lang w:eastAsia="ro-RO"/>
      </w:rPr>
      <w:fldChar w:fldCharType="end"/>
    </w:r>
    <w:r>
      <w:rPr>
        <w:rFonts w:ascii="Gentium" w:hAnsi="Gentium"/>
      </w:rPr>
    </w:r>
  </w:p>
  <w:p>
    <w:pPr>
      <w:pStyle w:val="1230"/>
      <w:pBdr/>
      <w:spacing/>
      <w:ind w:firstLine="0"/>
      <w:rPr/>
    </w:pPr>
    <w:r>
      <w:rPr>
        <w:rFonts w:ascii="Gentium" w:hAnsi="Gentium"/>
      </w:rPr>
      <w:t xml:space="preserve">    </w:t>
    </w:r>
    <w:r/>
  </w:p>
  <w:p>
    <w:pPr>
      <w:pStyle w:val="1230"/>
      <w:pBdr/>
      <w:spacing/>
      <w:ind w:firstLine="0"/>
      <w:rPr>
        <w:rFonts w:ascii="Gentium" w:hAnsi="Gentium"/>
      </w:rPr>
    </w:pPr>
    <w:r>
      <w:rPr>
        <w:rFonts w:ascii="Gentium" w:hAnsi="Gentium"/>
      </w:rPr>
    </w:r>
    <w:r>
      <w:rPr>
        <w:rFonts w:ascii="Gentium" w:hAnsi="Gentium"/>
      </w:rPr>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230"/>
      <w:pBdr/>
      <w:tabs>
        <w:tab w:val="clear" w:leader="none" w:pos="6379"/>
        <w:tab w:val="right" w:leader="none" w:pos="7105"/>
        <w:tab w:val="left" w:leader="none" w:pos="7200"/>
        <w:tab w:val="left" w:leader="none" w:pos="7227"/>
      </w:tabs>
      <w:spacing/>
      <w:ind w:right="0" w:firstLine="0"/>
      <w:rPr>
        <w:rFonts w:ascii="Gentium" w:hAnsi="Gentium"/>
      </w:rPr>
    </w:pPr>
    <w:r>
      <w:rPr>
        <w:rFonts w:ascii="Gentium" w:hAnsi="Gentium"/>
        <w:i/>
        <w:iCs/>
      </w:rPr>
      <w:t xml:space="preserve">Ghid Proverbe</w:t>
    </w:r>
    <w:r>
      <w:rPr>
        <w:rFonts w:ascii="Gentium" w:hAnsi="Gentium"/>
      </w:rPr>
      <w:tab/>
      <w:t xml:space="preserve">                              </w:t>
    </w:r>
    <w:r>
      <w:rPr>
        <w:rFonts w:ascii="Gentium" w:hAnsi="Gentium"/>
        <w:lang w:eastAsia="ro-RO"/>
      </w:rPr>
      <w:fldChar w:fldCharType="begin"/>
    </w:r>
    <w:r>
      <w:rPr>
        <w:rFonts w:ascii="Gentium" w:hAnsi="Gentium"/>
        <w:lang w:eastAsia="ro-RO"/>
      </w:rPr>
      <w:instrText xml:space="preserve"> PAGE </w:instrText>
    </w:r>
    <w:r>
      <w:rPr>
        <w:rFonts w:ascii="Gentium" w:hAnsi="Gentium"/>
        <w:lang w:eastAsia="ro-RO"/>
      </w:rPr>
      <w:fldChar w:fldCharType="separate"/>
    </w:r>
    <w:r>
      <w:rPr>
        <w:rFonts w:ascii="Gentium" w:hAnsi="Gentium"/>
        <w:lang w:eastAsia="ro-RO"/>
      </w:rPr>
      <w:t xml:space="preserve">5</w:t>
    </w:r>
    <w:r>
      <w:rPr>
        <w:rFonts w:ascii="Gentium" w:hAnsi="Gentium"/>
        <w:lang w:eastAsia="ro-RO"/>
      </w:rPr>
      <w:fldChar w:fldCharType="end"/>
    </w:r>
    <w:r>
      <w:rPr>
        <w:rFonts w:ascii="Gentium" w:hAnsi="Gentium"/>
      </w:rPr>
    </w:r>
  </w:p>
  <w:p>
    <w:pPr>
      <w:pStyle w:val="1230"/>
      <w:pBdr/>
      <w:spacing/>
      <w:ind w:firstLine="0"/>
      <w:rPr/>
    </w:pPr>
    <w:r>
      <w:rPr>
        <w:rFonts w:ascii="Gentium" w:hAnsi="Gentium"/>
      </w:rPr>
      <w:t xml:space="preserve">    </w:t>
    </w:r>
    <w:r/>
  </w:p>
  <w:p>
    <w:pPr>
      <w:pStyle w:val="1230"/>
      <w:pBdr/>
      <w:spacing/>
      <w:ind w:firstLine="0"/>
      <w:rPr>
        <w:rFonts w:ascii="Gentium" w:hAnsi="Gentium"/>
      </w:rPr>
    </w:pPr>
    <w:r>
      <w:rPr>
        <w:rFonts w:ascii="Gentium" w:hAnsi="Gentium"/>
      </w:rPr>
    </w:r>
    <w:r>
      <w:rPr>
        <w:rFonts w:ascii="Gentium" w:hAnsi="Gentium"/>
      </w:rPr>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228"/>
      <w:pBdr/>
      <w:spacing/>
      <w:ind w:right="28" w:firstLine="0"/>
      <w:jc w:val="left"/>
      <w:rPr/>
    </w:pPr>
    <w:r>
      <w:rPr>
        <w:rStyle w:val="1165"/>
        <w:rFonts w:cs="New Century Schoolbook"/>
        <w:i/>
        <w:iCs/>
      </w:rPr>
      <w:fldChar w:fldCharType="begin"/>
    </w:r>
    <w:r>
      <w:rPr>
        <w:rStyle w:val="1165"/>
        <w:rFonts w:cs="New Century Schoolbook"/>
        <w:i/>
        <w:iCs/>
      </w:rPr>
      <w:instrText xml:space="preserve"> PAGE </w:instrText>
    </w:r>
    <w:r>
      <w:rPr>
        <w:rStyle w:val="1165"/>
        <w:rFonts w:cs="New Century Schoolbook"/>
        <w:i/>
        <w:iCs/>
      </w:rPr>
      <w:fldChar w:fldCharType="separate"/>
    </w:r>
    <w:r>
      <w:rPr>
        <w:rStyle w:val="1165"/>
        <w:rFonts w:cs="New Century Schoolbook"/>
        <w:i/>
        <w:iCs/>
      </w:rPr>
      <w:t xml:space="preserve">0</w:t>
    </w:r>
    <w:r>
      <w:rPr>
        <w:rStyle w:val="1165"/>
        <w:rFonts w:cs="New Century Schoolbook"/>
        <w:i/>
        <w:iCs/>
      </w:rPr>
      <w:fldChar w:fldCharType="end"/>
    </w:r>
    <w:r>
      <w:rPr>
        <w:rStyle w:val="1165"/>
        <w:rFonts w:eastAsia="New Century Schoolbook" w:cs="New Century Schoolbook"/>
        <w:i/>
        <w:iCs/>
      </w:rPr>
      <w:t xml:space="preserve"> </w:t>
    </w:r>
    <w:r>
      <w:rPr>
        <w:rStyle w:val="1165"/>
        <w:rFonts w:eastAsia="New Century Schoolbook" w:cs="New Century Schoolbook"/>
      </w:rPr>
      <w:t xml:space="preserve">                                                                                                                                          </w:t>
    </w:r>
    <w:r>
      <w:rPr>
        <w:rStyle w:val="1165"/>
        <w:rFonts w:eastAsia="New Century Schoolbook" w:cs="New Century Schoolbook"/>
        <w:i/>
        <w:iCs/>
      </w:rPr>
      <w:t xml:space="preserve">Ghid studiu 2 Corinteni</w:t>
    </w:r>
    <w:r/>
  </w:p>
  <w:p>
    <w:pPr>
      <w:pStyle w:val="1228"/>
      <w:pBdr/>
      <w:spacing/>
      <w:ind w:right="28" w:firstLine="0"/>
      <w:jc w:val="left"/>
      <w:rPr/>
    </w:pPr>
    <w:r>
      <w:rPr>
        <w:rStyle w:val="1165"/>
        <w:rFonts w:cs="New Century Schoolbook"/>
      </w:rPr>
      <w:t xml:space="preserve"> </w:t>
    </w:r>
    <w:r>
      <w:rPr>
        <w:rStyle w:val="1165"/>
        <w:rFonts w:cs="New Century Schoolbook"/>
        <w:sz w:val="20"/>
        <w:szCs w:val="20"/>
        <w:lang w:eastAsia="zh-CN"/>
      </w:rPr>
      <w:tab/>
    </w:r>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230"/>
      <w:pBdr/>
      <w:tabs>
        <w:tab w:val="clear" w:leader="none" w:pos="6379"/>
        <w:tab w:val="right" w:leader="none" w:pos="7105"/>
        <w:tab w:val="left" w:leader="none" w:pos="7200"/>
        <w:tab w:val="left" w:leader="none" w:pos="7227"/>
      </w:tabs>
      <w:spacing/>
      <w:ind w:right="0" w:firstLine="0"/>
      <w:rPr>
        <w:rFonts w:ascii="Gentium" w:hAnsi="Gentium"/>
      </w:rPr>
    </w:pPr>
    <w:r>
      <w:rPr>
        <w:rFonts w:ascii="Gentium" w:hAnsi="Gentium"/>
        <w:i/>
        <w:iCs/>
      </w:rPr>
      <w:t xml:space="preserve">Ghid Proverbe</w:t>
    </w:r>
    <w:r>
      <w:rPr>
        <w:rFonts w:ascii="Gentium" w:hAnsi="Gentium"/>
      </w:rPr>
      <w:tab/>
      <w:t xml:space="preserve">                           </w:t>
    </w:r>
    <w:r>
      <w:rPr>
        <w:rFonts w:ascii="Gentium" w:hAnsi="Gentium"/>
        <w:lang w:eastAsia="ro-RO"/>
      </w:rPr>
      <w:fldChar w:fldCharType="begin"/>
    </w:r>
    <w:r>
      <w:rPr>
        <w:rFonts w:ascii="Gentium" w:hAnsi="Gentium"/>
        <w:lang w:eastAsia="ro-RO"/>
      </w:rPr>
      <w:instrText xml:space="preserve"> PAGE </w:instrText>
    </w:r>
    <w:r>
      <w:rPr>
        <w:rFonts w:ascii="Gentium" w:hAnsi="Gentium"/>
        <w:lang w:eastAsia="ro-RO"/>
      </w:rPr>
      <w:fldChar w:fldCharType="separate"/>
    </w:r>
    <w:r>
      <w:rPr>
        <w:rFonts w:ascii="Gentium" w:hAnsi="Gentium"/>
        <w:lang w:eastAsia="ro-RO"/>
      </w:rPr>
      <w:t xml:space="preserve">37</w:t>
    </w:r>
    <w:r>
      <w:rPr>
        <w:rFonts w:ascii="Gentium" w:hAnsi="Gentium"/>
        <w:lang w:eastAsia="ro-RO"/>
      </w:rPr>
      <w:fldChar w:fldCharType="end"/>
    </w:r>
    <w:r>
      <w:rPr>
        <w:rFonts w:ascii="Gentium" w:hAnsi="Gentium"/>
      </w:rPr>
    </w:r>
  </w:p>
  <w:p>
    <w:pPr>
      <w:pStyle w:val="1230"/>
      <w:pBdr/>
      <w:spacing/>
      <w:ind w:firstLine="0"/>
      <w:rPr/>
    </w:pPr>
    <w:r>
      <w:rPr>
        <w:rFonts w:ascii="Gentium" w:hAnsi="Gentium"/>
      </w:rPr>
      <w:t xml:space="preserve">    </w:t>
    </w:r>
    <w:r/>
  </w:p>
  <w:p>
    <w:pPr>
      <w:pStyle w:val="1230"/>
      <w:pBdr/>
      <w:spacing/>
      <w:ind w:firstLine="0"/>
      <w:rPr>
        <w:rFonts w:ascii="Gentium" w:hAnsi="Gentium"/>
      </w:rPr>
    </w:pPr>
    <w:r>
      <w:rPr>
        <w:rFonts w:ascii="Gentium" w:hAnsi="Gentium"/>
      </w:rPr>
    </w:r>
    <w:r>
      <w:rPr>
        <w:rFonts w:ascii="Gentium" w:hAnsi="Gentium"/>
      </w:rP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isLgl w:val="false"/>
      <w:lvlJc w:val="left"/>
      <w:lvlText w:val="%1."/>
      <w:numFmt w:val="decimal"/>
      <w:pPr>
        <w:pBdr/>
        <w:spacing/>
        <w:ind w:hanging="360" w:left="709"/>
      </w:pPr>
      <w:rPr/>
      <w:start w:val="1"/>
      <w:suff w:val="tab"/>
    </w:lvl>
    <w:lvl w:ilvl="1">
      <w:isLgl w:val="false"/>
      <w:lvlJc w:val="left"/>
      <w:lvlText w:val="%2."/>
      <w:numFmt w:val="lowerLetter"/>
      <w:pPr>
        <w:pBdr/>
        <w:spacing/>
        <w:ind w:hanging="360" w:left="1429"/>
      </w:pPr>
      <w:rPr/>
      <w:start w:val="1"/>
      <w:suff w:val="tab"/>
    </w:lvl>
    <w:lvl w:ilvl="2">
      <w:isLgl w:val="false"/>
      <w:lvlJc w:val="right"/>
      <w:lvlText w:val="%3."/>
      <w:numFmt w:val="lowerRoman"/>
      <w:pPr>
        <w:pBdr/>
        <w:spacing/>
        <w:ind w:hanging="180" w:left="2149"/>
      </w:pPr>
      <w:rPr/>
      <w:start w:val="1"/>
      <w:suff w:val="tab"/>
    </w:lvl>
    <w:lvl w:ilvl="3">
      <w:isLgl w:val="false"/>
      <w:lvlJc w:val="left"/>
      <w:lvlText w:val="%4."/>
      <w:numFmt w:val="decimal"/>
      <w:pPr>
        <w:pBdr/>
        <w:spacing/>
        <w:ind w:hanging="360" w:left="2869"/>
      </w:pPr>
      <w:rPr/>
      <w:start w:val="1"/>
      <w:suff w:val="tab"/>
    </w:lvl>
    <w:lvl w:ilvl="4">
      <w:isLgl w:val="false"/>
      <w:lvlJc w:val="left"/>
      <w:lvlText w:val="%5."/>
      <w:numFmt w:val="lowerLetter"/>
      <w:pPr>
        <w:pBdr/>
        <w:spacing/>
        <w:ind w:hanging="360" w:left="3589"/>
      </w:pPr>
      <w:rPr/>
      <w:start w:val="1"/>
      <w:suff w:val="tab"/>
    </w:lvl>
    <w:lvl w:ilvl="5">
      <w:isLgl w:val="false"/>
      <w:lvlJc w:val="right"/>
      <w:lvlText w:val="%6."/>
      <w:numFmt w:val="lowerRoman"/>
      <w:pPr>
        <w:pBdr/>
        <w:spacing/>
        <w:ind w:hanging="180" w:left="4309"/>
      </w:pPr>
      <w:rPr/>
      <w:start w:val="1"/>
      <w:suff w:val="tab"/>
    </w:lvl>
    <w:lvl w:ilvl="6">
      <w:isLgl w:val="false"/>
      <w:lvlJc w:val="left"/>
      <w:lvlText w:val="%7."/>
      <w:numFmt w:val="decimal"/>
      <w:pPr>
        <w:pBdr/>
        <w:spacing/>
        <w:ind w:hanging="360" w:left="5029"/>
      </w:pPr>
      <w:rPr/>
      <w:start w:val="1"/>
      <w:suff w:val="tab"/>
    </w:lvl>
    <w:lvl w:ilvl="7">
      <w:isLgl w:val="false"/>
      <w:lvlJc w:val="left"/>
      <w:lvlText w:val="%8."/>
      <w:numFmt w:val="lowerLetter"/>
      <w:pPr>
        <w:pBdr/>
        <w:spacing/>
        <w:ind w:hanging="360" w:left="5749"/>
      </w:pPr>
      <w:rPr/>
      <w:start w:val="1"/>
      <w:suff w:val="tab"/>
    </w:lvl>
    <w:lvl w:ilvl="8">
      <w:isLgl w:val="false"/>
      <w:lvlJc w:val="right"/>
      <w:lvlText w:val="%9."/>
      <w:numFmt w:val="lowerRoman"/>
      <w:pPr>
        <w:pBdr/>
        <w:spacing/>
        <w:ind w:hanging="180" w:left="6469"/>
      </w:pPr>
      <w:rPr/>
      <w:start w:val="1"/>
      <w:suff w:val="tab"/>
    </w:lvl>
  </w:abstractNum>
  <w:abstractNum w:abstractNumId="1">
    <w:lvl w:ilvl="0">
      <w:isLgl w:val="false"/>
      <w:lvlJc w:val="left"/>
      <w:lvlText w:val="%1."/>
      <w:numFmt w:val="upperLetter"/>
      <w:pPr>
        <w:pBdr/>
        <w:spacing/>
        <w:ind w:hanging="360" w:left="720"/>
      </w:pPr>
      <w:rPr>
        <w:rFonts w:hint="default"/>
      </w:rPr>
      <w:start w:val="1"/>
      <w:suff w:val="tab"/>
    </w:lvl>
    <w:lvl w:ilvl="1">
      <w:isLgl w:val="false"/>
      <w:lvlJc w:val="left"/>
      <w:lvlText w:val="%2."/>
      <w:numFmt w:val="lowerLetter"/>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abstractNum w:abstractNumId="2">
    <w:lvl w:ilvl="0">
      <w:isLgl w:val="false"/>
      <w:lvlJc w:val="left"/>
      <w:lvlText w:val="%1."/>
      <w:numFmt w:val="upperLetter"/>
      <w:pPr>
        <w:pBdr/>
        <w:spacing/>
        <w:ind w:hanging="360" w:left="720"/>
      </w:pPr>
      <w:rPr>
        <w:rFonts w:hint="default"/>
      </w:rPr>
      <w:start w:val="1"/>
      <w:suff w:val="tab"/>
    </w:lvl>
    <w:lvl w:ilvl="1">
      <w:isLgl w:val="false"/>
      <w:lvlJc w:val="left"/>
      <w:lvlText w:val="%2."/>
      <w:numFmt w:val="lowerLetter"/>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20"/>
  <w:autoHyphenation w:val="true"/>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en-GB" w:eastAsia="en-GB" w:bidi="ar-SA"/>
      </w:rPr>
    </w:rPrDefault>
    <w:pPrDefault>
      <w:pPr>
        <w:pBdr/>
        <w:spacing/>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65">
    <w:name w:val="Intense Emphasis"/>
    <w:basedOn w:val="891"/>
    <w:uiPriority w:val="21"/>
    <w:qFormat/>
    <w:pPr>
      <w:pBdr/>
      <w:spacing/>
      <w:ind/>
    </w:pPr>
    <w:rPr>
      <w:i/>
      <w:iCs/>
      <w:color w:val="0f4761" w:themeColor="accent1" w:themeShade="BF"/>
    </w:rPr>
  </w:style>
  <w:style w:type="character" w:styleId="168">
    <w:name w:val="Intense Reference"/>
    <w:basedOn w:val="891"/>
    <w:uiPriority w:val="32"/>
    <w:qFormat/>
    <w:pPr>
      <w:pBdr/>
      <w:spacing/>
      <w:ind/>
    </w:pPr>
    <w:rPr>
      <w:b/>
      <w:bCs/>
      <w:smallCaps/>
      <w:color w:val="0f4761" w:themeColor="accent1" w:themeShade="BF"/>
      <w:spacing w:val="5"/>
    </w:rPr>
  </w:style>
  <w:style w:type="character" w:styleId="170">
    <w:name w:val="Subtle Emphasis"/>
    <w:basedOn w:val="891"/>
    <w:uiPriority w:val="19"/>
    <w:qFormat/>
    <w:pPr>
      <w:pBdr/>
      <w:spacing/>
      <w:ind/>
    </w:pPr>
    <w:rPr>
      <w:i/>
      <w:iCs/>
      <w:color w:val="404040" w:themeColor="text1" w:themeTint="BF"/>
    </w:rPr>
  </w:style>
  <w:style w:type="character" w:styleId="173">
    <w:name w:val="Subtle Reference"/>
    <w:basedOn w:val="891"/>
    <w:uiPriority w:val="31"/>
    <w:qFormat/>
    <w:pPr>
      <w:pBdr/>
      <w:spacing/>
      <w:ind/>
    </w:pPr>
    <w:rPr>
      <w:smallCaps/>
      <w:color w:val="5a5a5a" w:themeColor="text1" w:themeTint="A5"/>
    </w:rPr>
  </w:style>
  <w:style w:type="character" w:styleId="174">
    <w:name w:val="Book Title"/>
    <w:basedOn w:val="891"/>
    <w:uiPriority w:val="33"/>
    <w:qFormat/>
    <w:pPr>
      <w:pBdr/>
      <w:spacing/>
      <w:ind/>
    </w:pPr>
    <w:rPr>
      <w:b/>
      <w:bCs/>
      <w:i/>
      <w:iCs/>
      <w:spacing w:val="5"/>
    </w:rPr>
  </w:style>
  <w:style w:type="character" w:styleId="187">
    <w:name w:val="FollowedHyperlink"/>
    <w:basedOn w:val="891"/>
    <w:uiPriority w:val="99"/>
    <w:semiHidden/>
    <w:unhideWhenUsed/>
    <w:pPr>
      <w:pBdr/>
      <w:spacing/>
      <w:ind/>
    </w:pPr>
    <w:rPr>
      <w:color w:val="954f72" w:themeColor="followedHyperlink"/>
      <w:u w:val="single"/>
    </w:rPr>
  </w:style>
  <w:style w:type="paragraph" w:styleId="881" w:default="1">
    <w:name w:val="Normal"/>
    <w:qFormat/>
    <w:pPr>
      <w:pBdr/>
      <w:spacing w:after="86" w:line="173" w:lineRule="atLeast"/>
      <w:ind w:firstLine="576"/>
      <w:jc w:val="both"/>
    </w:pPr>
    <w:rPr>
      <w:rFonts w:ascii="Gentium" w:hAnsi="Gentium" w:eastAsia="DejaVu Sans" w:cs="DejaVu Sans"/>
      <w:sz w:val="22"/>
      <w:szCs w:val="24"/>
      <w:lang w:val="ro-RO" w:eastAsia="en-US"/>
    </w:rPr>
  </w:style>
  <w:style w:type="paragraph" w:styleId="882">
    <w:name w:val="Heading 1"/>
    <w:basedOn w:val="1212"/>
    <w:qFormat/>
    <w:pPr>
      <w:keepNext w:val="true"/>
      <w:pBdr/>
      <w:tabs>
        <w:tab w:val="left" w:leader="none" w:pos="0"/>
        <w:tab w:val="clear" w:leader="none" w:pos="576"/>
        <w:tab w:val="clear" w:leader="none" w:pos="1152"/>
        <w:tab w:val="clear" w:leader="none" w:pos="1440"/>
      </w:tabs>
      <w:spacing/>
      <w:ind w:hanging="432" w:left="432"/>
      <w:outlineLvl w:val="0"/>
    </w:pPr>
    <w:rPr>
      <w:rFonts w:cs="Arial"/>
      <w:b/>
      <w:bCs/>
      <w:szCs w:val="28"/>
      <w:lang w:val="en-GB" w:bidi="he-IL"/>
    </w:rPr>
  </w:style>
  <w:style w:type="paragraph" w:styleId="883">
    <w:name w:val="Heading 2"/>
    <w:basedOn w:val="1212"/>
    <w:qFormat/>
    <w:pPr>
      <w:keepNext w:val="true"/>
      <w:pBdr/>
      <w:tabs>
        <w:tab w:val="left" w:leader="none" w:pos="0"/>
        <w:tab w:val="clear" w:leader="none" w:pos="576"/>
        <w:tab w:val="clear" w:leader="none" w:pos="1152"/>
        <w:tab w:val="clear" w:leader="none" w:pos="1440"/>
      </w:tabs>
      <w:spacing w:after="80" w:before="120" w:line="240" w:lineRule="exact"/>
      <w:ind w:hanging="432" w:left="432"/>
      <w:outlineLvl w:val="1"/>
    </w:pPr>
    <w:rPr>
      <w:rFonts w:cs="Arial"/>
      <w:b/>
      <w:bCs/>
      <w:sz w:val="28"/>
      <w:szCs w:val="22"/>
    </w:rPr>
  </w:style>
  <w:style w:type="paragraph" w:styleId="884">
    <w:name w:val="Heading 3"/>
    <w:basedOn w:val="1212"/>
    <w:qFormat/>
    <w:pPr>
      <w:keepNext w:val="true"/>
      <w:keepLines w:val="true"/>
      <w:pBdr/>
      <w:tabs>
        <w:tab w:val="left" w:leader="none" w:pos="0"/>
        <w:tab w:val="clear" w:leader="none" w:pos="576"/>
        <w:tab w:val="clear" w:leader="none" w:pos="1152"/>
        <w:tab w:val="clear" w:leader="none" w:pos="1440"/>
      </w:tabs>
      <w:spacing w:after="86" w:before="230" w:line="245" w:lineRule="atLeast"/>
      <w:ind w:firstLine="58"/>
      <w:jc w:val="left"/>
      <w:outlineLvl w:val="2"/>
    </w:pPr>
    <w:rPr>
      <w:rFonts w:cs="Arial"/>
      <w:b/>
      <w:bCs/>
      <w:i/>
      <w:sz w:val="24"/>
    </w:rPr>
  </w:style>
  <w:style w:type="paragraph" w:styleId="885">
    <w:name w:val="Heading 4"/>
    <w:basedOn w:val="1212"/>
    <w:qFormat/>
    <w:pPr>
      <w:keepNext w:val="true"/>
      <w:keepLines w:val="true"/>
      <w:pBdr/>
      <w:tabs>
        <w:tab w:val="left" w:leader="none" w:pos="0"/>
        <w:tab w:val="clear" w:leader="none" w:pos="576"/>
        <w:tab w:val="clear" w:leader="none" w:pos="1152"/>
        <w:tab w:val="clear" w:leader="none" w:pos="1440"/>
      </w:tabs>
      <w:spacing w:after="40" w:before="200"/>
      <w:ind w:firstLine="0"/>
      <w:jc w:val="left"/>
      <w:outlineLvl w:val="3"/>
    </w:pPr>
    <w:rPr>
      <w:rFonts w:cs="New Century Schoolbook"/>
      <w:b/>
      <w:bCs/>
      <w:iCs/>
      <w:smallCaps/>
      <w:sz w:val="24"/>
    </w:rPr>
  </w:style>
  <w:style w:type="paragraph" w:styleId="886">
    <w:name w:val="Heading 5"/>
    <w:basedOn w:val="1212"/>
    <w:qFormat/>
    <w:pPr>
      <w:pBdr/>
      <w:tabs>
        <w:tab w:val="left" w:leader="none" w:pos="0"/>
        <w:tab w:val="clear" w:leader="none" w:pos="576"/>
        <w:tab w:val="clear" w:leader="none" w:pos="1152"/>
        <w:tab w:val="clear" w:leader="none" w:pos="1440"/>
      </w:tabs>
      <w:spacing w:after="40" w:before="200"/>
      <w:ind w:hanging="432" w:left="432"/>
      <w:jc w:val="left"/>
      <w:outlineLvl w:val="4"/>
    </w:pPr>
    <w:rPr>
      <w:rFonts w:cs="New Century Schoolbook"/>
      <w:b/>
      <w:bCs/>
      <w:i/>
      <w:iCs/>
      <w:color w:val="1f497d"/>
      <w:sz w:val="22"/>
      <w:szCs w:val="26"/>
    </w:rPr>
  </w:style>
  <w:style w:type="paragraph" w:styleId="887">
    <w:name w:val="Heading 6"/>
    <w:basedOn w:val="1212"/>
    <w:link w:val="897"/>
    <w:qFormat/>
    <w:pPr>
      <w:pBdr/>
      <w:tabs>
        <w:tab w:val="left" w:leader="none" w:pos="0"/>
        <w:tab w:val="clear" w:leader="none" w:pos="576"/>
        <w:tab w:val="clear" w:leader="none" w:pos="1152"/>
        <w:tab w:val="clear" w:leader="none" w:pos="1440"/>
      </w:tabs>
      <w:spacing w:after="60" w:before="240"/>
      <w:ind w:hanging="432" w:left="432"/>
      <w:jc w:val="both"/>
      <w:outlineLvl w:val="5"/>
    </w:pPr>
    <w:rPr>
      <w:b/>
      <w:bCs/>
      <w:sz w:val="22"/>
      <w:szCs w:val="22"/>
    </w:rPr>
  </w:style>
  <w:style w:type="paragraph" w:styleId="888">
    <w:name w:val="Heading 7"/>
    <w:basedOn w:val="1212"/>
    <w:link w:val="898"/>
    <w:qFormat/>
    <w:pPr>
      <w:pBdr/>
      <w:tabs>
        <w:tab w:val="left" w:leader="none" w:pos="0"/>
        <w:tab w:val="clear" w:leader="none" w:pos="576"/>
        <w:tab w:val="clear" w:leader="none" w:pos="1152"/>
        <w:tab w:val="clear" w:leader="none" w:pos="1440"/>
      </w:tabs>
      <w:spacing w:after="60" w:before="240"/>
      <w:ind w:hanging="432" w:left="432"/>
      <w:jc w:val="both"/>
      <w:outlineLvl w:val="6"/>
    </w:pPr>
  </w:style>
  <w:style w:type="paragraph" w:styleId="889">
    <w:name w:val="Heading 8"/>
    <w:basedOn w:val="881"/>
    <w:next w:val="881"/>
    <w:link w:val="899"/>
    <w:uiPriority w:val="9"/>
    <w:unhideWhenUsed/>
    <w:qFormat/>
    <w:pPr>
      <w:keepNext w:val="true"/>
      <w:keepLines w:val="true"/>
      <w:pBdr/>
      <w:spacing w:after="200" w:before="320"/>
      <w:ind/>
      <w:outlineLvl w:val="7"/>
    </w:pPr>
    <w:rPr>
      <w:rFonts w:ascii="Arial" w:hAnsi="Arial" w:eastAsia="Arial" w:cs="Arial"/>
      <w:i/>
      <w:iCs/>
      <w:szCs w:val="22"/>
    </w:rPr>
  </w:style>
  <w:style w:type="paragraph" w:styleId="890">
    <w:name w:val="Heading 9"/>
    <w:basedOn w:val="881"/>
    <w:next w:val="881"/>
    <w:link w:val="900"/>
    <w:uiPriority w:val="9"/>
    <w:unhideWhenUsed/>
    <w:qFormat/>
    <w:pPr>
      <w:keepNext w:val="true"/>
      <w:keepLines w:val="true"/>
      <w:pBdr/>
      <w:spacing w:after="200" w:before="320"/>
      <w:ind/>
      <w:outlineLvl w:val="8"/>
    </w:pPr>
    <w:rPr>
      <w:rFonts w:ascii="Arial" w:hAnsi="Arial" w:eastAsia="Arial" w:cs="Arial"/>
      <w:i/>
      <w:iCs/>
      <w:sz w:val="21"/>
      <w:szCs w:val="21"/>
    </w:rPr>
  </w:style>
  <w:style w:type="character" w:styleId="891" w:default="1">
    <w:name w:val="Default Paragraph Font"/>
    <w:uiPriority w:val="1"/>
    <w:semiHidden/>
    <w:unhideWhenUsed/>
    <w:pPr>
      <w:pBdr/>
      <w:spacing/>
      <w:ind/>
    </w:pPr>
  </w:style>
  <w:style w:type="table" w:styleId="892" w:default="1">
    <w:name w:val="Normal Table"/>
    <w:uiPriority w:val="99"/>
    <w:semiHidden/>
    <w:unhideWhenUsed/>
    <w:qFormat/>
    <w:pPr>
      <w:pBdr/>
      <w:spacing/>
      <w:ind/>
    </w:pPr>
    <w:tblPr>
      <w:tblInd w:w="0" w:type="dxa"/>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numbering" w:styleId="893" w:default="1">
    <w:name w:val="No List"/>
    <w:uiPriority w:val="99"/>
    <w:semiHidden/>
    <w:unhideWhenUsed/>
    <w:pPr>
      <w:pBdr/>
      <w:spacing/>
      <w:ind/>
    </w:pPr>
  </w:style>
  <w:style w:type="character" w:styleId="894" w:customStyle="1">
    <w:name w:val="Caption Char"/>
    <w:link w:val="1229"/>
    <w:uiPriority w:val="99"/>
    <w:pPr>
      <w:pBdr/>
      <w:spacing/>
      <w:ind/>
    </w:pPr>
  </w:style>
  <w:style w:type="character" w:styleId="895">
    <w:name w:val="footnote reference"/>
    <w:basedOn w:val="891"/>
    <w:uiPriority w:val="99"/>
    <w:unhideWhenUsed/>
    <w:pPr>
      <w:pBdr/>
      <w:spacing/>
      <w:ind/>
    </w:pPr>
    <w:rPr>
      <w:vertAlign w:val="superscript"/>
    </w:rPr>
  </w:style>
  <w:style w:type="character" w:styleId="896">
    <w:name w:val="endnote reference"/>
    <w:basedOn w:val="891"/>
    <w:uiPriority w:val="99"/>
    <w:semiHidden/>
    <w:unhideWhenUsed/>
    <w:pPr>
      <w:pBdr/>
      <w:spacing/>
      <w:ind/>
    </w:pPr>
    <w:rPr>
      <w:vertAlign w:val="superscript"/>
    </w:rPr>
  </w:style>
  <w:style w:type="character" w:styleId="897" w:customStyle="1">
    <w:name w:val="Heading 6 Char"/>
    <w:basedOn w:val="891"/>
    <w:link w:val="887"/>
    <w:uiPriority w:val="9"/>
    <w:qFormat/>
    <w:pPr>
      <w:pBdr/>
      <w:spacing/>
      <w:ind/>
    </w:pPr>
    <w:rPr>
      <w:rFonts w:ascii="Arial" w:hAnsi="Arial" w:eastAsia="Arial" w:cs="Arial"/>
      <w:b/>
      <w:bCs/>
      <w:sz w:val="22"/>
      <w:szCs w:val="22"/>
    </w:rPr>
  </w:style>
  <w:style w:type="character" w:styleId="898" w:customStyle="1">
    <w:name w:val="Heading 7 Char"/>
    <w:basedOn w:val="891"/>
    <w:link w:val="888"/>
    <w:uiPriority w:val="9"/>
    <w:qFormat/>
    <w:pPr>
      <w:pBdr/>
      <w:spacing/>
      <w:ind/>
    </w:pPr>
    <w:rPr>
      <w:rFonts w:ascii="Arial" w:hAnsi="Arial" w:eastAsia="Arial" w:cs="Arial"/>
      <w:b/>
      <w:bCs/>
      <w:i/>
      <w:iCs/>
      <w:sz w:val="22"/>
      <w:szCs w:val="22"/>
    </w:rPr>
  </w:style>
  <w:style w:type="character" w:styleId="899" w:customStyle="1">
    <w:name w:val="Heading 8 Char"/>
    <w:basedOn w:val="891"/>
    <w:link w:val="889"/>
    <w:uiPriority w:val="9"/>
    <w:qFormat/>
    <w:pPr>
      <w:pBdr/>
      <w:spacing/>
      <w:ind/>
    </w:pPr>
    <w:rPr>
      <w:rFonts w:ascii="Arial" w:hAnsi="Arial" w:eastAsia="Arial" w:cs="Arial"/>
      <w:i/>
      <w:iCs/>
      <w:sz w:val="22"/>
      <w:szCs w:val="22"/>
    </w:rPr>
  </w:style>
  <w:style w:type="character" w:styleId="900" w:customStyle="1">
    <w:name w:val="Heading 9 Char"/>
    <w:basedOn w:val="891"/>
    <w:link w:val="890"/>
    <w:uiPriority w:val="9"/>
    <w:qFormat/>
    <w:pPr>
      <w:pBdr/>
      <w:spacing/>
      <w:ind/>
    </w:pPr>
    <w:rPr>
      <w:rFonts w:ascii="Arial" w:hAnsi="Arial" w:eastAsia="Arial" w:cs="Arial"/>
      <w:i/>
      <w:iCs/>
      <w:sz w:val="21"/>
      <w:szCs w:val="21"/>
    </w:rPr>
  </w:style>
  <w:style w:type="character" w:styleId="901" w:customStyle="1">
    <w:name w:val="Title Char"/>
    <w:basedOn w:val="891"/>
    <w:link w:val="1292"/>
    <w:uiPriority w:val="10"/>
    <w:qFormat/>
    <w:pPr>
      <w:pBdr/>
      <w:spacing/>
      <w:ind/>
    </w:pPr>
    <w:rPr>
      <w:sz w:val="48"/>
      <w:szCs w:val="48"/>
    </w:rPr>
  </w:style>
  <w:style w:type="character" w:styleId="902" w:customStyle="1">
    <w:name w:val="Subtitle Char"/>
    <w:basedOn w:val="891"/>
    <w:link w:val="1293"/>
    <w:uiPriority w:val="11"/>
    <w:qFormat/>
    <w:pPr>
      <w:pBdr/>
      <w:spacing/>
      <w:ind/>
    </w:pPr>
    <w:rPr>
      <w:sz w:val="24"/>
      <w:szCs w:val="24"/>
    </w:rPr>
  </w:style>
  <w:style w:type="character" w:styleId="903" w:customStyle="1">
    <w:name w:val="Quote Char"/>
    <w:link w:val="1218"/>
    <w:uiPriority w:val="29"/>
    <w:qFormat/>
    <w:pPr>
      <w:pBdr/>
      <w:spacing/>
      <w:ind/>
    </w:pPr>
    <w:rPr>
      <w:i/>
    </w:rPr>
  </w:style>
  <w:style w:type="character" w:styleId="904" w:customStyle="1">
    <w:name w:val="Intense Quote Char"/>
    <w:link w:val="1219"/>
    <w:uiPriority w:val="30"/>
    <w:qFormat/>
    <w:pPr>
      <w:pBdr/>
      <w:spacing/>
      <w:ind/>
    </w:pPr>
    <w:rPr>
      <w:i/>
    </w:rPr>
  </w:style>
  <w:style w:type="character" w:styleId="905" w:customStyle="1">
    <w:name w:val="Footer Char1"/>
    <w:link w:val="1229"/>
    <w:uiPriority w:val="99"/>
    <w:qFormat/>
    <w:pPr>
      <w:pBdr/>
      <w:spacing/>
      <w:ind/>
    </w:pPr>
  </w:style>
  <w:style w:type="character" w:styleId="906" w:customStyle="1">
    <w:name w:val="Endnote Text Char"/>
    <w:link w:val="1297"/>
    <w:uiPriority w:val="99"/>
    <w:qFormat/>
    <w:pPr>
      <w:pBdr/>
      <w:spacing/>
      <w:ind/>
    </w:pPr>
    <w:rPr>
      <w:sz w:val="20"/>
    </w:rPr>
  </w:style>
  <w:style w:type="character" w:styleId="907" w:customStyle="1">
    <w:name w:val="Default Paragraph Font1"/>
    <w:qFormat/>
    <w:pPr>
      <w:pBdr/>
      <w:spacing/>
      <w:ind/>
    </w:pPr>
  </w:style>
  <w:style w:type="character" w:styleId="908" w:customStyle="1">
    <w:name w:val="WW8Num18z0"/>
    <w:qFormat/>
    <w:pPr>
      <w:pBdr/>
      <w:spacing/>
      <w:ind/>
    </w:pPr>
  </w:style>
  <w:style w:type="character" w:styleId="909" w:customStyle="1">
    <w:name w:val="WW8Num19z0"/>
    <w:qFormat/>
    <w:pPr>
      <w:pBdr/>
      <w:spacing/>
      <w:ind/>
    </w:pPr>
  </w:style>
  <w:style w:type="character" w:styleId="910" w:customStyle="1">
    <w:name w:val="WW8Num20z0"/>
    <w:qFormat/>
    <w:pPr>
      <w:pBdr/>
      <w:spacing/>
      <w:ind/>
    </w:pPr>
  </w:style>
  <w:style w:type="character" w:styleId="911" w:customStyle="1">
    <w:name w:val="WW8Num21z0"/>
    <w:qFormat/>
    <w:pPr>
      <w:pBdr/>
      <w:spacing/>
      <w:ind/>
    </w:pPr>
  </w:style>
  <w:style w:type="character" w:styleId="912" w:customStyle="1">
    <w:name w:val="WW8Num1z0"/>
    <w:qFormat/>
    <w:pPr>
      <w:pBdr/>
      <w:spacing/>
      <w:ind/>
    </w:pPr>
  </w:style>
  <w:style w:type="character" w:styleId="913" w:customStyle="1">
    <w:name w:val="WW8Num2z0"/>
    <w:qFormat/>
    <w:pPr>
      <w:pBdr/>
      <w:spacing/>
      <w:ind/>
    </w:pPr>
  </w:style>
  <w:style w:type="character" w:styleId="914" w:customStyle="1">
    <w:name w:val="WW8Num3z0"/>
    <w:qFormat/>
    <w:pPr>
      <w:pBdr/>
      <w:spacing/>
      <w:ind/>
    </w:pPr>
  </w:style>
  <w:style w:type="character" w:styleId="915" w:customStyle="1">
    <w:name w:val="WW8Num4z0"/>
    <w:qFormat/>
    <w:pPr>
      <w:pBdr/>
      <w:spacing/>
      <w:ind/>
    </w:pPr>
  </w:style>
  <w:style w:type="character" w:styleId="916" w:customStyle="1">
    <w:name w:val="WW8Num9z0"/>
    <w:qFormat/>
    <w:pPr>
      <w:pBdr/>
      <w:spacing/>
      <w:ind/>
    </w:pPr>
  </w:style>
  <w:style w:type="character" w:styleId="917" w:customStyle="1">
    <w:name w:val="WW8Num11z0"/>
    <w:qFormat/>
    <w:pPr>
      <w:pBdr/>
      <w:spacing/>
      <w:ind/>
    </w:pPr>
  </w:style>
  <w:style w:type="character" w:styleId="918" w:customStyle="1">
    <w:name w:val="WW8Num11z1"/>
    <w:qFormat/>
    <w:pPr>
      <w:pBdr/>
      <w:spacing/>
      <w:ind/>
    </w:pPr>
  </w:style>
  <w:style w:type="character" w:styleId="919" w:customStyle="1">
    <w:name w:val="WW8Num11z2"/>
    <w:qFormat/>
    <w:pPr>
      <w:pBdr/>
      <w:spacing/>
      <w:ind/>
    </w:pPr>
  </w:style>
  <w:style w:type="character" w:styleId="920" w:customStyle="1">
    <w:name w:val="WW8Num11z3"/>
    <w:qFormat/>
    <w:pPr>
      <w:pBdr/>
      <w:spacing/>
      <w:ind/>
    </w:pPr>
  </w:style>
  <w:style w:type="character" w:styleId="921" w:customStyle="1">
    <w:name w:val="WW8Num11z4"/>
    <w:qFormat/>
    <w:pPr>
      <w:pBdr/>
      <w:spacing/>
      <w:ind/>
    </w:pPr>
  </w:style>
  <w:style w:type="character" w:styleId="922" w:customStyle="1">
    <w:name w:val="WW8Num11z5"/>
    <w:qFormat/>
    <w:pPr>
      <w:pBdr/>
      <w:spacing/>
      <w:ind/>
    </w:pPr>
  </w:style>
  <w:style w:type="character" w:styleId="923" w:customStyle="1">
    <w:name w:val="WW8Num11z6"/>
    <w:qFormat/>
    <w:pPr>
      <w:pBdr/>
      <w:spacing/>
      <w:ind/>
    </w:pPr>
  </w:style>
  <w:style w:type="character" w:styleId="924" w:customStyle="1">
    <w:name w:val="WW8Num11z7"/>
    <w:qFormat/>
    <w:pPr>
      <w:pBdr/>
      <w:spacing/>
      <w:ind/>
    </w:pPr>
  </w:style>
  <w:style w:type="character" w:styleId="925" w:customStyle="1">
    <w:name w:val="WW8Num11z8"/>
    <w:qFormat/>
    <w:pPr>
      <w:pBdr/>
      <w:spacing/>
      <w:ind/>
    </w:pPr>
  </w:style>
  <w:style w:type="character" w:styleId="926" w:customStyle="1">
    <w:name w:val="WW8Num12z0"/>
    <w:qFormat/>
    <w:pPr>
      <w:pBdr/>
      <w:spacing/>
      <w:ind/>
    </w:pPr>
  </w:style>
  <w:style w:type="character" w:styleId="927" w:customStyle="1">
    <w:name w:val="WW8Num12z1"/>
    <w:qFormat/>
    <w:pPr>
      <w:pBdr/>
      <w:spacing/>
      <w:ind/>
    </w:pPr>
  </w:style>
  <w:style w:type="character" w:styleId="928" w:customStyle="1">
    <w:name w:val="WW8Num12z2"/>
    <w:qFormat/>
    <w:pPr>
      <w:pBdr/>
      <w:spacing/>
      <w:ind/>
    </w:pPr>
  </w:style>
  <w:style w:type="character" w:styleId="929" w:customStyle="1">
    <w:name w:val="WW8Num12z3"/>
    <w:qFormat/>
    <w:pPr>
      <w:pBdr/>
      <w:spacing/>
      <w:ind/>
    </w:pPr>
  </w:style>
  <w:style w:type="character" w:styleId="930" w:customStyle="1">
    <w:name w:val="WW8Num12z4"/>
    <w:qFormat/>
    <w:pPr>
      <w:pBdr/>
      <w:spacing/>
      <w:ind/>
    </w:pPr>
  </w:style>
  <w:style w:type="character" w:styleId="931" w:customStyle="1">
    <w:name w:val="WW8Num12z5"/>
    <w:qFormat/>
    <w:pPr>
      <w:pBdr/>
      <w:spacing/>
      <w:ind/>
    </w:pPr>
  </w:style>
  <w:style w:type="character" w:styleId="932" w:customStyle="1">
    <w:name w:val="WW8Num12z6"/>
    <w:qFormat/>
    <w:pPr>
      <w:pBdr/>
      <w:spacing/>
      <w:ind/>
    </w:pPr>
  </w:style>
  <w:style w:type="character" w:styleId="933" w:customStyle="1">
    <w:name w:val="WW8Num12z7"/>
    <w:qFormat/>
    <w:pPr>
      <w:pBdr/>
      <w:spacing/>
      <w:ind/>
    </w:pPr>
  </w:style>
  <w:style w:type="character" w:styleId="934" w:customStyle="1">
    <w:name w:val="WW8Num12z8"/>
    <w:qFormat/>
    <w:pPr>
      <w:pBdr/>
      <w:spacing/>
      <w:ind/>
    </w:pPr>
  </w:style>
  <w:style w:type="character" w:styleId="935" w:customStyle="1">
    <w:name w:val="WW8Num13z0"/>
    <w:qFormat/>
    <w:pPr>
      <w:pBdr/>
      <w:spacing/>
      <w:ind/>
    </w:pPr>
  </w:style>
  <w:style w:type="character" w:styleId="936" w:customStyle="1">
    <w:name w:val="WW8Num13z1"/>
    <w:qFormat/>
    <w:pPr>
      <w:pBdr/>
      <w:spacing/>
      <w:ind/>
    </w:pPr>
    <w:rPr>
      <w:sz w:val="24"/>
    </w:rPr>
  </w:style>
  <w:style w:type="character" w:styleId="937" w:customStyle="1">
    <w:name w:val="WW8Num13z2"/>
    <w:qFormat/>
    <w:pPr>
      <w:pBdr/>
      <w:spacing/>
      <w:ind/>
    </w:pPr>
  </w:style>
  <w:style w:type="character" w:styleId="938" w:customStyle="1">
    <w:name w:val="WW8Num13z3"/>
    <w:qFormat/>
    <w:pPr>
      <w:pBdr/>
      <w:spacing/>
      <w:ind/>
    </w:pPr>
  </w:style>
  <w:style w:type="character" w:styleId="939" w:customStyle="1">
    <w:name w:val="WW8Num13z4"/>
    <w:qFormat/>
    <w:pPr>
      <w:pBdr/>
      <w:spacing/>
      <w:ind/>
    </w:pPr>
  </w:style>
  <w:style w:type="character" w:styleId="940" w:customStyle="1">
    <w:name w:val="WW8Num13z5"/>
    <w:qFormat/>
    <w:pPr>
      <w:pBdr/>
      <w:spacing/>
      <w:ind/>
    </w:pPr>
  </w:style>
  <w:style w:type="character" w:styleId="941" w:customStyle="1">
    <w:name w:val="WW8Num13z6"/>
    <w:qFormat/>
    <w:pPr>
      <w:pBdr/>
      <w:spacing/>
      <w:ind/>
    </w:pPr>
  </w:style>
  <w:style w:type="character" w:styleId="942" w:customStyle="1">
    <w:name w:val="WW8Num13z7"/>
    <w:qFormat/>
    <w:pPr>
      <w:pBdr/>
      <w:spacing/>
      <w:ind/>
    </w:pPr>
  </w:style>
  <w:style w:type="character" w:styleId="943" w:customStyle="1">
    <w:name w:val="WW8Num13z8"/>
    <w:qFormat/>
    <w:pPr>
      <w:pBdr/>
      <w:spacing/>
      <w:ind/>
    </w:pPr>
  </w:style>
  <w:style w:type="character" w:styleId="944" w:customStyle="1">
    <w:name w:val="WW8Num14z0"/>
    <w:qFormat/>
    <w:pPr>
      <w:pBdr/>
      <w:spacing/>
      <w:ind/>
    </w:pPr>
  </w:style>
  <w:style w:type="character" w:styleId="945" w:customStyle="1">
    <w:name w:val="WW8Num14z1"/>
    <w:qFormat/>
    <w:pPr>
      <w:pBdr/>
      <w:spacing/>
      <w:ind/>
    </w:pPr>
  </w:style>
  <w:style w:type="character" w:styleId="946" w:customStyle="1">
    <w:name w:val="WW8Num14z2"/>
    <w:qFormat/>
    <w:pPr>
      <w:pBdr/>
      <w:spacing/>
      <w:ind/>
    </w:pPr>
  </w:style>
  <w:style w:type="character" w:styleId="947" w:customStyle="1">
    <w:name w:val="WW8Num14z3"/>
    <w:qFormat/>
    <w:pPr>
      <w:pBdr/>
      <w:spacing/>
      <w:ind/>
    </w:pPr>
  </w:style>
  <w:style w:type="character" w:styleId="948" w:customStyle="1">
    <w:name w:val="WW8Num14z4"/>
    <w:qFormat/>
    <w:pPr>
      <w:pBdr/>
      <w:spacing/>
      <w:ind/>
    </w:pPr>
  </w:style>
  <w:style w:type="character" w:styleId="949" w:customStyle="1">
    <w:name w:val="WW8Num14z5"/>
    <w:qFormat/>
    <w:pPr>
      <w:pBdr/>
      <w:spacing/>
      <w:ind/>
    </w:pPr>
  </w:style>
  <w:style w:type="character" w:styleId="950" w:customStyle="1">
    <w:name w:val="WW8Num14z6"/>
    <w:qFormat/>
    <w:pPr>
      <w:pBdr/>
      <w:spacing/>
      <w:ind/>
    </w:pPr>
  </w:style>
  <w:style w:type="character" w:styleId="951" w:customStyle="1">
    <w:name w:val="WW8Num14z7"/>
    <w:qFormat/>
    <w:pPr>
      <w:pBdr/>
      <w:spacing/>
      <w:ind/>
    </w:pPr>
  </w:style>
  <w:style w:type="character" w:styleId="952" w:customStyle="1">
    <w:name w:val="WW8Num14z8"/>
    <w:qFormat/>
    <w:pPr>
      <w:pBdr/>
      <w:spacing/>
      <w:ind/>
    </w:pPr>
  </w:style>
  <w:style w:type="character" w:styleId="953" w:customStyle="1">
    <w:name w:val="WW8Num15z0"/>
    <w:qFormat/>
    <w:pPr>
      <w:pBdr/>
      <w:spacing/>
      <w:ind/>
    </w:pPr>
  </w:style>
  <w:style w:type="character" w:styleId="954" w:customStyle="1">
    <w:name w:val="WW8Num15z1"/>
    <w:qFormat/>
    <w:pPr>
      <w:pBdr/>
      <w:spacing/>
      <w:ind/>
    </w:pPr>
  </w:style>
  <w:style w:type="character" w:styleId="955" w:customStyle="1">
    <w:name w:val="WW8Num15z2"/>
    <w:qFormat/>
    <w:pPr>
      <w:pBdr/>
      <w:spacing/>
      <w:ind/>
    </w:pPr>
  </w:style>
  <w:style w:type="character" w:styleId="956" w:customStyle="1">
    <w:name w:val="WW8Num15z3"/>
    <w:qFormat/>
    <w:pPr>
      <w:pBdr/>
      <w:spacing/>
      <w:ind/>
    </w:pPr>
  </w:style>
  <w:style w:type="character" w:styleId="957" w:customStyle="1">
    <w:name w:val="WW8Num15z4"/>
    <w:qFormat/>
    <w:pPr>
      <w:pBdr/>
      <w:spacing/>
      <w:ind/>
    </w:pPr>
  </w:style>
  <w:style w:type="character" w:styleId="958" w:customStyle="1">
    <w:name w:val="WW8Num15z5"/>
    <w:qFormat/>
    <w:pPr>
      <w:pBdr/>
      <w:spacing/>
      <w:ind/>
    </w:pPr>
  </w:style>
  <w:style w:type="character" w:styleId="959" w:customStyle="1">
    <w:name w:val="WW8Num15z6"/>
    <w:qFormat/>
    <w:pPr>
      <w:pBdr/>
      <w:spacing/>
      <w:ind/>
    </w:pPr>
  </w:style>
  <w:style w:type="character" w:styleId="960" w:customStyle="1">
    <w:name w:val="WW8Num15z7"/>
    <w:qFormat/>
    <w:pPr>
      <w:pBdr/>
      <w:spacing/>
      <w:ind/>
    </w:pPr>
  </w:style>
  <w:style w:type="character" w:styleId="961" w:customStyle="1">
    <w:name w:val="WW8Num15z8"/>
    <w:qFormat/>
    <w:pPr>
      <w:pBdr/>
      <w:spacing/>
      <w:ind/>
    </w:pPr>
  </w:style>
  <w:style w:type="character" w:styleId="962" w:customStyle="1">
    <w:name w:val="WW8Num16z0"/>
    <w:qFormat/>
    <w:pPr>
      <w:pBdr/>
      <w:spacing/>
      <w:ind/>
    </w:pPr>
  </w:style>
  <w:style w:type="character" w:styleId="963" w:customStyle="1">
    <w:name w:val="WW8Num16z1"/>
    <w:qFormat/>
    <w:pPr>
      <w:pBdr/>
      <w:spacing/>
      <w:ind/>
    </w:pPr>
  </w:style>
  <w:style w:type="character" w:styleId="964" w:customStyle="1">
    <w:name w:val="WW8Num16z2"/>
    <w:qFormat/>
    <w:pPr>
      <w:pBdr/>
      <w:spacing/>
      <w:ind/>
    </w:pPr>
  </w:style>
  <w:style w:type="character" w:styleId="965" w:customStyle="1">
    <w:name w:val="WW8Num16z3"/>
    <w:qFormat/>
    <w:pPr>
      <w:pBdr/>
      <w:spacing/>
      <w:ind/>
    </w:pPr>
  </w:style>
  <w:style w:type="character" w:styleId="966" w:customStyle="1">
    <w:name w:val="WW8Num16z4"/>
    <w:qFormat/>
    <w:pPr>
      <w:pBdr/>
      <w:spacing/>
      <w:ind/>
    </w:pPr>
  </w:style>
  <w:style w:type="character" w:styleId="967" w:customStyle="1">
    <w:name w:val="WW8Num16z5"/>
    <w:qFormat/>
    <w:pPr>
      <w:pBdr/>
      <w:spacing/>
      <w:ind/>
    </w:pPr>
  </w:style>
  <w:style w:type="character" w:styleId="968" w:customStyle="1">
    <w:name w:val="WW8Num16z6"/>
    <w:qFormat/>
    <w:pPr>
      <w:pBdr/>
      <w:spacing/>
      <w:ind/>
    </w:pPr>
  </w:style>
  <w:style w:type="character" w:styleId="969" w:customStyle="1">
    <w:name w:val="WW8Num16z7"/>
    <w:qFormat/>
    <w:pPr>
      <w:pBdr/>
      <w:spacing/>
      <w:ind/>
    </w:pPr>
  </w:style>
  <w:style w:type="character" w:styleId="970" w:customStyle="1">
    <w:name w:val="WW8Num16z8"/>
    <w:qFormat/>
    <w:pPr>
      <w:pBdr/>
      <w:spacing/>
      <w:ind/>
    </w:pPr>
  </w:style>
  <w:style w:type="character" w:styleId="971" w:customStyle="1">
    <w:name w:val="WW8Num17z0"/>
    <w:qFormat/>
    <w:pPr>
      <w:pBdr/>
      <w:spacing/>
      <w:ind/>
    </w:pPr>
  </w:style>
  <w:style w:type="character" w:styleId="972" w:customStyle="1">
    <w:name w:val="WW8Num17z1"/>
    <w:qFormat/>
    <w:pPr>
      <w:pBdr/>
      <w:spacing/>
      <w:ind/>
    </w:pPr>
  </w:style>
  <w:style w:type="character" w:styleId="973" w:customStyle="1">
    <w:name w:val="WW8Num17z2"/>
    <w:qFormat/>
    <w:pPr>
      <w:pBdr/>
      <w:spacing/>
      <w:ind/>
    </w:pPr>
  </w:style>
  <w:style w:type="character" w:styleId="974" w:customStyle="1">
    <w:name w:val="WW8Num17z3"/>
    <w:qFormat/>
    <w:pPr>
      <w:pBdr/>
      <w:spacing/>
      <w:ind/>
    </w:pPr>
  </w:style>
  <w:style w:type="character" w:styleId="975" w:customStyle="1">
    <w:name w:val="WW8Num17z4"/>
    <w:qFormat/>
    <w:pPr>
      <w:pBdr/>
      <w:spacing/>
      <w:ind/>
    </w:pPr>
  </w:style>
  <w:style w:type="character" w:styleId="976" w:customStyle="1">
    <w:name w:val="WW8Num17z5"/>
    <w:qFormat/>
    <w:pPr>
      <w:pBdr/>
      <w:spacing/>
      <w:ind/>
    </w:pPr>
  </w:style>
  <w:style w:type="character" w:styleId="977" w:customStyle="1">
    <w:name w:val="WW8Num17z6"/>
    <w:qFormat/>
    <w:pPr>
      <w:pBdr/>
      <w:spacing/>
      <w:ind/>
    </w:pPr>
  </w:style>
  <w:style w:type="character" w:styleId="978" w:customStyle="1">
    <w:name w:val="WW8Num17z7"/>
    <w:qFormat/>
    <w:pPr>
      <w:pBdr/>
      <w:spacing/>
      <w:ind/>
    </w:pPr>
  </w:style>
  <w:style w:type="character" w:styleId="979" w:customStyle="1">
    <w:name w:val="WW8Num17z8"/>
    <w:qFormat/>
    <w:pPr>
      <w:pBdr/>
      <w:spacing/>
      <w:ind/>
    </w:pPr>
  </w:style>
  <w:style w:type="character" w:styleId="980" w:customStyle="1">
    <w:name w:val="WW8Num18z1"/>
    <w:qFormat/>
    <w:pPr>
      <w:pBdr/>
      <w:spacing/>
      <w:ind/>
    </w:pPr>
  </w:style>
  <w:style w:type="character" w:styleId="981" w:customStyle="1">
    <w:name w:val="WW8Num18z2"/>
    <w:qFormat/>
    <w:pPr>
      <w:pBdr/>
      <w:spacing/>
      <w:ind/>
    </w:pPr>
  </w:style>
  <w:style w:type="character" w:styleId="982" w:customStyle="1">
    <w:name w:val="WW8Num18z3"/>
    <w:qFormat/>
    <w:pPr>
      <w:pBdr/>
      <w:spacing/>
      <w:ind/>
    </w:pPr>
  </w:style>
  <w:style w:type="character" w:styleId="983" w:customStyle="1">
    <w:name w:val="WW8Num18z4"/>
    <w:qFormat/>
    <w:pPr>
      <w:pBdr/>
      <w:spacing/>
      <w:ind/>
    </w:pPr>
  </w:style>
  <w:style w:type="character" w:styleId="984" w:customStyle="1">
    <w:name w:val="WW8Num18z5"/>
    <w:qFormat/>
    <w:pPr>
      <w:pBdr/>
      <w:spacing/>
      <w:ind/>
    </w:pPr>
  </w:style>
  <w:style w:type="character" w:styleId="985" w:customStyle="1">
    <w:name w:val="WW8Num18z6"/>
    <w:qFormat/>
    <w:pPr>
      <w:pBdr/>
      <w:spacing/>
      <w:ind/>
    </w:pPr>
  </w:style>
  <w:style w:type="character" w:styleId="986" w:customStyle="1">
    <w:name w:val="WW8Num18z7"/>
    <w:qFormat/>
    <w:pPr>
      <w:pBdr/>
      <w:spacing/>
      <w:ind/>
    </w:pPr>
  </w:style>
  <w:style w:type="character" w:styleId="987" w:customStyle="1">
    <w:name w:val="WW8Num18z8"/>
    <w:qFormat/>
    <w:pPr>
      <w:pBdr/>
      <w:spacing/>
      <w:ind/>
    </w:pPr>
  </w:style>
  <w:style w:type="character" w:styleId="988" w:customStyle="1">
    <w:name w:val="WW8Num19z1"/>
    <w:qFormat/>
    <w:pPr>
      <w:pBdr/>
      <w:spacing/>
      <w:ind/>
    </w:pPr>
  </w:style>
  <w:style w:type="character" w:styleId="989" w:customStyle="1">
    <w:name w:val="WW8Num19z2"/>
    <w:qFormat/>
    <w:pPr>
      <w:pBdr/>
      <w:spacing/>
      <w:ind/>
    </w:pPr>
  </w:style>
  <w:style w:type="character" w:styleId="990" w:customStyle="1">
    <w:name w:val="WW8Num19z3"/>
    <w:qFormat/>
    <w:pPr>
      <w:pBdr/>
      <w:spacing/>
      <w:ind/>
    </w:pPr>
  </w:style>
  <w:style w:type="character" w:styleId="991" w:customStyle="1">
    <w:name w:val="WW8Num19z4"/>
    <w:qFormat/>
    <w:pPr>
      <w:pBdr/>
      <w:spacing/>
      <w:ind/>
    </w:pPr>
  </w:style>
  <w:style w:type="character" w:styleId="992" w:customStyle="1">
    <w:name w:val="WW8Num19z5"/>
    <w:qFormat/>
    <w:pPr>
      <w:pBdr/>
      <w:spacing/>
      <w:ind/>
    </w:pPr>
  </w:style>
  <w:style w:type="character" w:styleId="993" w:customStyle="1">
    <w:name w:val="WW8Num19z6"/>
    <w:qFormat/>
    <w:pPr>
      <w:pBdr/>
      <w:spacing/>
      <w:ind/>
    </w:pPr>
  </w:style>
  <w:style w:type="character" w:styleId="994" w:customStyle="1">
    <w:name w:val="WW8Num19z7"/>
    <w:qFormat/>
    <w:pPr>
      <w:pBdr/>
      <w:spacing/>
      <w:ind/>
    </w:pPr>
  </w:style>
  <w:style w:type="character" w:styleId="995" w:customStyle="1">
    <w:name w:val="WW8Num19z8"/>
    <w:qFormat/>
    <w:pPr>
      <w:pBdr/>
      <w:spacing/>
      <w:ind/>
    </w:pPr>
  </w:style>
  <w:style w:type="character" w:styleId="996" w:customStyle="1">
    <w:name w:val="WW8Num20z1"/>
    <w:qFormat/>
    <w:pPr>
      <w:pBdr/>
      <w:spacing/>
      <w:ind/>
    </w:pPr>
  </w:style>
  <w:style w:type="character" w:styleId="997" w:customStyle="1">
    <w:name w:val="WW8Num20z2"/>
    <w:qFormat/>
    <w:pPr>
      <w:pBdr/>
      <w:spacing/>
      <w:ind/>
    </w:pPr>
  </w:style>
  <w:style w:type="character" w:styleId="998" w:customStyle="1">
    <w:name w:val="WW8Num20z3"/>
    <w:qFormat/>
    <w:pPr>
      <w:pBdr/>
      <w:spacing/>
      <w:ind/>
    </w:pPr>
  </w:style>
  <w:style w:type="character" w:styleId="999" w:customStyle="1">
    <w:name w:val="WW8Num20z4"/>
    <w:qFormat/>
    <w:pPr>
      <w:pBdr/>
      <w:spacing/>
      <w:ind/>
    </w:pPr>
  </w:style>
  <w:style w:type="character" w:styleId="1000" w:customStyle="1">
    <w:name w:val="WW8Num20z5"/>
    <w:qFormat/>
    <w:pPr>
      <w:pBdr/>
      <w:spacing/>
      <w:ind/>
    </w:pPr>
  </w:style>
  <w:style w:type="character" w:styleId="1001" w:customStyle="1">
    <w:name w:val="WW8Num20z6"/>
    <w:qFormat/>
    <w:pPr>
      <w:pBdr/>
      <w:spacing/>
      <w:ind/>
    </w:pPr>
  </w:style>
  <w:style w:type="character" w:styleId="1002" w:customStyle="1">
    <w:name w:val="WW8Num20z7"/>
    <w:qFormat/>
    <w:pPr>
      <w:pBdr/>
      <w:spacing/>
      <w:ind/>
    </w:pPr>
  </w:style>
  <w:style w:type="character" w:styleId="1003" w:customStyle="1">
    <w:name w:val="WW8Num20z8"/>
    <w:qFormat/>
    <w:pPr>
      <w:pBdr/>
      <w:spacing/>
      <w:ind/>
    </w:pPr>
  </w:style>
  <w:style w:type="character" w:styleId="1004" w:customStyle="1">
    <w:name w:val="WW8Num21z1"/>
    <w:qFormat/>
    <w:pPr>
      <w:pBdr/>
      <w:spacing/>
      <w:ind/>
    </w:pPr>
  </w:style>
  <w:style w:type="character" w:styleId="1005" w:customStyle="1">
    <w:name w:val="WW8Num21z2"/>
    <w:qFormat/>
    <w:pPr>
      <w:pBdr/>
      <w:spacing/>
      <w:ind/>
    </w:pPr>
  </w:style>
  <w:style w:type="character" w:styleId="1006" w:customStyle="1">
    <w:name w:val="WW8Num21z3"/>
    <w:qFormat/>
    <w:pPr>
      <w:pBdr/>
      <w:spacing/>
      <w:ind/>
    </w:pPr>
  </w:style>
  <w:style w:type="character" w:styleId="1007" w:customStyle="1">
    <w:name w:val="WW8Num21z4"/>
    <w:qFormat/>
    <w:pPr>
      <w:pBdr/>
      <w:spacing/>
      <w:ind/>
    </w:pPr>
  </w:style>
  <w:style w:type="character" w:styleId="1008" w:customStyle="1">
    <w:name w:val="WW8Num21z5"/>
    <w:qFormat/>
    <w:pPr>
      <w:pBdr/>
      <w:spacing/>
      <w:ind/>
    </w:pPr>
  </w:style>
  <w:style w:type="character" w:styleId="1009" w:customStyle="1">
    <w:name w:val="WW8Num21z6"/>
    <w:qFormat/>
    <w:pPr>
      <w:pBdr/>
      <w:spacing/>
      <w:ind/>
    </w:pPr>
  </w:style>
  <w:style w:type="character" w:styleId="1010" w:customStyle="1">
    <w:name w:val="WW8Num21z7"/>
    <w:qFormat/>
    <w:pPr>
      <w:pBdr/>
      <w:spacing/>
      <w:ind/>
    </w:pPr>
  </w:style>
  <w:style w:type="character" w:styleId="1011" w:customStyle="1">
    <w:name w:val="WW8Num21z8"/>
    <w:qFormat/>
    <w:pPr>
      <w:pBdr/>
      <w:spacing/>
      <w:ind/>
    </w:pPr>
  </w:style>
  <w:style w:type="character" w:styleId="1012" w:customStyle="1">
    <w:name w:val="WW8Num22z0"/>
    <w:qFormat/>
    <w:pPr>
      <w:pBdr/>
      <w:spacing/>
      <w:ind/>
    </w:pPr>
  </w:style>
  <w:style w:type="character" w:styleId="1013" w:customStyle="1">
    <w:name w:val="WW8Num22z1"/>
    <w:qFormat/>
    <w:pPr>
      <w:pBdr/>
      <w:spacing/>
      <w:ind/>
    </w:pPr>
  </w:style>
  <w:style w:type="character" w:styleId="1014" w:customStyle="1">
    <w:name w:val="WW8Num22z2"/>
    <w:qFormat/>
    <w:pPr>
      <w:pBdr/>
      <w:spacing/>
      <w:ind/>
    </w:pPr>
  </w:style>
  <w:style w:type="character" w:styleId="1015" w:customStyle="1">
    <w:name w:val="WW8Num22z3"/>
    <w:qFormat/>
    <w:pPr>
      <w:pBdr/>
      <w:spacing/>
      <w:ind/>
    </w:pPr>
  </w:style>
  <w:style w:type="character" w:styleId="1016" w:customStyle="1">
    <w:name w:val="WW8Num22z4"/>
    <w:qFormat/>
    <w:pPr>
      <w:pBdr/>
      <w:spacing/>
      <w:ind/>
    </w:pPr>
  </w:style>
  <w:style w:type="character" w:styleId="1017" w:customStyle="1">
    <w:name w:val="WW8Num22z5"/>
    <w:qFormat/>
    <w:pPr>
      <w:pBdr/>
      <w:spacing/>
      <w:ind/>
    </w:pPr>
  </w:style>
  <w:style w:type="character" w:styleId="1018" w:customStyle="1">
    <w:name w:val="WW8Num22z6"/>
    <w:qFormat/>
    <w:pPr>
      <w:pBdr/>
      <w:spacing/>
      <w:ind/>
    </w:pPr>
  </w:style>
  <w:style w:type="character" w:styleId="1019" w:customStyle="1">
    <w:name w:val="WW8Num22z7"/>
    <w:qFormat/>
    <w:pPr>
      <w:pBdr/>
      <w:spacing/>
      <w:ind/>
    </w:pPr>
  </w:style>
  <w:style w:type="character" w:styleId="1020" w:customStyle="1">
    <w:name w:val="WW8Num22z8"/>
    <w:qFormat/>
    <w:pPr>
      <w:pBdr/>
      <w:spacing/>
      <w:ind/>
    </w:pPr>
  </w:style>
  <w:style w:type="character" w:styleId="1021" w:customStyle="1">
    <w:name w:val="WW8Num23z0"/>
    <w:qFormat/>
    <w:pPr>
      <w:pBdr/>
      <w:spacing/>
      <w:ind/>
    </w:pPr>
  </w:style>
  <w:style w:type="character" w:styleId="1022" w:customStyle="1">
    <w:name w:val="WW8Num23z1"/>
    <w:qFormat/>
    <w:pPr>
      <w:pBdr/>
      <w:spacing/>
      <w:ind/>
    </w:pPr>
  </w:style>
  <w:style w:type="character" w:styleId="1023" w:customStyle="1">
    <w:name w:val="WW8Num23z2"/>
    <w:qFormat/>
    <w:pPr>
      <w:pBdr/>
      <w:spacing/>
      <w:ind/>
    </w:pPr>
  </w:style>
  <w:style w:type="character" w:styleId="1024" w:customStyle="1">
    <w:name w:val="WW8Num23z3"/>
    <w:qFormat/>
    <w:pPr>
      <w:pBdr/>
      <w:spacing/>
      <w:ind/>
    </w:pPr>
  </w:style>
  <w:style w:type="character" w:styleId="1025" w:customStyle="1">
    <w:name w:val="WW8Num23z4"/>
    <w:qFormat/>
    <w:pPr>
      <w:pBdr/>
      <w:spacing/>
      <w:ind/>
    </w:pPr>
  </w:style>
  <w:style w:type="character" w:styleId="1026" w:customStyle="1">
    <w:name w:val="WW8Num23z5"/>
    <w:qFormat/>
    <w:pPr>
      <w:pBdr/>
      <w:spacing/>
      <w:ind/>
    </w:pPr>
  </w:style>
  <w:style w:type="character" w:styleId="1027" w:customStyle="1">
    <w:name w:val="WW8Num23z6"/>
    <w:qFormat/>
    <w:pPr>
      <w:pBdr/>
      <w:spacing/>
      <w:ind/>
    </w:pPr>
  </w:style>
  <w:style w:type="character" w:styleId="1028" w:customStyle="1">
    <w:name w:val="WW8Num23z7"/>
    <w:qFormat/>
    <w:pPr>
      <w:pBdr/>
      <w:spacing/>
      <w:ind/>
    </w:pPr>
  </w:style>
  <w:style w:type="character" w:styleId="1029" w:customStyle="1">
    <w:name w:val="WW8Num23z8"/>
    <w:qFormat/>
    <w:pPr>
      <w:pBdr/>
      <w:spacing/>
      <w:ind/>
    </w:pPr>
  </w:style>
  <w:style w:type="character" w:styleId="1030" w:customStyle="1">
    <w:name w:val="WW8Num24z0"/>
    <w:qFormat/>
    <w:pPr>
      <w:pBdr/>
      <w:spacing/>
      <w:ind/>
    </w:pPr>
  </w:style>
  <w:style w:type="character" w:styleId="1031" w:customStyle="1">
    <w:name w:val="WW8Num24z1"/>
    <w:qFormat/>
    <w:pPr>
      <w:pBdr/>
      <w:spacing/>
      <w:ind/>
    </w:pPr>
  </w:style>
  <w:style w:type="character" w:styleId="1032" w:customStyle="1">
    <w:name w:val="WW8Num24z2"/>
    <w:qFormat/>
    <w:pPr>
      <w:pBdr/>
      <w:spacing/>
      <w:ind/>
    </w:pPr>
  </w:style>
  <w:style w:type="character" w:styleId="1033" w:customStyle="1">
    <w:name w:val="WW8Num24z3"/>
    <w:qFormat/>
    <w:pPr>
      <w:pBdr/>
      <w:spacing/>
      <w:ind/>
    </w:pPr>
  </w:style>
  <w:style w:type="character" w:styleId="1034" w:customStyle="1">
    <w:name w:val="WW8Num24z4"/>
    <w:qFormat/>
    <w:pPr>
      <w:pBdr/>
      <w:spacing/>
      <w:ind/>
    </w:pPr>
  </w:style>
  <w:style w:type="character" w:styleId="1035" w:customStyle="1">
    <w:name w:val="WW8Num24z5"/>
    <w:qFormat/>
    <w:pPr>
      <w:pBdr/>
      <w:spacing/>
      <w:ind/>
    </w:pPr>
  </w:style>
  <w:style w:type="character" w:styleId="1036" w:customStyle="1">
    <w:name w:val="WW8Num24z6"/>
    <w:qFormat/>
    <w:pPr>
      <w:pBdr/>
      <w:spacing/>
      <w:ind/>
    </w:pPr>
  </w:style>
  <w:style w:type="character" w:styleId="1037" w:customStyle="1">
    <w:name w:val="WW8Num24z7"/>
    <w:qFormat/>
    <w:pPr>
      <w:pBdr/>
      <w:spacing/>
      <w:ind/>
    </w:pPr>
  </w:style>
  <w:style w:type="character" w:styleId="1038" w:customStyle="1">
    <w:name w:val="WW8Num24z8"/>
    <w:qFormat/>
    <w:pPr>
      <w:pBdr/>
      <w:spacing/>
      <w:ind/>
    </w:pPr>
  </w:style>
  <w:style w:type="character" w:styleId="1039" w:customStyle="1">
    <w:name w:val="WW8Num25z0"/>
    <w:qFormat/>
    <w:pPr>
      <w:pBdr/>
      <w:spacing/>
      <w:ind/>
    </w:pPr>
  </w:style>
  <w:style w:type="character" w:styleId="1040" w:customStyle="1">
    <w:name w:val="WW8Num25z1"/>
    <w:qFormat/>
    <w:pPr>
      <w:pBdr/>
      <w:spacing/>
      <w:ind/>
    </w:pPr>
  </w:style>
  <w:style w:type="character" w:styleId="1041" w:customStyle="1">
    <w:name w:val="WW8Num25z2"/>
    <w:qFormat/>
    <w:pPr>
      <w:pBdr/>
      <w:spacing/>
      <w:ind/>
    </w:pPr>
  </w:style>
  <w:style w:type="character" w:styleId="1042" w:customStyle="1">
    <w:name w:val="WW8Num25z3"/>
    <w:qFormat/>
    <w:pPr>
      <w:pBdr/>
      <w:spacing/>
      <w:ind/>
    </w:pPr>
  </w:style>
  <w:style w:type="character" w:styleId="1043" w:customStyle="1">
    <w:name w:val="WW8Num25z4"/>
    <w:qFormat/>
    <w:pPr>
      <w:pBdr/>
      <w:spacing/>
      <w:ind/>
    </w:pPr>
  </w:style>
  <w:style w:type="character" w:styleId="1044" w:customStyle="1">
    <w:name w:val="WW8Num25z5"/>
    <w:qFormat/>
    <w:pPr>
      <w:pBdr/>
      <w:spacing/>
      <w:ind/>
    </w:pPr>
  </w:style>
  <w:style w:type="character" w:styleId="1045" w:customStyle="1">
    <w:name w:val="WW8Num25z6"/>
    <w:qFormat/>
    <w:pPr>
      <w:pBdr/>
      <w:spacing/>
      <w:ind/>
    </w:pPr>
  </w:style>
  <w:style w:type="character" w:styleId="1046" w:customStyle="1">
    <w:name w:val="WW8Num25z7"/>
    <w:qFormat/>
    <w:pPr>
      <w:pBdr/>
      <w:spacing/>
      <w:ind/>
    </w:pPr>
  </w:style>
  <w:style w:type="character" w:styleId="1047" w:customStyle="1">
    <w:name w:val="WW8Num25z8"/>
    <w:qFormat/>
    <w:pPr>
      <w:pBdr/>
      <w:spacing/>
      <w:ind/>
    </w:pPr>
  </w:style>
  <w:style w:type="character" w:styleId="1048" w:customStyle="1">
    <w:name w:val="WW8Num26z0"/>
    <w:qFormat/>
    <w:pPr>
      <w:pBdr/>
      <w:spacing/>
      <w:ind/>
    </w:pPr>
  </w:style>
  <w:style w:type="character" w:styleId="1049" w:customStyle="1">
    <w:name w:val="WW8Num26z1"/>
    <w:qFormat/>
    <w:pPr>
      <w:pBdr/>
      <w:spacing/>
      <w:ind/>
    </w:pPr>
  </w:style>
  <w:style w:type="character" w:styleId="1050" w:customStyle="1">
    <w:name w:val="WW8Num26z2"/>
    <w:qFormat/>
    <w:pPr>
      <w:pBdr/>
      <w:spacing/>
      <w:ind/>
    </w:pPr>
  </w:style>
  <w:style w:type="character" w:styleId="1051" w:customStyle="1">
    <w:name w:val="WW8Num26z3"/>
    <w:qFormat/>
    <w:pPr>
      <w:pBdr/>
      <w:spacing/>
      <w:ind/>
    </w:pPr>
  </w:style>
  <w:style w:type="character" w:styleId="1052" w:customStyle="1">
    <w:name w:val="WW8Num26z4"/>
    <w:qFormat/>
    <w:pPr>
      <w:pBdr/>
      <w:spacing/>
      <w:ind/>
    </w:pPr>
  </w:style>
  <w:style w:type="character" w:styleId="1053" w:customStyle="1">
    <w:name w:val="WW8Num26z5"/>
    <w:qFormat/>
    <w:pPr>
      <w:pBdr/>
      <w:spacing/>
      <w:ind/>
    </w:pPr>
  </w:style>
  <w:style w:type="character" w:styleId="1054" w:customStyle="1">
    <w:name w:val="WW8Num26z6"/>
    <w:qFormat/>
    <w:pPr>
      <w:pBdr/>
      <w:spacing/>
      <w:ind/>
    </w:pPr>
  </w:style>
  <w:style w:type="character" w:styleId="1055" w:customStyle="1">
    <w:name w:val="WW8Num26z7"/>
    <w:qFormat/>
    <w:pPr>
      <w:pBdr/>
      <w:spacing/>
      <w:ind/>
    </w:pPr>
  </w:style>
  <w:style w:type="character" w:styleId="1056" w:customStyle="1">
    <w:name w:val="WW8Num26z8"/>
    <w:qFormat/>
    <w:pPr>
      <w:pBdr/>
      <w:spacing/>
      <w:ind/>
    </w:pPr>
  </w:style>
  <w:style w:type="character" w:styleId="1057" w:customStyle="1">
    <w:name w:val="WW8Num27z0"/>
    <w:qFormat/>
    <w:pPr>
      <w:pBdr/>
      <w:spacing/>
      <w:ind/>
    </w:pPr>
  </w:style>
  <w:style w:type="character" w:styleId="1058" w:customStyle="1">
    <w:name w:val="WW8Num27z1"/>
    <w:qFormat/>
    <w:pPr>
      <w:pBdr/>
      <w:spacing/>
      <w:ind/>
    </w:pPr>
  </w:style>
  <w:style w:type="character" w:styleId="1059" w:customStyle="1">
    <w:name w:val="WW8Num27z2"/>
    <w:qFormat/>
    <w:pPr>
      <w:pBdr/>
      <w:spacing/>
      <w:ind/>
    </w:pPr>
  </w:style>
  <w:style w:type="character" w:styleId="1060" w:customStyle="1">
    <w:name w:val="WW8Num27z3"/>
    <w:qFormat/>
    <w:pPr>
      <w:pBdr/>
      <w:spacing/>
      <w:ind/>
    </w:pPr>
  </w:style>
  <w:style w:type="character" w:styleId="1061" w:customStyle="1">
    <w:name w:val="WW8Num27z4"/>
    <w:qFormat/>
    <w:pPr>
      <w:pBdr/>
      <w:spacing/>
      <w:ind/>
    </w:pPr>
  </w:style>
  <w:style w:type="character" w:styleId="1062" w:customStyle="1">
    <w:name w:val="WW8Num27z5"/>
    <w:qFormat/>
    <w:pPr>
      <w:pBdr/>
      <w:spacing/>
      <w:ind/>
    </w:pPr>
  </w:style>
  <w:style w:type="character" w:styleId="1063" w:customStyle="1">
    <w:name w:val="WW8Num27z6"/>
    <w:qFormat/>
    <w:pPr>
      <w:pBdr/>
      <w:spacing/>
      <w:ind/>
    </w:pPr>
  </w:style>
  <w:style w:type="character" w:styleId="1064" w:customStyle="1">
    <w:name w:val="WW8Num27z7"/>
    <w:qFormat/>
    <w:pPr>
      <w:pBdr/>
      <w:spacing/>
      <w:ind/>
    </w:pPr>
  </w:style>
  <w:style w:type="character" w:styleId="1065" w:customStyle="1">
    <w:name w:val="WW8Num27z8"/>
    <w:qFormat/>
    <w:pPr>
      <w:pBdr/>
      <w:spacing/>
      <w:ind/>
    </w:pPr>
  </w:style>
  <w:style w:type="character" w:styleId="1066" w:customStyle="1">
    <w:name w:val="WW8Num28z0"/>
    <w:qFormat/>
    <w:pPr>
      <w:pBdr/>
      <w:spacing/>
      <w:ind/>
    </w:pPr>
  </w:style>
  <w:style w:type="character" w:styleId="1067" w:customStyle="1">
    <w:name w:val="WW8Num28z1"/>
    <w:qFormat/>
    <w:pPr>
      <w:pBdr/>
      <w:spacing/>
      <w:ind/>
    </w:pPr>
  </w:style>
  <w:style w:type="character" w:styleId="1068" w:customStyle="1">
    <w:name w:val="WW8Num28z2"/>
    <w:qFormat/>
    <w:pPr>
      <w:pBdr/>
      <w:spacing/>
      <w:ind/>
    </w:pPr>
  </w:style>
  <w:style w:type="character" w:styleId="1069" w:customStyle="1">
    <w:name w:val="WW8Num28z3"/>
    <w:qFormat/>
    <w:pPr>
      <w:pBdr/>
      <w:spacing/>
      <w:ind/>
    </w:pPr>
  </w:style>
  <w:style w:type="character" w:styleId="1070" w:customStyle="1">
    <w:name w:val="WW8Num28z4"/>
    <w:qFormat/>
    <w:pPr>
      <w:pBdr/>
      <w:spacing/>
      <w:ind/>
    </w:pPr>
  </w:style>
  <w:style w:type="character" w:styleId="1071" w:customStyle="1">
    <w:name w:val="WW8Num28z5"/>
    <w:qFormat/>
    <w:pPr>
      <w:pBdr/>
      <w:spacing/>
      <w:ind/>
    </w:pPr>
  </w:style>
  <w:style w:type="character" w:styleId="1072" w:customStyle="1">
    <w:name w:val="WW8Num28z6"/>
    <w:qFormat/>
    <w:pPr>
      <w:pBdr/>
      <w:spacing/>
      <w:ind/>
    </w:pPr>
  </w:style>
  <w:style w:type="character" w:styleId="1073" w:customStyle="1">
    <w:name w:val="WW8Num28z7"/>
    <w:qFormat/>
    <w:pPr>
      <w:pBdr/>
      <w:spacing/>
      <w:ind/>
    </w:pPr>
  </w:style>
  <w:style w:type="character" w:styleId="1074" w:customStyle="1">
    <w:name w:val="WW8Num28z8"/>
    <w:qFormat/>
    <w:pPr>
      <w:pBdr/>
      <w:spacing/>
      <w:ind/>
    </w:pPr>
  </w:style>
  <w:style w:type="character" w:styleId="1075" w:customStyle="1">
    <w:name w:val="WW8Num29z0"/>
    <w:qFormat/>
    <w:pPr>
      <w:pBdr/>
      <w:spacing/>
      <w:ind/>
    </w:pPr>
  </w:style>
  <w:style w:type="character" w:styleId="1076" w:customStyle="1">
    <w:name w:val="WW8Num29z1"/>
    <w:qFormat/>
    <w:pPr>
      <w:pBdr/>
      <w:spacing/>
      <w:ind/>
    </w:pPr>
  </w:style>
  <w:style w:type="character" w:styleId="1077" w:customStyle="1">
    <w:name w:val="WW8Num29z2"/>
    <w:qFormat/>
    <w:pPr>
      <w:pBdr/>
      <w:spacing/>
      <w:ind/>
    </w:pPr>
  </w:style>
  <w:style w:type="character" w:styleId="1078" w:customStyle="1">
    <w:name w:val="WW8Num29z3"/>
    <w:qFormat/>
    <w:pPr>
      <w:pBdr/>
      <w:spacing/>
      <w:ind/>
    </w:pPr>
  </w:style>
  <w:style w:type="character" w:styleId="1079" w:customStyle="1">
    <w:name w:val="WW8Num29z4"/>
    <w:qFormat/>
    <w:pPr>
      <w:pBdr/>
      <w:spacing/>
      <w:ind/>
    </w:pPr>
  </w:style>
  <w:style w:type="character" w:styleId="1080" w:customStyle="1">
    <w:name w:val="WW8Num29z5"/>
    <w:qFormat/>
    <w:pPr>
      <w:pBdr/>
      <w:spacing/>
      <w:ind/>
    </w:pPr>
  </w:style>
  <w:style w:type="character" w:styleId="1081" w:customStyle="1">
    <w:name w:val="WW8Num29z6"/>
    <w:qFormat/>
    <w:pPr>
      <w:pBdr/>
      <w:spacing/>
      <w:ind/>
    </w:pPr>
  </w:style>
  <w:style w:type="character" w:styleId="1082" w:customStyle="1">
    <w:name w:val="WW8Num29z7"/>
    <w:qFormat/>
    <w:pPr>
      <w:pBdr/>
      <w:spacing/>
      <w:ind/>
    </w:pPr>
  </w:style>
  <w:style w:type="character" w:styleId="1083" w:customStyle="1">
    <w:name w:val="WW8Num29z8"/>
    <w:qFormat/>
    <w:pPr>
      <w:pBdr/>
      <w:spacing/>
      <w:ind/>
    </w:pPr>
  </w:style>
  <w:style w:type="character" w:styleId="1084" w:customStyle="1">
    <w:name w:val="WW8Num30z0"/>
    <w:qFormat/>
    <w:pPr>
      <w:pBdr/>
      <w:spacing/>
      <w:ind/>
    </w:pPr>
  </w:style>
  <w:style w:type="character" w:styleId="1085" w:customStyle="1">
    <w:name w:val="WW8Num30z1"/>
    <w:qFormat/>
    <w:pPr>
      <w:pBdr/>
      <w:spacing/>
      <w:ind/>
    </w:pPr>
  </w:style>
  <w:style w:type="character" w:styleId="1086" w:customStyle="1">
    <w:name w:val="WW8Num30z2"/>
    <w:qFormat/>
    <w:pPr>
      <w:pBdr/>
      <w:spacing/>
      <w:ind/>
    </w:pPr>
  </w:style>
  <w:style w:type="character" w:styleId="1087" w:customStyle="1">
    <w:name w:val="WW8Num30z3"/>
    <w:qFormat/>
    <w:pPr>
      <w:pBdr/>
      <w:spacing/>
      <w:ind/>
    </w:pPr>
  </w:style>
  <w:style w:type="character" w:styleId="1088" w:customStyle="1">
    <w:name w:val="WW8Num30z4"/>
    <w:qFormat/>
    <w:pPr>
      <w:pBdr/>
      <w:spacing/>
      <w:ind/>
    </w:pPr>
  </w:style>
  <w:style w:type="character" w:styleId="1089" w:customStyle="1">
    <w:name w:val="WW8Num30z5"/>
    <w:qFormat/>
    <w:pPr>
      <w:pBdr/>
      <w:spacing/>
      <w:ind/>
    </w:pPr>
  </w:style>
  <w:style w:type="character" w:styleId="1090" w:customStyle="1">
    <w:name w:val="WW8Num30z6"/>
    <w:qFormat/>
    <w:pPr>
      <w:pBdr/>
      <w:spacing/>
      <w:ind/>
    </w:pPr>
  </w:style>
  <w:style w:type="character" w:styleId="1091" w:customStyle="1">
    <w:name w:val="WW8Num30z7"/>
    <w:qFormat/>
    <w:pPr>
      <w:pBdr/>
      <w:spacing/>
      <w:ind/>
    </w:pPr>
  </w:style>
  <w:style w:type="character" w:styleId="1092" w:customStyle="1">
    <w:name w:val="WW8Num30z8"/>
    <w:qFormat/>
    <w:pPr>
      <w:pBdr/>
      <w:spacing/>
      <w:ind/>
    </w:pPr>
  </w:style>
  <w:style w:type="character" w:styleId="1093" w:customStyle="1">
    <w:name w:val="WW8Num31z0"/>
    <w:qFormat/>
    <w:pPr>
      <w:pBdr/>
      <w:spacing/>
      <w:ind/>
    </w:pPr>
  </w:style>
  <w:style w:type="character" w:styleId="1094" w:customStyle="1">
    <w:name w:val="WW8Num31z1"/>
    <w:qFormat/>
    <w:pPr>
      <w:pBdr/>
      <w:spacing/>
      <w:ind/>
    </w:pPr>
  </w:style>
  <w:style w:type="character" w:styleId="1095" w:customStyle="1">
    <w:name w:val="WW8Num31z2"/>
    <w:qFormat/>
    <w:pPr>
      <w:pBdr/>
      <w:spacing/>
      <w:ind/>
    </w:pPr>
  </w:style>
  <w:style w:type="character" w:styleId="1096" w:customStyle="1">
    <w:name w:val="WW8Num31z3"/>
    <w:qFormat/>
    <w:pPr>
      <w:pBdr/>
      <w:spacing/>
      <w:ind/>
    </w:pPr>
  </w:style>
  <w:style w:type="character" w:styleId="1097" w:customStyle="1">
    <w:name w:val="WW8Num31z4"/>
    <w:qFormat/>
    <w:pPr>
      <w:pBdr/>
      <w:spacing/>
      <w:ind/>
    </w:pPr>
  </w:style>
  <w:style w:type="character" w:styleId="1098" w:customStyle="1">
    <w:name w:val="WW8Num31z5"/>
    <w:qFormat/>
    <w:pPr>
      <w:pBdr/>
      <w:spacing/>
      <w:ind/>
    </w:pPr>
  </w:style>
  <w:style w:type="character" w:styleId="1099" w:customStyle="1">
    <w:name w:val="WW8Num31z6"/>
    <w:qFormat/>
    <w:pPr>
      <w:pBdr/>
      <w:spacing/>
      <w:ind/>
    </w:pPr>
  </w:style>
  <w:style w:type="character" w:styleId="1100" w:customStyle="1">
    <w:name w:val="WW8Num31z7"/>
    <w:qFormat/>
    <w:pPr>
      <w:pBdr/>
      <w:spacing/>
      <w:ind/>
    </w:pPr>
  </w:style>
  <w:style w:type="character" w:styleId="1101" w:customStyle="1">
    <w:name w:val="WW8Num31z8"/>
    <w:qFormat/>
    <w:pPr>
      <w:pBdr/>
      <w:spacing/>
      <w:ind/>
    </w:pPr>
  </w:style>
  <w:style w:type="character" w:styleId="1102" w:customStyle="1">
    <w:name w:val="WW8Num32z0"/>
    <w:qFormat/>
    <w:pPr>
      <w:pBdr/>
      <w:spacing/>
      <w:ind/>
    </w:pPr>
  </w:style>
  <w:style w:type="character" w:styleId="1103" w:customStyle="1">
    <w:name w:val="WW8Num32z1"/>
    <w:qFormat/>
    <w:pPr>
      <w:pBdr/>
      <w:spacing/>
      <w:ind/>
    </w:pPr>
  </w:style>
  <w:style w:type="character" w:styleId="1104" w:customStyle="1">
    <w:name w:val="WW8Num32z2"/>
    <w:qFormat/>
    <w:pPr>
      <w:pBdr/>
      <w:spacing/>
      <w:ind/>
    </w:pPr>
  </w:style>
  <w:style w:type="character" w:styleId="1105" w:customStyle="1">
    <w:name w:val="WW8Num32z3"/>
    <w:qFormat/>
    <w:pPr>
      <w:pBdr/>
      <w:spacing/>
      <w:ind/>
    </w:pPr>
  </w:style>
  <w:style w:type="character" w:styleId="1106" w:customStyle="1">
    <w:name w:val="WW8Num32z4"/>
    <w:qFormat/>
    <w:pPr>
      <w:pBdr/>
      <w:spacing/>
      <w:ind/>
    </w:pPr>
  </w:style>
  <w:style w:type="character" w:styleId="1107" w:customStyle="1">
    <w:name w:val="WW8Num32z5"/>
    <w:qFormat/>
    <w:pPr>
      <w:pBdr/>
      <w:spacing/>
      <w:ind/>
    </w:pPr>
  </w:style>
  <w:style w:type="character" w:styleId="1108" w:customStyle="1">
    <w:name w:val="WW8Num32z6"/>
    <w:qFormat/>
    <w:pPr>
      <w:pBdr/>
      <w:spacing/>
      <w:ind/>
    </w:pPr>
  </w:style>
  <w:style w:type="character" w:styleId="1109" w:customStyle="1">
    <w:name w:val="WW8Num32z7"/>
    <w:qFormat/>
    <w:pPr>
      <w:pBdr/>
      <w:spacing/>
      <w:ind/>
    </w:pPr>
  </w:style>
  <w:style w:type="character" w:styleId="1110" w:customStyle="1">
    <w:name w:val="WW8Num32z8"/>
    <w:qFormat/>
    <w:pPr>
      <w:pBdr/>
      <w:spacing/>
      <w:ind/>
    </w:pPr>
  </w:style>
  <w:style w:type="character" w:styleId="1111" w:customStyle="1">
    <w:name w:val="WW8Num33z0"/>
    <w:qFormat/>
    <w:pPr>
      <w:pBdr/>
      <w:spacing/>
      <w:ind/>
    </w:pPr>
  </w:style>
  <w:style w:type="character" w:styleId="1112" w:customStyle="1">
    <w:name w:val="WW8Num33z1"/>
    <w:qFormat/>
    <w:pPr>
      <w:pBdr/>
      <w:spacing/>
      <w:ind/>
    </w:pPr>
  </w:style>
  <w:style w:type="character" w:styleId="1113" w:customStyle="1">
    <w:name w:val="WW8Num33z2"/>
    <w:qFormat/>
    <w:pPr>
      <w:pBdr/>
      <w:spacing/>
      <w:ind/>
    </w:pPr>
  </w:style>
  <w:style w:type="character" w:styleId="1114" w:customStyle="1">
    <w:name w:val="WW8Num33z3"/>
    <w:qFormat/>
    <w:pPr>
      <w:pBdr/>
      <w:spacing/>
      <w:ind/>
    </w:pPr>
  </w:style>
  <w:style w:type="character" w:styleId="1115" w:customStyle="1">
    <w:name w:val="WW8Num33z4"/>
    <w:qFormat/>
    <w:pPr>
      <w:pBdr/>
      <w:spacing/>
      <w:ind/>
    </w:pPr>
  </w:style>
  <w:style w:type="character" w:styleId="1116" w:customStyle="1">
    <w:name w:val="WW8Num33z5"/>
    <w:qFormat/>
    <w:pPr>
      <w:pBdr/>
      <w:spacing/>
      <w:ind/>
    </w:pPr>
  </w:style>
  <w:style w:type="character" w:styleId="1117" w:customStyle="1">
    <w:name w:val="WW8Num33z6"/>
    <w:qFormat/>
    <w:pPr>
      <w:pBdr/>
      <w:spacing/>
      <w:ind/>
    </w:pPr>
  </w:style>
  <w:style w:type="character" w:styleId="1118" w:customStyle="1">
    <w:name w:val="WW8Num33z7"/>
    <w:qFormat/>
    <w:pPr>
      <w:pBdr/>
      <w:spacing/>
      <w:ind/>
    </w:pPr>
  </w:style>
  <w:style w:type="character" w:styleId="1119" w:customStyle="1">
    <w:name w:val="WW8Num33z8"/>
    <w:qFormat/>
    <w:pPr>
      <w:pBdr/>
      <w:spacing/>
      <w:ind/>
    </w:pPr>
  </w:style>
  <w:style w:type="character" w:styleId="1120" w:customStyle="1">
    <w:name w:val="WW8Num34z0"/>
    <w:qFormat/>
    <w:pPr>
      <w:pBdr/>
      <w:spacing/>
      <w:ind/>
    </w:pPr>
  </w:style>
  <w:style w:type="character" w:styleId="1121" w:customStyle="1">
    <w:name w:val="WW8Num34z1"/>
    <w:qFormat/>
    <w:pPr>
      <w:pBdr/>
      <w:spacing/>
      <w:ind/>
    </w:pPr>
  </w:style>
  <w:style w:type="character" w:styleId="1122" w:customStyle="1">
    <w:name w:val="WW8Num34z2"/>
    <w:qFormat/>
    <w:pPr>
      <w:pBdr/>
      <w:spacing/>
      <w:ind/>
    </w:pPr>
  </w:style>
  <w:style w:type="character" w:styleId="1123" w:customStyle="1">
    <w:name w:val="WW8Num34z3"/>
    <w:qFormat/>
    <w:pPr>
      <w:pBdr/>
      <w:spacing/>
      <w:ind/>
    </w:pPr>
  </w:style>
  <w:style w:type="character" w:styleId="1124" w:customStyle="1">
    <w:name w:val="WW8Num34z4"/>
    <w:qFormat/>
    <w:pPr>
      <w:pBdr/>
      <w:spacing/>
      <w:ind/>
    </w:pPr>
  </w:style>
  <w:style w:type="character" w:styleId="1125" w:customStyle="1">
    <w:name w:val="WW8Num34z5"/>
    <w:qFormat/>
    <w:pPr>
      <w:pBdr/>
      <w:spacing/>
      <w:ind/>
    </w:pPr>
  </w:style>
  <w:style w:type="character" w:styleId="1126" w:customStyle="1">
    <w:name w:val="WW8Num34z6"/>
    <w:qFormat/>
    <w:pPr>
      <w:pBdr/>
      <w:spacing/>
      <w:ind/>
    </w:pPr>
  </w:style>
  <w:style w:type="character" w:styleId="1127" w:customStyle="1">
    <w:name w:val="WW8Num34z7"/>
    <w:qFormat/>
    <w:pPr>
      <w:pBdr/>
      <w:spacing/>
      <w:ind/>
    </w:pPr>
  </w:style>
  <w:style w:type="character" w:styleId="1128" w:customStyle="1">
    <w:name w:val="WW8Num34z8"/>
    <w:qFormat/>
    <w:pPr>
      <w:pBdr/>
      <w:spacing/>
      <w:ind/>
    </w:pPr>
  </w:style>
  <w:style w:type="character" w:styleId="1129" w:customStyle="1">
    <w:name w:val="WW8Num35z1"/>
    <w:qFormat/>
    <w:pPr>
      <w:pBdr/>
      <w:spacing/>
      <w:ind/>
    </w:pPr>
    <w:rPr>
      <w:rFonts w:ascii="Courier New" w:hAnsi="Courier New"/>
      <w:sz w:val="20"/>
    </w:rPr>
  </w:style>
  <w:style w:type="character" w:styleId="1130" w:customStyle="1">
    <w:name w:val="WW8Num36z0"/>
    <w:qFormat/>
    <w:pPr>
      <w:pBdr/>
      <w:spacing/>
      <w:ind/>
    </w:pPr>
  </w:style>
  <w:style w:type="character" w:styleId="1131" w:customStyle="1">
    <w:name w:val="WW8Num36z1"/>
    <w:qFormat/>
    <w:pPr>
      <w:pBdr/>
      <w:spacing/>
      <w:ind/>
    </w:pPr>
  </w:style>
  <w:style w:type="character" w:styleId="1132" w:customStyle="1">
    <w:name w:val="WW8Num36z2"/>
    <w:qFormat/>
    <w:pPr>
      <w:pBdr/>
      <w:spacing/>
      <w:ind/>
    </w:pPr>
  </w:style>
  <w:style w:type="character" w:styleId="1133" w:customStyle="1">
    <w:name w:val="WW8Num36z3"/>
    <w:qFormat/>
    <w:pPr>
      <w:pBdr/>
      <w:spacing/>
      <w:ind/>
    </w:pPr>
  </w:style>
  <w:style w:type="character" w:styleId="1134" w:customStyle="1">
    <w:name w:val="WW8Num36z4"/>
    <w:qFormat/>
    <w:pPr>
      <w:pBdr/>
      <w:spacing/>
      <w:ind/>
    </w:pPr>
  </w:style>
  <w:style w:type="character" w:styleId="1135" w:customStyle="1">
    <w:name w:val="WW8Num36z5"/>
    <w:qFormat/>
    <w:pPr>
      <w:pBdr/>
      <w:spacing/>
      <w:ind/>
    </w:pPr>
  </w:style>
  <w:style w:type="character" w:styleId="1136" w:customStyle="1">
    <w:name w:val="WW8Num36z6"/>
    <w:qFormat/>
    <w:pPr>
      <w:pBdr/>
      <w:spacing/>
      <w:ind/>
    </w:pPr>
  </w:style>
  <w:style w:type="character" w:styleId="1137" w:customStyle="1">
    <w:name w:val="WW8Num36z7"/>
    <w:qFormat/>
    <w:pPr>
      <w:pBdr/>
      <w:spacing/>
      <w:ind/>
    </w:pPr>
  </w:style>
  <w:style w:type="character" w:styleId="1138" w:customStyle="1">
    <w:name w:val="WW8Num36z8"/>
    <w:qFormat/>
    <w:pPr>
      <w:pBdr/>
      <w:spacing/>
      <w:ind/>
    </w:pPr>
  </w:style>
  <w:style w:type="character" w:styleId="1139" w:customStyle="1">
    <w:name w:val="WW-Default Paragraph Font"/>
    <w:qFormat/>
    <w:pPr>
      <w:pBdr/>
      <w:spacing/>
      <w:ind/>
    </w:pPr>
  </w:style>
  <w:style w:type="character" w:styleId="1140" w:customStyle="1">
    <w:name w:val="Heading 2 Char"/>
    <w:qFormat/>
    <w:pPr>
      <w:pBdr/>
      <w:spacing/>
      <w:ind/>
    </w:pPr>
    <w:rPr>
      <w:rFonts w:ascii="New Century Schoolbook" w:hAnsi="New Century Schoolbook"/>
      <w:b/>
      <w:sz w:val="22"/>
      <w:lang w:val="en-US" w:eastAsia="ro-RO"/>
    </w:rPr>
  </w:style>
  <w:style w:type="character" w:styleId="1141" w:customStyle="1">
    <w:name w:val="Heading 4 Char"/>
    <w:qFormat/>
    <w:pPr>
      <w:pBdr/>
      <w:spacing/>
      <w:ind/>
    </w:pPr>
    <w:rPr>
      <w:rFonts w:ascii="New Century Schoolbook" w:hAnsi="New Century Schoolbook"/>
      <w:b/>
      <w:smallCaps/>
      <w:sz w:val="28"/>
      <w:lang w:val="ro-RO" w:eastAsia="ro-RO"/>
    </w:rPr>
  </w:style>
  <w:style w:type="character" w:styleId="1142" w:customStyle="1">
    <w:name w:val="Heading 5 Char"/>
    <w:qFormat/>
    <w:pPr>
      <w:pBdr/>
      <w:spacing/>
      <w:ind/>
    </w:pPr>
    <w:rPr>
      <w:rFonts w:ascii="New Century Schoolbook" w:hAnsi="New Century Schoolbook"/>
      <w:sz w:val="26"/>
      <w:lang w:val="en-US" w:eastAsia="ro-RO"/>
    </w:rPr>
  </w:style>
  <w:style w:type="character" w:styleId="1143" w:customStyle="1">
    <w:name w:val="NX Char Char"/>
    <w:qFormat/>
    <w:pPr>
      <w:pBdr/>
      <w:spacing/>
      <w:ind/>
    </w:pPr>
    <w:rPr>
      <w:rFonts w:ascii="New Century Schoolbook" w:hAnsi="New Century Schoolbook"/>
      <w:sz w:val="22"/>
      <w:lang w:val="ro-RO" w:eastAsia="ro-RO"/>
    </w:rPr>
  </w:style>
  <w:style w:type="character" w:styleId="1144" w:customStyle="1">
    <w:name w:val="SX"/>
    <w:qFormat/>
    <w:pPr>
      <w:pBdr/>
      <w:spacing/>
      <w:ind/>
    </w:pPr>
  </w:style>
  <w:style w:type="character" w:styleId="1145" w:customStyle="1">
    <w:name w:val="BX"/>
    <w:qFormat/>
    <w:pPr>
      <w:pBdr/>
      <w:spacing/>
      <w:ind/>
    </w:pPr>
    <w:rPr>
      <w:sz w:val="20"/>
    </w:rPr>
  </w:style>
  <w:style w:type="character" w:styleId="1146" w:customStyle="1">
    <w:name w:val="Footnote Characters"/>
    <w:qFormat/>
    <w:pPr>
      <w:pBdr/>
      <w:spacing/>
      <w:ind/>
    </w:pPr>
    <w:rPr>
      <w:vertAlign w:val="superscript"/>
    </w:rPr>
  </w:style>
  <w:style w:type="character" w:styleId="1147" w:customStyle="1">
    <w:name w:val="Title Char1"/>
    <w:qFormat/>
    <w:pPr>
      <w:pBdr/>
      <w:spacing/>
      <w:ind/>
    </w:pPr>
    <w:rPr>
      <w:sz w:val="24"/>
      <w:lang w:val="ro-RO" w:eastAsia="ro-RO"/>
    </w:rPr>
  </w:style>
  <w:style w:type="character" w:styleId="1148" w:customStyle="1">
    <w:name w:val="BT:"/>
    <w:qFormat/>
    <w:pPr>
      <w:pBdr/>
      <w:spacing/>
      <w:ind/>
    </w:pPr>
    <w:rPr>
      <w:rFonts w:ascii="Times New Roman" w:hAnsi="Times New Roman"/>
      <w:i/>
      <w:sz w:val="20"/>
    </w:rPr>
  </w:style>
  <w:style w:type="character" w:styleId="1149" w:customStyle="1">
    <w:name w:val="ET:"/>
    <w:qFormat/>
    <w:pPr>
      <w:pBdr/>
      <w:spacing/>
      <w:ind/>
    </w:pPr>
  </w:style>
  <w:style w:type="character" w:styleId="1150" w:customStyle="1">
    <w:name w:val="ST:"/>
    <w:qFormat/>
    <w:pPr>
      <w:pBdr/>
      <w:spacing/>
      <w:ind/>
    </w:pPr>
  </w:style>
  <w:style w:type="character" w:styleId="1151" w:customStyle="1">
    <w:name w:val="JT:"/>
    <w:qFormat/>
    <w:pPr>
      <w:pBdr/>
      <w:spacing/>
      <w:ind/>
    </w:pPr>
    <w:rPr>
      <w:i/>
    </w:rPr>
  </w:style>
  <w:style w:type="character" w:styleId="1152" w:customStyle="1">
    <w:name w:val="Header Char"/>
    <w:qFormat/>
    <w:pPr>
      <w:pBdr/>
      <w:spacing/>
      <w:ind/>
    </w:pPr>
    <w:rPr>
      <w:rFonts w:ascii="New Century Schoolbook" w:hAnsi="New Century Schoolbook"/>
      <w:sz w:val="18"/>
      <w:lang w:val="ro-RO" w:eastAsia="ro-RO"/>
    </w:rPr>
  </w:style>
  <w:style w:type="character" w:styleId="1153" w:customStyle="1">
    <w:name w:val="HX0."/>
    <w:qFormat/>
    <w:pPr>
      <w:pBdr/>
      <w:spacing/>
      <w:ind/>
    </w:pPr>
  </w:style>
  <w:style w:type="character" w:styleId="1154" w:customStyle="1">
    <w:name w:val="HX1."/>
    <w:qFormat/>
    <w:pPr>
      <w:pBdr/>
      <w:spacing/>
      <w:ind/>
    </w:pPr>
  </w:style>
  <w:style w:type="character" w:styleId="1155" w:customStyle="1">
    <w:name w:val="HX2."/>
    <w:qFormat/>
    <w:pPr>
      <w:pBdr/>
      <w:spacing/>
      <w:ind/>
    </w:pPr>
  </w:style>
  <w:style w:type="character" w:styleId="1156" w:customStyle="1">
    <w:name w:val="HX3."/>
    <w:qFormat/>
    <w:pPr>
      <w:pBdr/>
      <w:spacing/>
      <w:ind/>
    </w:pPr>
  </w:style>
  <w:style w:type="character" w:styleId="1157" w:customStyle="1">
    <w:name w:val="HX4."/>
    <w:qFormat/>
    <w:pPr>
      <w:pBdr/>
      <w:spacing/>
      <w:ind/>
    </w:pPr>
  </w:style>
  <w:style w:type="character" w:styleId="1158" w:customStyle="1">
    <w:name w:val="HX5."/>
    <w:qFormat/>
    <w:pPr>
      <w:pBdr/>
      <w:spacing/>
      <w:ind/>
    </w:pPr>
  </w:style>
  <w:style w:type="character" w:styleId="1159" w:customStyle="1">
    <w:name w:val="EX0"/>
    <w:pPr>
      <w:pBdr/>
      <w:spacing/>
      <w:ind/>
    </w:pPr>
  </w:style>
  <w:style w:type="character" w:styleId="1160" w:customStyle="1">
    <w:name w:val="EX1"/>
    <w:pPr>
      <w:pBdr/>
      <w:spacing/>
      <w:ind/>
    </w:pPr>
  </w:style>
  <w:style w:type="character" w:styleId="1161" w:customStyle="1">
    <w:name w:val="EX2"/>
    <w:pPr>
      <w:pBdr/>
      <w:spacing/>
      <w:ind/>
    </w:pPr>
  </w:style>
  <w:style w:type="character" w:styleId="1162" w:customStyle="1">
    <w:name w:val="EX3"/>
    <w:pPr>
      <w:pBdr/>
      <w:spacing/>
      <w:ind/>
    </w:pPr>
  </w:style>
  <w:style w:type="character" w:styleId="1163" w:customStyle="1">
    <w:name w:val="EX4"/>
    <w:pPr>
      <w:pBdr/>
      <w:spacing/>
      <w:ind/>
    </w:pPr>
  </w:style>
  <w:style w:type="character" w:styleId="1164" w:customStyle="1">
    <w:name w:val="EX5"/>
    <w:pPr>
      <w:pBdr/>
      <w:spacing/>
      <w:ind/>
    </w:pPr>
  </w:style>
  <w:style w:type="character" w:styleId="1165" w:customStyle="1">
    <w:name w:val="Număr de pagină1"/>
    <w:qFormat/>
    <w:pPr>
      <w:pBdr/>
      <w:spacing/>
      <w:ind/>
    </w:pPr>
    <w:rPr>
      <w:rFonts w:ascii="New Century Schoolbook" w:hAnsi="New Century Schoolbook"/>
      <w:sz w:val="18"/>
    </w:rPr>
  </w:style>
  <w:style w:type="character" w:styleId="1166" w:customStyle="1">
    <w:name w:val="ch. head Char"/>
    <w:qFormat/>
    <w:pPr>
      <w:pBdr/>
      <w:spacing/>
      <w:ind/>
    </w:pPr>
    <w:rPr>
      <w:rFonts w:ascii="New Century Schoolbook" w:hAnsi="New Century Schoolbook"/>
      <w:b/>
      <w:smallCaps/>
      <w:sz w:val="24"/>
      <w:lang w:val="ro-RO" w:eastAsia="ro-RO"/>
    </w:rPr>
  </w:style>
  <w:style w:type="character" w:styleId="1167">
    <w:name w:val="line number"/>
    <w:qFormat/>
    <w:pPr>
      <w:pBdr/>
      <w:spacing/>
      <w:ind/>
    </w:pPr>
    <w:rPr>
      <w:rFonts w:cs="Times New Roman"/>
    </w:rPr>
  </w:style>
  <w:style w:type="character" w:styleId="1168" w:customStyle="1">
    <w:name w:val="Style Justified First line:  4 mm char Char"/>
    <w:qFormat/>
    <w:pPr>
      <w:pBdr/>
      <w:spacing/>
      <w:ind/>
    </w:pPr>
    <w:rPr>
      <w:rFonts w:ascii="New Century Schoolbook" w:hAnsi="New Century Schoolbook"/>
      <w:sz w:val="24"/>
      <w:lang w:val="ro-RO" w:eastAsia="ro-RO"/>
    </w:rPr>
  </w:style>
  <w:style w:type="character" w:styleId="1169">
    <w:name w:val="Hyperlink"/>
    <w:uiPriority w:val="99"/>
    <w:pPr>
      <w:pBdr/>
      <w:spacing/>
      <w:ind/>
    </w:pPr>
    <w:rPr>
      <w:color w:val="0000ff"/>
      <w:u w:val="single"/>
    </w:rPr>
  </w:style>
  <w:style w:type="character" w:styleId="1170" w:customStyle="1">
    <w:name w:val="Footnote Text Char"/>
    <w:qFormat/>
    <w:pPr>
      <w:pBdr/>
      <w:spacing/>
      <w:ind/>
    </w:pPr>
    <w:rPr>
      <w:rFonts w:ascii="New Century Schoolbook" w:hAnsi="New Century Schoolbook"/>
      <w:sz w:val="18"/>
      <w:lang w:val="ro-RO" w:eastAsia="ro-RO"/>
    </w:rPr>
  </w:style>
  <w:style w:type="character" w:styleId="1171" w:customStyle="1">
    <w:name w:val="Referință comentariu1"/>
    <w:qFormat/>
    <w:pPr>
      <w:pBdr/>
      <w:spacing/>
      <w:ind/>
    </w:pPr>
    <w:rPr>
      <w:sz w:val="16"/>
    </w:rPr>
  </w:style>
  <w:style w:type="character" w:styleId="1172" w:customStyle="1">
    <w:name w:val="Heading 3 Char"/>
    <w:qFormat/>
    <w:pPr>
      <w:pBdr/>
      <w:spacing/>
      <w:ind/>
    </w:pPr>
    <w:rPr>
      <w:rFonts w:ascii="Gentium" w:hAnsi="Gentium"/>
      <w:b/>
      <w:i/>
      <w:color w:val="auto"/>
      <w:sz w:val="22"/>
      <w:lang w:val="en-US" w:eastAsia="ro-RO"/>
    </w:rPr>
  </w:style>
  <w:style w:type="character" w:styleId="1173" w:customStyle="1">
    <w:name w:val="Style Justified First line:  4 mm Char Char Char"/>
    <w:qFormat/>
    <w:pPr>
      <w:pBdr/>
      <w:spacing/>
      <w:ind/>
    </w:pPr>
    <w:rPr>
      <w:rFonts w:ascii="New Century Schoolbook" w:hAnsi="New Century Schoolbook"/>
      <w:sz w:val="24"/>
      <w:lang w:val="en-US" w:eastAsia="ro-RO"/>
    </w:rPr>
  </w:style>
  <w:style w:type="character" w:styleId="1174" w:customStyle="1">
    <w:name w:val="Style New Century Schoolbook Justified Char"/>
    <w:qFormat/>
    <w:pPr>
      <w:pBdr/>
      <w:spacing/>
      <w:ind/>
    </w:pPr>
    <w:rPr>
      <w:rFonts w:ascii="New Century Schoolbook" w:hAnsi="New Century Schoolbook"/>
      <w:sz w:val="22"/>
      <w:lang w:val="en-US" w:eastAsia="ro-RO"/>
    </w:rPr>
  </w:style>
  <w:style w:type="character" w:styleId="1175" w:customStyle="1">
    <w:name w:val="Style Justified Char"/>
    <w:qFormat/>
    <w:pPr>
      <w:pBdr/>
      <w:spacing/>
      <w:ind/>
    </w:pPr>
    <w:rPr>
      <w:rFonts w:ascii="New Century Schoolbook" w:hAnsi="New Century Schoolbook"/>
      <w:sz w:val="22"/>
      <w:lang w:val="ro-RO" w:eastAsia="ro-RO"/>
    </w:rPr>
  </w:style>
  <w:style w:type="character" w:styleId="1176">
    <w:name w:val="Strong"/>
    <w:qFormat/>
    <w:pPr>
      <w:pBdr/>
      <w:spacing/>
      <w:ind/>
    </w:pPr>
    <w:rPr>
      <w:b/>
    </w:rPr>
  </w:style>
  <w:style w:type="character" w:styleId="1177" w:customStyle="1">
    <w:name w:val="Style Justified First line:  4 mm Char1"/>
    <w:qFormat/>
    <w:pPr>
      <w:pBdr/>
      <w:spacing/>
      <w:ind/>
    </w:pPr>
    <w:rPr>
      <w:rFonts w:ascii="New Century Schoolbook" w:hAnsi="New Century Schoolbook"/>
      <w:sz w:val="24"/>
      <w:lang w:val="en-US" w:eastAsia="ro-RO"/>
    </w:rPr>
  </w:style>
  <w:style w:type="character" w:styleId="1178" w:customStyle="1">
    <w:name w:val="Footnote Text Char1"/>
    <w:qFormat/>
    <w:pPr>
      <w:pBdr/>
      <w:spacing/>
      <w:ind/>
    </w:pPr>
    <w:rPr>
      <w:rFonts w:ascii="New Century Schoolbook" w:hAnsi="New Century Schoolbook"/>
      <w:sz w:val="18"/>
      <w:lang w:val="ro-RO" w:eastAsia="ro-RO"/>
    </w:rPr>
  </w:style>
  <w:style w:type="character" w:styleId="1179" w:customStyle="1">
    <w:name w:val="Style Justified First line:  4 mm Char Char Char1"/>
    <w:qFormat/>
    <w:pPr>
      <w:pBdr/>
      <w:spacing/>
      <w:ind/>
    </w:pPr>
    <w:rPr>
      <w:rFonts w:ascii="New Century Schoolbook" w:hAnsi="New Century Schoolbook"/>
      <w:sz w:val="24"/>
      <w:lang w:val="ro-RO" w:eastAsia="ro-RO"/>
    </w:rPr>
  </w:style>
  <w:style w:type="character" w:styleId="1180" w:customStyle="1">
    <w:name w:val="Footnote Text Char2"/>
    <w:qFormat/>
    <w:pPr>
      <w:pBdr/>
      <w:spacing/>
      <w:ind/>
    </w:pPr>
    <w:rPr>
      <w:rFonts w:ascii="New Century Schoolbook" w:hAnsi="New Century Schoolbook"/>
      <w:sz w:val="18"/>
      <w:lang w:val="ro-RO" w:eastAsia="ro-RO"/>
    </w:rPr>
  </w:style>
  <w:style w:type="character" w:styleId="1181" w:customStyle="1">
    <w:name w:val="Body Text 2 Char"/>
    <w:qFormat/>
    <w:pPr>
      <w:pBdr/>
      <w:spacing/>
      <w:ind/>
    </w:pPr>
    <w:rPr>
      <w:sz w:val="24"/>
      <w:lang w:val="ro-RO" w:eastAsia="ro-RO"/>
    </w:rPr>
  </w:style>
  <w:style w:type="character" w:styleId="1182" w:customStyle="1">
    <w:name w:val="Body Text 3 Char"/>
    <w:qFormat/>
    <w:pPr>
      <w:pBdr/>
      <w:spacing/>
      <w:ind/>
    </w:pPr>
    <w:rPr>
      <w:sz w:val="16"/>
      <w:lang w:val="ro-RO" w:eastAsia="ro-RO"/>
    </w:rPr>
  </w:style>
  <w:style w:type="character" w:styleId="1183" w:customStyle="1">
    <w:name w:val="Body Text Indent Char"/>
    <w:qFormat/>
    <w:pPr>
      <w:pBdr/>
      <w:spacing/>
      <w:ind/>
    </w:pPr>
    <w:rPr>
      <w:sz w:val="24"/>
      <w:lang w:val="ro-RO" w:eastAsia="ro-RO"/>
    </w:rPr>
  </w:style>
  <w:style w:type="character" w:styleId="1184" w:customStyle="1">
    <w:name w:val="Style Justified First line:  4 mm Char"/>
    <w:qFormat/>
    <w:pPr>
      <w:pBdr/>
      <w:spacing/>
      <w:ind/>
    </w:pPr>
    <w:rPr>
      <w:rFonts w:ascii="New Century Schoolbook" w:hAnsi="New Century Schoolbook"/>
      <w:sz w:val="22"/>
      <w:lang w:val="en-US" w:eastAsia="ro-RO"/>
    </w:rPr>
  </w:style>
  <w:style w:type="character" w:styleId="1185" w:customStyle="1">
    <w:name w:val="Id matter Char"/>
    <w:qFormat/>
    <w:pPr>
      <w:pBdr/>
      <w:spacing/>
      <w:ind/>
    </w:pPr>
    <w:rPr>
      <w:rFonts w:ascii="New Century Schoolbook" w:hAnsi="New Century Schoolbook"/>
      <w:lang w:val="en-US" w:eastAsia="ro-RO"/>
    </w:rPr>
  </w:style>
  <w:style w:type="character" w:styleId="1186" w:customStyle="1">
    <w:name w:val="Style ET: + New Century Schoolbook 11 pt"/>
    <w:qFormat/>
    <w:pPr>
      <w:pBdr/>
      <w:spacing/>
      <w:ind/>
    </w:pPr>
    <w:rPr>
      <w:rFonts w:ascii="New Century Schoolbook" w:hAnsi="New Century Schoolbook"/>
      <w:sz w:val="18"/>
    </w:rPr>
  </w:style>
  <w:style w:type="character" w:styleId="1187" w:customStyle="1">
    <w:name w:val="Biblio style Char"/>
    <w:qFormat/>
    <w:pPr>
      <w:pBdr/>
      <w:spacing/>
      <w:ind/>
    </w:pPr>
    <w:rPr>
      <w:rFonts w:ascii="New Century Schoolbook" w:hAnsi="New Century Schoolbook"/>
      <w:sz w:val="22"/>
      <w:lang w:val="en-US" w:eastAsia="ro-RO"/>
    </w:rPr>
  </w:style>
  <w:style w:type="character" w:styleId="1188" w:customStyle="1">
    <w:name w:val="Style ST: + New Century Schoolbook 11 pt Char"/>
    <w:qFormat/>
    <w:pPr>
      <w:pBdr/>
      <w:spacing/>
      <w:ind/>
    </w:pPr>
    <w:rPr>
      <w:rFonts w:ascii="New Century Schoolbook" w:hAnsi="New Century Schoolbook"/>
      <w:sz w:val="18"/>
      <w:lang w:val="en-US" w:eastAsia="ro-RO"/>
    </w:rPr>
  </w:style>
  <w:style w:type="character" w:styleId="1189" w:customStyle="1">
    <w:name w:val="Style JT: + New Century Schoolbook 11 pt Char"/>
    <w:qFormat/>
    <w:pPr>
      <w:pBdr/>
      <w:spacing/>
      <w:ind/>
    </w:pPr>
    <w:rPr>
      <w:rFonts w:ascii="New Century Schoolbook" w:hAnsi="New Century Schoolbook"/>
      <w:i/>
      <w:sz w:val="22"/>
      <w:lang w:val="en-US" w:eastAsia="ro-RO"/>
    </w:rPr>
  </w:style>
  <w:style w:type="character" w:styleId="1190" w:customStyle="1">
    <w:name w:val="Cite Char"/>
    <w:qFormat/>
    <w:pPr>
      <w:pBdr/>
      <w:spacing/>
      <w:ind/>
    </w:pPr>
    <w:rPr>
      <w:rFonts w:ascii="New Century Schoolbook" w:hAnsi="New Century Schoolbook"/>
      <w:sz w:val="18"/>
      <w:lang w:val="en-US" w:eastAsia="ro-RO"/>
    </w:rPr>
  </w:style>
  <w:style w:type="character" w:styleId="1191" w:customStyle="1">
    <w:name w:val="IX"/>
    <w:qFormat/>
    <w:pPr>
      <w:pBdr/>
      <w:spacing/>
      <w:ind/>
    </w:pPr>
  </w:style>
  <w:style w:type="character" w:styleId="1192" w:customStyle="1">
    <w:name w:val="apple-converted-space"/>
    <w:qFormat/>
    <w:pPr>
      <w:pBdr/>
      <w:spacing/>
      <w:ind/>
    </w:pPr>
  </w:style>
  <w:style w:type="character" w:styleId="1193" w:customStyle="1">
    <w:name w:val="Body Text Indent 2 Char"/>
    <w:qFormat/>
    <w:pPr>
      <w:pBdr/>
      <w:spacing/>
      <w:ind/>
    </w:pPr>
    <w:rPr>
      <w:sz w:val="24"/>
      <w:lang w:val="ro-RO" w:eastAsia="ro-RO"/>
    </w:rPr>
  </w:style>
  <w:style w:type="character" w:styleId="1194" w:customStyle="1">
    <w:name w:val="Style Body Text Indent 2 + Italic Char Char"/>
    <w:qFormat/>
    <w:pPr>
      <w:pBdr/>
      <w:spacing/>
      <w:ind/>
    </w:pPr>
    <w:rPr>
      <w:rFonts w:ascii="New Century Schoolbook" w:hAnsi="New Century Schoolbook"/>
      <w:color w:val="000000"/>
      <w:sz w:val="24"/>
      <w:lang w:val="ro-RO" w:eastAsia="ro-RO"/>
    </w:rPr>
  </w:style>
  <w:style w:type="character" w:styleId="1195" w:customStyle="1">
    <w:name w:val="Style Body Text Indent 2 + 11 pt Char"/>
    <w:qFormat/>
    <w:pPr>
      <w:pBdr/>
      <w:spacing/>
      <w:ind/>
    </w:pPr>
    <w:rPr>
      <w:rFonts w:ascii="New Century Schoolbook" w:hAnsi="New Century Schoolbook"/>
      <w:color w:val="000000"/>
      <w:sz w:val="22"/>
      <w:lang w:val="ro-RO" w:eastAsia="ro-RO"/>
    </w:rPr>
  </w:style>
  <w:style w:type="character" w:styleId="1196" w:customStyle="1">
    <w:name w:val="footnotes Char"/>
    <w:qFormat/>
    <w:pPr>
      <w:pBdr/>
      <w:spacing/>
      <w:ind/>
    </w:pPr>
    <w:rPr>
      <w:sz w:val="24"/>
    </w:rPr>
  </w:style>
  <w:style w:type="character" w:styleId="1197" w:customStyle="1">
    <w:name w:val="Block quote Char"/>
    <w:qFormat/>
    <w:pPr>
      <w:pBdr/>
      <w:spacing/>
      <w:ind/>
    </w:pPr>
    <w:rPr>
      <w:rFonts w:ascii="New Century Schoolbook" w:hAnsi="New Century Schoolbook"/>
      <w:color w:val="000000"/>
      <w:sz w:val="22"/>
      <w:lang w:val="ro-RO" w:eastAsia="ro-RO"/>
    </w:rPr>
  </w:style>
  <w:style w:type="character" w:styleId="1198" w:customStyle="1">
    <w:name w:val="block narativ Char"/>
    <w:qFormat/>
    <w:pPr>
      <w:pBdr/>
      <w:spacing/>
      <w:ind/>
    </w:pPr>
    <w:rPr>
      <w:rFonts w:ascii="New Century Schoolbook" w:hAnsi="New Century Schoolbook" w:cs="New Century Schoolbook"/>
      <w:bCs/>
      <w:color w:val="000000"/>
      <w:sz w:val="22"/>
      <w:szCs w:val="22"/>
      <w:lang w:val="ro-RO" w:eastAsia="ro-RO"/>
    </w:rPr>
  </w:style>
  <w:style w:type="character" w:styleId="1199">
    <w:name w:val="Emphasis"/>
    <w:qFormat/>
    <w:pPr>
      <w:pBdr/>
      <w:spacing/>
      <w:ind/>
    </w:pPr>
    <w:rPr>
      <w:i/>
    </w:rPr>
  </w:style>
  <w:style w:type="character" w:styleId="1200" w:customStyle="1">
    <w:name w:val="Index Link"/>
    <w:qFormat/>
    <w:pPr>
      <w:pBdr/>
      <w:spacing/>
      <w:ind/>
    </w:pPr>
  </w:style>
  <w:style w:type="character" w:styleId="1201" w:customStyle="1">
    <w:name w:val="Numbering Symbols"/>
    <w:qFormat/>
    <w:pPr>
      <w:pBdr/>
      <w:spacing/>
      <w:ind/>
    </w:pPr>
  </w:style>
  <w:style w:type="character" w:styleId="1202" w:customStyle="1">
    <w:name w:val="Footnote Anchor"/>
    <w:pPr>
      <w:pBdr/>
      <w:spacing/>
      <w:ind/>
    </w:pPr>
    <w:rPr>
      <w:vertAlign w:val="superscript"/>
    </w:rPr>
  </w:style>
  <w:style w:type="character" w:styleId="1203" w:customStyle="1">
    <w:name w:val="Endnote Characters"/>
    <w:qFormat/>
    <w:pPr>
      <w:pBdr/>
      <w:spacing/>
      <w:ind/>
    </w:pPr>
    <w:rPr>
      <w:vertAlign w:val="superscript"/>
    </w:rPr>
  </w:style>
  <w:style w:type="character" w:styleId="1204" w:customStyle="1">
    <w:name w:val="Endnote Anchor"/>
    <w:pPr>
      <w:pBdr/>
      <w:spacing/>
      <w:ind/>
    </w:pPr>
    <w:rPr>
      <w:vertAlign w:val="superscript"/>
    </w:rPr>
  </w:style>
  <w:style w:type="character" w:styleId="1205" w:customStyle="1">
    <w:name w:val="Default Text Char"/>
    <w:qFormat/>
    <w:pPr>
      <w:pBdr/>
      <w:spacing/>
      <w:ind/>
    </w:pPr>
    <w:rPr>
      <w:rFonts w:cs="Times New Roman"/>
      <w:lang w:val="ro-RO" w:eastAsia="zh-CN"/>
    </w:rPr>
  </w:style>
  <w:style w:type="character" w:styleId="1206" w:customStyle="1">
    <w:name w:val="normal text Char"/>
    <w:qFormat/>
    <w:pPr>
      <w:pBdr/>
      <w:spacing/>
      <w:ind/>
    </w:pPr>
    <w:rPr>
      <w:rFonts w:cs="Times New Roman"/>
      <w:lang w:val="ro-RO" w:eastAsia="zh-CN"/>
    </w:rPr>
  </w:style>
  <w:style w:type="character" w:styleId="1207" w:customStyle="1">
    <w:name w:val="Heading 1 Char"/>
    <w:qFormat/>
    <w:pPr>
      <w:pBdr/>
      <w:spacing/>
      <w:ind/>
    </w:pPr>
    <w:rPr>
      <w:rFonts w:ascii="Calibri Light" w:hAnsi="Calibri Light" w:eastAsia="Times New Roman"/>
      <w:b/>
      <w:bCs/>
      <w:color w:val="2f5496"/>
      <w:sz w:val="28"/>
      <w:szCs w:val="28"/>
    </w:rPr>
  </w:style>
  <w:style w:type="character" w:styleId="1208" w:customStyle="1">
    <w:name w:val="Footer Char"/>
    <w:basedOn w:val="907"/>
    <w:qFormat/>
    <w:pPr>
      <w:pBdr/>
      <w:spacing/>
      <w:ind/>
    </w:pPr>
  </w:style>
  <w:style w:type="character" w:styleId="1209" w:customStyle="1">
    <w:name w:val="ital"/>
    <w:basedOn w:val="907"/>
    <w:qFormat/>
    <w:pPr>
      <w:pBdr/>
      <w:spacing/>
      <w:ind/>
    </w:pPr>
  </w:style>
  <w:style w:type="character" w:styleId="1210" w:customStyle="1">
    <w:name w:val="Document Map Char"/>
    <w:qFormat/>
    <w:pPr>
      <w:pBdr/>
      <w:spacing/>
      <w:ind/>
    </w:pPr>
    <w:rPr>
      <w:rFonts w:ascii="Tahoma" w:hAnsi="Tahoma" w:cs="Tahoma"/>
      <w:sz w:val="16"/>
      <w:szCs w:val="16"/>
    </w:rPr>
  </w:style>
  <w:style w:type="character" w:styleId="1211" w:customStyle="1">
    <w:name w:val="continut-verset"/>
    <w:qFormat/>
    <w:pPr>
      <w:pBdr/>
      <w:spacing/>
      <w:ind/>
    </w:pPr>
  </w:style>
  <w:style w:type="paragraph" w:styleId="1212" w:customStyle="1">
    <w:name w:val="Heading"/>
    <w:basedOn w:val="1222"/>
    <w:next w:val="1213"/>
    <w:qFormat/>
    <w:pPr>
      <w:pBdr/>
      <w:tabs>
        <w:tab w:val="left" w:leader="none" w:pos="576"/>
        <w:tab w:val="left" w:leader="none" w:pos="1152"/>
        <w:tab w:val="left" w:leader="none" w:pos="1440"/>
      </w:tabs>
      <w:spacing/>
      <w:ind/>
      <w:jc w:val="center"/>
    </w:pPr>
    <w:rPr>
      <w:sz w:val="32"/>
    </w:rPr>
  </w:style>
  <w:style w:type="paragraph" w:styleId="1213">
    <w:name w:val="Body Text"/>
    <w:basedOn w:val="881"/>
    <w:pPr>
      <w:pBdr/>
      <w:spacing/>
      <w:ind/>
    </w:pPr>
  </w:style>
  <w:style w:type="paragraph" w:styleId="1214">
    <w:name w:val="List"/>
    <w:basedOn w:val="1223"/>
    <w:pPr>
      <w:pBdr/>
      <w:spacing/>
      <w:ind/>
    </w:pPr>
    <w:rPr>
      <w:rFonts w:cs="Lohit Hindi"/>
    </w:rPr>
  </w:style>
  <w:style w:type="paragraph" w:styleId="1215">
    <w:name w:val="Caption"/>
    <w:basedOn w:val="881"/>
    <w:qFormat/>
    <w:pPr>
      <w:suppressLineNumbers w:val="true"/>
      <w:pBdr/>
      <w:spacing w:after="120" w:before="120"/>
      <w:ind/>
    </w:pPr>
    <w:rPr>
      <w:rFonts w:cs="Mangal"/>
      <w:i/>
      <w:iCs/>
      <w:sz w:val="24"/>
    </w:rPr>
  </w:style>
  <w:style w:type="paragraph" w:styleId="1216" w:customStyle="1">
    <w:name w:val="Index"/>
    <w:basedOn w:val="1222"/>
    <w:qFormat/>
    <w:pPr>
      <w:pBdr/>
      <w:spacing/>
      <w:ind/>
    </w:pPr>
    <w:rPr>
      <w:rFonts w:cs="Lohit Hindi"/>
    </w:rPr>
  </w:style>
  <w:style w:type="paragraph" w:styleId="1217">
    <w:name w:val="No Spacing"/>
    <w:link w:val="1433"/>
    <w:uiPriority w:val="1"/>
    <w:qFormat/>
    <w:pPr>
      <w:pBdr/>
      <w:spacing/>
      <w:ind/>
    </w:pPr>
  </w:style>
  <w:style w:type="paragraph" w:styleId="1218">
    <w:name w:val="Quote"/>
    <w:basedOn w:val="881"/>
    <w:next w:val="881"/>
    <w:link w:val="903"/>
    <w:uiPriority w:val="29"/>
    <w:qFormat/>
    <w:pPr>
      <w:pBdr/>
      <w:spacing/>
      <w:ind w:right="720" w:left="720"/>
    </w:pPr>
    <w:rPr>
      <w:i/>
    </w:rPr>
  </w:style>
  <w:style w:type="paragraph" w:styleId="1219">
    <w:name w:val="Intense Quote"/>
    <w:basedOn w:val="881"/>
    <w:next w:val="881"/>
    <w:link w:val="904"/>
    <w:uiPriority w:val="30"/>
    <w:qFormat/>
    <w:pPr>
      <w:pBdr>
        <w:top w:val="single" w:color="ffffff" w:sz="4" w:space="5"/>
        <w:left w:val="single" w:color="ffffff" w:sz="4" w:space="10"/>
        <w:bottom w:val="single" w:color="ffffff" w:sz="4" w:space="5"/>
        <w:right w:val="single" w:color="ffffff" w:sz="4" w:space="10"/>
      </w:pBdr>
      <w:shd w:val="clear" w:color="auto" w:fill="f2f2f2"/>
      <w:spacing/>
      <w:ind w:right="720" w:left="720"/>
    </w:pPr>
    <w:rPr>
      <w:i/>
    </w:rPr>
  </w:style>
  <w:style w:type="paragraph" w:styleId="1220">
    <w:name w:val="table of figures"/>
    <w:basedOn w:val="881"/>
    <w:next w:val="881"/>
    <w:uiPriority w:val="99"/>
    <w:unhideWhenUsed/>
    <w:qFormat/>
    <w:pPr>
      <w:pBdr/>
      <w:spacing w:after="0"/>
      <w:ind/>
    </w:pPr>
  </w:style>
  <w:style w:type="paragraph" w:styleId="1221" w:customStyle="1">
    <w:name w:val="Tabel Normal1"/>
    <w:qFormat/>
    <w:pPr>
      <w:pBdr/>
      <w:spacing/>
      <w:ind/>
    </w:pPr>
    <w:rPr>
      <w:rFonts w:ascii="Liberation Serif" w:hAnsi="Liberation Serif" w:eastAsia="DejaVu Sans" w:cs="DejaVu Sans"/>
      <w:sz w:val="24"/>
      <w:szCs w:val="24"/>
      <w:lang w:val="en-US" w:eastAsia="en-US"/>
    </w:rPr>
  </w:style>
  <w:style w:type="paragraph" w:styleId="1222" w:customStyle="1">
    <w:name w:val="Default Text"/>
    <w:qFormat/>
    <w:pPr>
      <w:pBdr/>
      <w:spacing w:line="240" w:lineRule="atLeast"/>
      <w:ind w:firstLine="238"/>
      <w:jc w:val="both"/>
    </w:pPr>
    <w:rPr>
      <w:rFonts w:ascii="Gentium" w:hAnsi="Gentium" w:eastAsia="Courier New"/>
      <w:sz w:val="24"/>
      <w:szCs w:val="24"/>
      <w:lang w:val="ro-RO" w:eastAsia="zh-CN"/>
    </w:rPr>
  </w:style>
  <w:style w:type="paragraph" w:styleId="1223" w:customStyle="1">
    <w:name w:val="Text Body Single"/>
    <w:basedOn w:val="1222"/>
    <w:qFormat/>
    <w:pPr>
      <w:pBdr/>
      <w:tabs>
        <w:tab w:val="left" w:leader="none" w:pos="576"/>
        <w:tab w:val="left" w:leader="none" w:pos="1152"/>
        <w:tab w:val="left" w:leader="none" w:pos="2160"/>
      </w:tabs>
      <w:spacing/>
      <w:ind/>
      <w:jc w:val="center"/>
    </w:pPr>
    <w:rPr>
      <w:b/>
      <w:bCs/>
      <w:sz w:val="28"/>
      <w:szCs w:val="28"/>
    </w:rPr>
  </w:style>
  <w:style w:type="paragraph" w:styleId="1224" w:customStyle="1">
    <w:name w:val="Legendă1"/>
    <w:basedOn w:val="1222"/>
    <w:qFormat/>
    <w:pPr>
      <w:pBdr/>
      <w:spacing w:after="120" w:before="120"/>
      <w:ind/>
    </w:pPr>
    <w:rPr>
      <w:rFonts w:cs="Lohit Hindi"/>
      <w:i/>
      <w:iCs/>
    </w:rPr>
  </w:style>
  <w:style w:type="paragraph" w:styleId="1225">
    <w:name w:val="Normal Indent"/>
    <w:basedOn w:val="1222"/>
    <w:qFormat/>
    <w:pPr>
      <w:pBdr/>
      <w:spacing/>
      <w:ind w:firstLine="227" w:left="720"/>
    </w:pPr>
  </w:style>
  <w:style w:type="paragraph" w:styleId="1226">
    <w:name w:val="Document Map"/>
    <w:basedOn w:val="1222"/>
    <w:qFormat/>
    <w:pPr>
      <w:pBdr/>
      <w:shd w:val="clear" w:color="auto" w:fill="000080"/>
      <w:spacing/>
      <w:ind/>
    </w:pPr>
    <w:rPr>
      <w:rFonts w:ascii="Tahoma" w:hAnsi="Tahoma" w:cs="Tahoma"/>
    </w:rPr>
  </w:style>
  <w:style w:type="paragraph" w:styleId="1227">
    <w:name w:val="footnote text"/>
    <w:basedOn w:val="1222"/>
    <w:pPr>
      <w:pBdr/>
      <w:tabs>
        <w:tab w:val="left" w:leader="dot" w:pos="426"/>
      </w:tabs>
      <w:spacing w:line="220" w:lineRule="exact"/>
      <w:ind w:hanging="426" w:left="426"/>
    </w:pPr>
    <w:rPr>
      <w:rFonts w:ascii="New Century Schoolbook" w:hAnsi="New Century Schoolbook" w:cs="New Century Schoolbook"/>
      <w:sz w:val="18"/>
      <w:szCs w:val="20"/>
    </w:rPr>
  </w:style>
  <w:style w:type="paragraph" w:styleId="1228" w:customStyle="1">
    <w:name w:val="Header and Footer"/>
    <w:basedOn w:val="881"/>
    <w:qFormat/>
    <w:pPr>
      <w:pBdr/>
      <w:tabs>
        <w:tab w:val="center" w:leader="none" w:pos="4819"/>
        <w:tab w:val="right" w:leader="none" w:pos="9638"/>
      </w:tabs>
      <w:spacing/>
      <w:ind/>
    </w:pPr>
  </w:style>
  <w:style w:type="paragraph" w:styleId="1229">
    <w:name w:val="Footer"/>
    <w:basedOn w:val="1222"/>
    <w:link w:val="905"/>
    <w:pPr>
      <w:pBdr/>
      <w:tabs>
        <w:tab w:val="center" w:leader="none" w:pos="4320"/>
        <w:tab w:val="right" w:leader="none" w:pos="8640"/>
      </w:tabs>
      <w:spacing/>
      <w:ind/>
    </w:pPr>
  </w:style>
  <w:style w:type="paragraph" w:styleId="1230">
    <w:name w:val="Header"/>
    <w:basedOn w:val="1229"/>
    <w:pPr>
      <w:pBdr/>
      <w:tabs>
        <w:tab w:val="clear" w:leader="none" w:pos="4320"/>
        <w:tab w:val="right" w:leader="none" w:pos="6379"/>
        <w:tab w:val="clear" w:leader="none" w:pos="8640"/>
      </w:tabs>
      <w:spacing/>
      <w:ind w:right="28"/>
    </w:pPr>
    <w:rPr>
      <w:rFonts w:ascii="New Century Schoolbook" w:hAnsi="New Century Schoolbook" w:cs="New Century Schoolbook"/>
      <w:sz w:val="18"/>
      <w:szCs w:val="18"/>
    </w:rPr>
  </w:style>
  <w:style w:type="paragraph" w:styleId="1231" w:customStyle="1">
    <w:name w:val="HX0"/>
    <w:qFormat/>
    <w:pPr>
      <w:widowControl w:val="false"/>
      <w:pBdr/>
      <w:spacing/>
      <w:ind/>
    </w:pPr>
    <w:rPr>
      <w:rFonts w:eastAsia="Arial"/>
      <w:b/>
      <w:bCs/>
      <w:sz w:val="24"/>
      <w:szCs w:val="24"/>
      <w:lang w:val="ro-RO" w:eastAsia="zh-CN"/>
    </w:rPr>
  </w:style>
  <w:style w:type="paragraph" w:styleId="1232" w:customStyle="1">
    <w:name w:val="Index 11"/>
    <w:basedOn w:val="1222"/>
    <w:qFormat/>
    <w:pPr>
      <w:pBdr/>
      <w:spacing/>
      <w:ind w:hanging="240" w:left="240"/>
    </w:pPr>
    <w:rPr>
      <w:sz w:val="18"/>
      <w:szCs w:val="21"/>
    </w:rPr>
  </w:style>
  <w:style w:type="paragraph" w:styleId="1233" w:customStyle="1">
    <w:name w:val="Index 21"/>
    <w:basedOn w:val="1222"/>
    <w:qFormat/>
    <w:pPr>
      <w:pBdr/>
      <w:spacing/>
      <w:ind w:hanging="240" w:left="480"/>
    </w:pPr>
    <w:rPr>
      <w:sz w:val="18"/>
      <w:szCs w:val="21"/>
    </w:rPr>
  </w:style>
  <w:style w:type="paragraph" w:styleId="1234" w:customStyle="1">
    <w:name w:val="Index 31"/>
    <w:basedOn w:val="1222"/>
    <w:qFormat/>
    <w:pPr>
      <w:pBdr/>
      <w:spacing/>
      <w:ind w:hanging="240" w:left="720"/>
    </w:pPr>
    <w:rPr>
      <w:sz w:val="18"/>
      <w:szCs w:val="21"/>
    </w:rPr>
  </w:style>
  <w:style w:type="paragraph" w:styleId="1235" w:customStyle="1">
    <w:name w:val="Index 41"/>
    <w:basedOn w:val="1222"/>
    <w:qFormat/>
    <w:pPr>
      <w:pBdr/>
      <w:spacing/>
      <w:ind w:hanging="240" w:left="960"/>
    </w:pPr>
    <w:rPr>
      <w:sz w:val="18"/>
      <w:szCs w:val="21"/>
    </w:rPr>
  </w:style>
  <w:style w:type="paragraph" w:styleId="1236" w:customStyle="1">
    <w:name w:val="Index 51"/>
    <w:basedOn w:val="1222"/>
    <w:qFormat/>
    <w:pPr>
      <w:pBdr/>
      <w:spacing/>
      <w:ind w:hanging="240" w:left="1200"/>
    </w:pPr>
    <w:rPr>
      <w:sz w:val="18"/>
      <w:szCs w:val="21"/>
    </w:rPr>
  </w:style>
  <w:style w:type="paragraph" w:styleId="1237" w:customStyle="1">
    <w:name w:val="Index 61"/>
    <w:basedOn w:val="1222"/>
    <w:qFormat/>
    <w:pPr>
      <w:pBdr/>
      <w:spacing/>
      <w:ind w:hanging="240" w:left="1440"/>
    </w:pPr>
    <w:rPr>
      <w:sz w:val="18"/>
      <w:szCs w:val="21"/>
    </w:rPr>
  </w:style>
  <w:style w:type="paragraph" w:styleId="1238" w:customStyle="1">
    <w:name w:val="Index 71"/>
    <w:basedOn w:val="1222"/>
    <w:qFormat/>
    <w:pPr>
      <w:pBdr/>
      <w:spacing/>
      <w:ind w:hanging="240" w:left="1680"/>
    </w:pPr>
    <w:rPr>
      <w:sz w:val="18"/>
      <w:szCs w:val="21"/>
    </w:rPr>
  </w:style>
  <w:style w:type="paragraph" w:styleId="1239" w:customStyle="1">
    <w:name w:val="Titlu TOA1"/>
    <w:basedOn w:val="1212"/>
    <w:qFormat/>
    <w:pPr>
      <w:pBdr/>
      <w:spacing/>
      <w:ind/>
    </w:pPr>
    <w:rPr>
      <w:b/>
      <w:bCs/>
      <w:szCs w:val="32"/>
    </w:rPr>
  </w:style>
  <w:style w:type="paragraph" w:styleId="1240">
    <w:name w:val="toc 1"/>
    <w:basedOn w:val="1222"/>
    <w:uiPriority w:val="39"/>
    <w:qFormat/>
    <w:pPr>
      <w:pBdr/>
      <w:spacing w:after="120" w:before="120"/>
      <w:ind/>
    </w:pPr>
    <w:rPr>
      <w:b/>
      <w:bCs/>
      <w:caps/>
      <w:sz w:val="20"/>
    </w:rPr>
  </w:style>
  <w:style w:type="paragraph" w:styleId="1241">
    <w:name w:val="toc 2"/>
    <w:basedOn w:val="1222"/>
    <w:uiPriority w:val="39"/>
    <w:qFormat/>
    <w:pPr>
      <w:pBdr/>
      <w:spacing/>
      <w:ind w:firstLine="227" w:left="240"/>
    </w:pPr>
    <w:rPr>
      <w:smallCaps/>
      <w:sz w:val="20"/>
    </w:rPr>
  </w:style>
  <w:style w:type="paragraph" w:styleId="1242">
    <w:name w:val="toc 3"/>
    <w:basedOn w:val="1222"/>
    <w:uiPriority w:val="39"/>
    <w:qFormat/>
    <w:pPr>
      <w:pBdr/>
      <w:spacing/>
      <w:ind w:firstLine="227" w:left="480"/>
    </w:pPr>
    <w:rPr>
      <w:i/>
      <w:iCs/>
      <w:sz w:val="20"/>
    </w:rPr>
  </w:style>
  <w:style w:type="paragraph" w:styleId="1243">
    <w:name w:val="toc 4"/>
    <w:basedOn w:val="1222"/>
    <w:pPr>
      <w:pBdr/>
      <w:spacing/>
      <w:ind w:firstLine="227" w:left="720"/>
    </w:pPr>
    <w:rPr>
      <w:sz w:val="18"/>
      <w:szCs w:val="21"/>
    </w:rPr>
  </w:style>
  <w:style w:type="paragraph" w:styleId="1244">
    <w:name w:val="toc 5"/>
    <w:basedOn w:val="1222"/>
    <w:pPr>
      <w:pBdr/>
      <w:spacing/>
      <w:ind w:firstLine="227" w:left="960"/>
    </w:pPr>
    <w:rPr>
      <w:sz w:val="18"/>
      <w:szCs w:val="21"/>
    </w:rPr>
  </w:style>
  <w:style w:type="paragraph" w:styleId="1245">
    <w:name w:val="toc 6"/>
    <w:basedOn w:val="1222"/>
    <w:pPr>
      <w:pBdr/>
      <w:spacing/>
      <w:ind w:firstLine="227" w:left="1200"/>
    </w:pPr>
    <w:rPr>
      <w:sz w:val="18"/>
      <w:szCs w:val="21"/>
    </w:rPr>
  </w:style>
  <w:style w:type="paragraph" w:styleId="1246">
    <w:name w:val="toc 7"/>
    <w:basedOn w:val="1222"/>
    <w:pPr>
      <w:pBdr/>
      <w:spacing/>
      <w:ind w:firstLine="227" w:left="1440"/>
    </w:pPr>
    <w:rPr>
      <w:sz w:val="18"/>
      <w:szCs w:val="21"/>
    </w:rPr>
  </w:style>
  <w:style w:type="paragraph" w:styleId="1247">
    <w:name w:val="toc 8"/>
    <w:basedOn w:val="1222"/>
    <w:pPr>
      <w:pBdr/>
      <w:spacing/>
      <w:ind w:firstLine="227" w:left="1680"/>
    </w:pPr>
    <w:rPr>
      <w:sz w:val="18"/>
      <w:szCs w:val="21"/>
    </w:rPr>
  </w:style>
  <w:style w:type="paragraph" w:styleId="1248">
    <w:name w:val="toc 9"/>
    <w:basedOn w:val="1222"/>
    <w:pPr>
      <w:pBdr/>
      <w:spacing/>
      <w:ind w:firstLine="227" w:left="1920"/>
    </w:pPr>
    <w:rPr>
      <w:sz w:val="18"/>
      <w:szCs w:val="21"/>
    </w:rPr>
  </w:style>
  <w:style w:type="paragraph" w:styleId="1249" w:customStyle="1">
    <w:name w:val="Style NX + First line:  4 mm"/>
    <w:qFormat/>
    <w:pPr>
      <w:widowControl w:val="false"/>
      <w:pBdr/>
      <w:spacing/>
      <w:ind w:firstLine="227"/>
    </w:pPr>
    <w:rPr>
      <w:rFonts w:ascii="Liberation Serif" w:hAnsi="Liberation Serif" w:eastAsia="DejaVu Sans" w:cs="DejaVu Sans"/>
      <w:sz w:val="22"/>
      <w:szCs w:val="22"/>
      <w:lang w:val="en-US" w:eastAsia="en-US"/>
    </w:rPr>
  </w:style>
  <w:style w:type="paragraph" w:styleId="1250" w:customStyle="1">
    <w:name w:val="Text comentariu1"/>
    <w:basedOn w:val="1222"/>
    <w:qFormat/>
    <w:pPr>
      <w:pBdr/>
      <w:spacing/>
      <w:ind/>
    </w:pPr>
    <w:rPr>
      <w:sz w:val="20"/>
      <w:szCs w:val="20"/>
    </w:rPr>
  </w:style>
  <w:style w:type="paragraph" w:styleId="1251" w:customStyle="1">
    <w:name w:val="Subiect Comentariu1"/>
    <w:basedOn w:val="1250"/>
    <w:qFormat/>
    <w:pPr>
      <w:pBdr/>
      <w:spacing/>
      <w:ind/>
    </w:pPr>
    <w:rPr>
      <w:b/>
      <w:bCs/>
    </w:rPr>
  </w:style>
  <w:style w:type="paragraph" w:styleId="1252">
    <w:name w:val="Balloon Text"/>
    <w:basedOn w:val="1222"/>
    <w:qFormat/>
    <w:pPr>
      <w:pBdr/>
      <w:spacing/>
      <w:ind/>
    </w:pPr>
    <w:rPr>
      <w:rFonts w:ascii="Tahoma" w:hAnsi="Tahoma" w:cs="Tahoma"/>
      <w:sz w:val="16"/>
      <w:szCs w:val="16"/>
    </w:rPr>
  </w:style>
  <w:style w:type="paragraph" w:styleId="1253" w:customStyle="1">
    <w:name w:val="Index 81"/>
    <w:basedOn w:val="1222"/>
    <w:pPr>
      <w:pBdr/>
      <w:spacing/>
      <w:ind w:hanging="240" w:left="1920"/>
    </w:pPr>
    <w:rPr>
      <w:sz w:val="18"/>
      <w:szCs w:val="21"/>
    </w:rPr>
  </w:style>
  <w:style w:type="paragraph" w:styleId="1254" w:customStyle="1">
    <w:name w:val="Index 91"/>
    <w:basedOn w:val="1222"/>
    <w:pPr>
      <w:pBdr/>
      <w:spacing/>
      <w:ind w:hanging="240" w:left="2160"/>
    </w:pPr>
    <w:rPr>
      <w:sz w:val="18"/>
      <w:szCs w:val="21"/>
    </w:rPr>
  </w:style>
  <w:style w:type="paragraph" w:styleId="1255" w:customStyle="1">
    <w:name w:val="Titlu de index1"/>
    <w:basedOn w:val="1222"/>
    <w:qFormat/>
    <w:pPr>
      <w:pBdr/>
      <w:spacing w:after="120" w:before="240"/>
      <w:ind/>
      <w:jc w:val="center"/>
    </w:pPr>
    <w:rPr>
      <w:b/>
      <w:bCs/>
      <w:sz w:val="26"/>
      <w:szCs w:val="31"/>
    </w:rPr>
  </w:style>
  <w:style w:type="paragraph" w:styleId="1256">
    <w:name w:val="Body Text 2"/>
    <w:basedOn w:val="1222"/>
    <w:qFormat/>
    <w:pPr>
      <w:pBdr/>
      <w:spacing w:after="120" w:line="480" w:lineRule="auto"/>
      <w:ind/>
    </w:pPr>
  </w:style>
  <w:style w:type="paragraph" w:styleId="1257">
    <w:name w:val="Block Text"/>
    <w:basedOn w:val="1222"/>
    <w:qFormat/>
    <w:pPr>
      <w:pBdr/>
      <w:spacing w:line="220" w:lineRule="exact"/>
      <w:ind w:right="227" w:firstLine="227" w:left="227"/>
    </w:pPr>
    <w:rPr>
      <w:sz w:val="18"/>
    </w:rPr>
  </w:style>
  <w:style w:type="paragraph" w:styleId="1258">
    <w:name w:val="Body Text Indent"/>
    <w:basedOn w:val="1222"/>
    <w:pPr>
      <w:pBdr/>
      <w:spacing w:after="120"/>
      <w:ind w:firstLine="227" w:left="360"/>
    </w:pPr>
  </w:style>
  <w:style w:type="paragraph" w:styleId="1259">
    <w:name w:val="Body Text First Indent 2"/>
    <w:basedOn w:val="1258"/>
    <w:qFormat/>
    <w:pPr>
      <w:pBdr/>
      <w:spacing/>
      <w:ind w:firstLine="210"/>
    </w:pPr>
  </w:style>
  <w:style w:type="paragraph" w:styleId="1260" w:customStyle="1">
    <w:name w:val="Title Book"/>
    <w:basedOn w:val="882"/>
    <w:qFormat/>
    <w:pPr>
      <w:pBdr/>
      <w:spacing/>
      <w:ind w:firstLine="227"/>
    </w:pPr>
  </w:style>
  <w:style w:type="paragraph" w:styleId="1261" w:customStyle="1">
    <w:name w:val="Title book"/>
    <w:basedOn w:val="1260"/>
    <w:qFormat/>
    <w:pPr>
      <w:pBdr/>
      <w:spacing/>
      <w:ind/>
    </w:pPr>
  </w:style>
  <w:style w:type="paragraph" w:styleId="1262">
    <w:name w:val="Body Text 3"/>
    <w:basedOn w:val="1222"/>
    <w:qFormat/>
    <w:pPr>
      <w:pBdr/>
      <w:spacing w:after="120"/>
      <w:ind/>
    </w:pPr>
    <w:rPr>
      <w:sz w:val="16"/>
      <w:szCs w:val="16"/>
    </w:rPr>
  </w:style>
  <w:style w:type="paragraph" w:styleId="1263" w:customStyle="1">
    <w:name w:val="Style ST: + New Century Schoolbook 11 pt"/>
    <w:basedOn w:val="1222"/>
    <w:qFormat/>
    <w:pPr>
      <w:pBdr/>
      <w:spacing/>
      <w:ind/>
    </w:pPr>
    <w:rPr>
      <w:szCs w:val="18"/>
    </w:rPr>
  </w:style>
  <w:style w:type="paragraph" w:styleId="1264" w:customStyle="1">
    <w:name w:val="Cite"/>
    <w:basedOn w:val="1222"/>
    <w:qFormat/>
    <w:pPr>
      <w:pBdr/>
      <w:spacing w:line="220" w:lineRule="exact"/>
      <w:ind w:right="227" w:firstLine="227" w:left="227"/>
    </w:pPr>
    <w:rPr>
      <w:sz w:val="18"/>
    </w:rPr>
  </w:style>
  <w:style w:type="paragraph" w:styleId="1265" w:customStyle="1">
    <w:name w:val="Prelim half title PBTM"/>
    <w:qFormat/>
    <w:pPr>
      <w:widowControl w:val="false"/>
      <w:pBdr/>
      <w:spacing w:line="200" w:lineRule="atLeast"/>
      <w:ind/>
      <w:jc w:val="center"/>
    </w:pPr>
    <w:rPr>
      <w:rFonts w:eastAsia="Arial"/>
      <w:caps/>
      <w:sz w:val="18"/>
      <w:szCs w:val="18"/>
      <w:lang w:val="en-US" w:eastAsia="zh-CN"/>
    </w:rPr>
  </w:style>
  <w:style w:type="paragraph" w:styleId="1266" w:customStyle="1">
    <w:name w:val="Prelim half title"/>
    <w:qFormat/>
    <w:pPr>
      <w:widowControl w:val="false"/>
      <w:pBdr/>
      <w:spacing w:after="240" w:before="2440" w:line="480" w:lineRule="exact"/>
      <w:ind/>
      <w:jc w:val="center"/>
    </w:pPr>
    <w:rPr>
      <w:rFonts w:eastAsia="Arial"/>
      <w:sz w:val="36"/>
      <w:szCs w:val="36"/>
      <w:lang w:val="en-US" w:eastAsia="zh-CN"/>
    </w:rPr>
  </w:style>
  <w:style w:type="paragraph" w:styleId="1267" w:customStyle="1">
    <w:name w:val="Prelim half title sub"/>
    <w:qFormat/>
    <w:pPr>
      <w:widowControl w:val="false"/>
      <w:pBdr/>
      <w:spacing w:line="320" w:lineRule="atLeast"/>
      <w:ind/>
      <w:jc w:val="center"/>
    </w:pPr>
    <w:rPr>
      <w:rFonts w:eastAsia="Arial"/>
      <w:sz w:val="24"/>
      <w:szCs w:val="24"/>
      <w:lang w:val="en-US" w:eastAsia="zh-CN"/>
    </w:rPr>
  </w:style>
  <w:style w:type="paragraph" w:styleId="1268" w:customStyle="1">
    <w:name w:val="Prelims advert card"/>
    <w:qFormat/>
    <w:pPr>
      <w:widowControl w:val="false"/>
      <w:pBdr>
        <w:top w:val="single" w:color="000000" w:sz="4" w:space="0"/>
        <w:left w:val="single" w:color="000000" w:sz="4" w:space="0"/>
        <w:bottom w:val="single" w:color="000000" w:sz="4" w:space="0"/>
        <w:right w:val="single" w:color="000000" w:sz="4" w:space="0"/>
      </w:pBdr>
      <w:spacing w:before="240" w:line="260" w:lineRule="atLeast"/>
      <w:ind w:right="1134" w:left="1134"/>
      <w:jc w:val="center"/>
    </w:pPr>
    <w:rPr>
      <w:rFonts w:eastAsia="Arial"/>
      <w:lang w:val="en-US" w:eastAsia="zh-CN"/>
    </w:rPr>
  </w:style>
  <w:style w:type="paragraph" w:styleId="1269" w:customStyle="1">
    <w:name w:val="Prelim title author"/>
    <w:qFormat/>
    <w:pPr>
      <w:widowControl w:val="false"/>
      <w:pBdr/>
      <w:spacing w:before="1280" w:line="320" w:lineRule="atLeast"/>
      <w:ind/>
      <w:jc w:val="center"/>
    </w:pPr>
    <w:rPr>
      <w:rFonts w:eastAsia="Arial"/>
      <w:sz w:val="28"/>
      <w:szCs w:val="28"/>
      <w:lang w:val="en-US" w:eastAsia="zh-CN"/>
    </w:rPr>
  </w:style>
  <w:style w:type="paragraph" w:styleId="1270" w:customStyle="1">
    <w:name w:val="Prelim imprint"/>
    <w:qFormat/>
    <w:pPr>
      <w:widowControl w:val="false"/>
      <w:pBdr/>
      <w:spacing w:line="240" w:lineRule="exact"/>
      <w:ind w:right="238" w:left="238"/>
      <w:jc w:val="center"/>
    </w:pPr>
    <w:rPr>
      <w:rFonts w:eastAsia="Arial"/>
      <w:sz w:val="18"/>
      <w:szCs w:val="18"/>
      <w:lang w:val="en-US" w:eastAsia="zh-CN"/>
    </w:rPr>
  </w:style>
  <w:style w:type="paragraph" w:styleId="1271" w:customStyle="1">
    <w:name w:val="Prelim CTT"/>
    <w:qFormat/>
    <w:pPr>
      <w:widowControl w:val="false"/>
      <w:pBdr/>
      <w:spacing w:after="1360" w:before="920" w:line="280" w:lineRule="atLeast"/>
      <w:ind/>
      <w:jc w:val="center"/>
    </w:pPr>
    <w:rPr>
      <w:rFonts w:eastAsia="Arial"/>
      <w:b/>
      <w:bCs/>
      <w:sz w:val="28"/>
      <w:szCs w:val="28"/>
      <w:lang w:val="en-US" w:eastAsia="zh-CN"/>
    </w:rPr>
  </w:style>
  <w:style w:type="paragraph" w:styleId="1272" w:customStyle="1">
    <w:name w:val="Prelim contents list"/>
    <w:qFormat/>
    <w:pPr>
      <w:widowControl w:val="false"/>
      <w:pBdr/>
      <w:tabs>
        <w:tab w:val="left" w:leader="none" w:pos="680"/>
        <w:tab w:val="right" w:leader="none" w:pos="6406"/>
      </w:tabs>
      <w:spacing w:line="280" w:lineRule="atLeast"/>
      <w:ind/>
    </w:pPr>
    <w:rPr>
      <w:rFonts w:eastAsia="Arial"/>
      <w:sz w:val="22"/>
      <w:szCs w:val="22"/>
      <w:lang w:val="en-US" w:eastAsia="zh-CN"/>
    </w:rPr>
  </w:style>
  <w:style w:type="paragraph" w:styleId="1273" w:customStyle="1">
    <w:name w:val="Prelim title foreword"/>
    <w:basedOn w:val="1269"/>
    <w:qFormat/>
    <w:pPr>
      <w:pBdr/>
      <w:spacing w:before="640" w:line="280" w:lineRule="atLeast"/>
      <w:ind/>
    </w:pPr>
  </w:style>
  <w:style w:type="paragraph" w:styleId="1274" w:customStyle="1">
    <w:name w:val="Opening paragraph"/>
    <w:qFormat/>
    <w:pPr>
      <w:widowControl w:val="false"/>
      <w:pBdr/>
      <w:spacing w:line="240" w:lineRule="exact"/>
      <w:ind/>
      <w:jc w:val="both"/>
    </w:pPr>
    <w:rPr>
      <w:rFonts w:eastAsia="Arial"/>
      <w:lang w:val="en-US" w:eastAsia="zh-CN"/>
    </w:rPr>
  </w:style>
  <w:style w:type="paragraph" w:styleId="1275" w:customStyle="1">
    <w:name w:val="Prelim CTT Small Cap"/>
    <w:basedOn w:val="1271"/>
    <w:qFormat/>
    <w:pPr>
      <w:pBdr/>
      <w:spacing/>
      <w:ind/>
    </w:pPr>
    <w:rPr>
      <w:smallCaps/>
    </w:rPr>
  </w:style>
  <w:style w:type="paragraph" w:styleId="1276" w:customStyle="1">
    <w:name w:val="Prelim dedication"/>
    <w:basedOn w:val="1222"/>
    <w:qFormat/>
    <w:pPr>
      <w:pageBreakBefore w:val="true"/>
      <w:widowControl w:val="false"/>
      <w:pBdr/>
      <w:spacing w:before="2360" w:line="280" w:lineRule="exact"/>
      <w:ind/>
      <w:jc w:val="center"/>
    </w:pPr>
    <w:rPr>
      <w:i/>
      <w:sz w:val="22"/>
    </w:rPr>
  </w:style>
  <w:style w:type="paragraph" w:styleId="1277" w:customStyle="1">
    <w:name w:val="Prelim contents list B"/>
    <w:basedOn w:val="1272"/>
    <w:qFormat/>
    <w:pPr>
      <w:pBdr/>
      <w:spacing/>
      <w:ind w:left="284"/>
    </w:pPr>
  </w:style>
  <w:style w:type="paragraph" w:styleId="1278" w:customStyle="1">
    <w:name w:val="Prelim contents list C"/>
    <w:basedOn w:val="1277"/>
    <w:qFormat/>
    <w:pPr>
      <w:pBdr/>
      <w:spacing/>
      <w:ind w:left="567"/>
    </w:pPr>
    <w:rPr>
      <w:caps/>
    </w:rPr>
  </w:style>
  <w:style w:type="paragraph" w:styleId="1279" w:customStyle="1">
    <w:name w:val="Prelim contents list D"/>
    <w:basedOn w:val="1272"/>
    <w:qFormat/>
    <w:pPr>
      <w:pBdr/>
      <w:spacing/>
      <w:ind w:left="851"/>
    </w:pPr>
  </w:style>
  <w:style w:type="paragraph" w:styleId="1280" w:customStyle="1">
    <w:name w:val="Main Text (First Paragraph)"/>
    <w:basedOn w:val="1222"/>
    <w:qFormat/>
    <w:pPr>
      <w:pBdr/>
      <w:spacing w:line="240" w:lineRule="exact"/>
      <w:ind/>
    </w:pPr>
    <w:rPr>
      <w:szCs w:val="20"/>
    </w:rPr>
  </w:style>
  <w:style w:type="paragraph" w:styleId="1281">
    <w:name w:val="List Paragraph"/>
    <w:basedOn w:val="1222"/>
    <w:uiPriority w:val="34"/>
    <w:qFormat/>
    <w:pPr>
      <w:pBdr/>
      <w:spacing/>
      <w:ind w:firstLine="227" w:left="720"/>
    </w:pPr>
  </w:style>
  <w:style w:type="paragraph" w:styleId="1282">
    <w:name w:val="Body Text Indent 2"/>
    <w:basedOn w:val="1222"/>
    <w:qFormat/>
    <w:pPr>
      <w:pBdr/>
      <w:spacing w:after="120" w:line="480" w:lineRule="auto"/>
      <w:ind w:firstLine="227" w:left="283"/>
    </w:pPr>
  </w:style>
  <w:style w:type="paragraph" w:styleId="1283" w:customStyle="1">
    <w:name w:val="footnotes"/>
    <w:basedOn w:val="1222"/>
    <w:qFormat/>
    <w:pPr>
      <w:pBdr/>
      <w:tabs>
        <w:tab w:val="left" w:leader="none" w:pos="720"/>
        <w:tab w:val="left" w:leader="none" w:pos="1440"/>
        <w:tab w:val="left" w:leader="none" w:pos="2160"/>
        <w:tab w:val="left" w:leader="none" w:pos="2880"/>
        <w:tab w:val="left" w:leader="none" w:pos="4320"/>
        <w:tab w:val="left" w:leader="none" w:pos="5760"/>
        <w:tab w:val="left" w:leader="none" w:pos="7200"/>
        <w:tab w:val="left" w:leader="none" w:pos="8640"/>
        <w:tab w:val="left" w:leader="none" w:pos="10080"/>
        <w:tab w:val="left" w:leader="none" w:pos="11520"/>
        <w:tab w:val="left" w:leader="none" w:pos="12960"/>
        <w:tab w:val="left" w:leader="none" w:pos="14400"/>
      </w:tabs>
      <w:spacing/>
      <w:ind w:hanging="227" w:left="340"/>
    </w:pPr>
    <w:rPr>
      <w:sz w:val="20"/>
      <w:lang w:val="en-GB" w:bidi="he-IL"/>
    </w:rPr>
  </w:style>
  <w:style w:type="paragraph" w:styleId="1284" w:customStyle="1">
    <w:name w:val="block narativ"/>
    <w:basedOn w:val="1258"/>
    <w:qFormat/>
    <w:pPr>
      <w:pBdr/>
      <w:spacing/>
      <w:ind w:right="227" w:left="567"/>
    </w:pPr>
  </w:style>
  <w:style w:type="paragraph" w:styleId="1285">
    <w:name w:val="index heading"/>
    <w:basedOn w:val="1212"/>
    <w:pPr>
      <w:pBdr/>
      <w:spacing/>
      <w:ind/>
    </w:pPr>
  </w:style>
  <w:style w:type="paragraph" w:styleId="1286">
    <w:name w:val="TOC Heading"/>
    <w:basedOn w:val="882"/>
    <w:uiPriority w:val="39"/>
    <w:qFormat/>
    <w:pPr>
      <w:keepLines w:val="true"/>
      <w:pBdr/>
      <w:spacing w:after="86" w:before="480" w:line="276" w:lineRule="auto"/>
      <w:ind/>
    </w:pPr>
    <w:rPr>
      <w:rFonts w:ascii="Cambria" w:hAnsi="Cambria" w:eastAsia="MS Gothic" w:cs="Times New Roman"/>
      <w:color w:val="365f91"/>
      <w:lang w:eastAsia="ja-JP"/>
    </w:rPr>
  </w:style>
  <w:style w:type="paragraph" w:styleId="1287">
    <w:name w:val="Normal (Web)"/>
    <w:basedOn w:val="1222"/>
    <w:qFormat/>
    <w:pPr>
      <w:pBdr/>
      <w:spacing w:after="280" w:before="280"/>
      <w:ind/>
    </w:pPr>
    <w:rPr>
      <w:lang w:val="en-GB" w:bidi="he-IL"/>
    </w:rPr>
  </w:style>
  <w:style w:type="paragraph" w:styleId="1288" w:customStyle="1">
    <w:name w:val="Contents 10"/>
    <w:basedOn w:val="1216"/>
    <w:qFormat/>
    <w:pPr>
      <w:pBdr/>
      <w:tabs>
        <w:tab w:val="right" w:leader="dot" w:pos="7091"/>
      </w:tabs>
      <w:spacing/>
      <w:ind w:firstLine="576" w:left="2547"/>
    </w:pPr>
  </w:style>
  <w:style w:type="paragraph" w:styleId="1289" w:customStyle="1">
    <w:name w:val="Table Contents"/>
    <w:basedOn w:val="1222"/>
    <w:qFormat/>
    <w:pPr>
      <w:pBdr/>
      <w:spacing/>
      <w:ind/>
    </w:pPr>
  </w:style>
  <w:style w:type="paragraph" w:styleId="1290" w:customStyle="1">
    <w:name w:val="Table Heading"/>
    <w:basedOn w:val="1289"/>
    <w:qFormat/>
    <w:pPr>
      <w:pBdr/>
      <w:spacing/>
      <w:ind/>
      <w:jc w:val="center"/>
    </w:pPr>
    <w:rPr>
      <w:b/>
      <w:bCs/>
    </w:rPr>
  </w:style>
  <w:style w:type="paragraph" w:styleId="1291" w:customStyle="1">
    <w:name w:val="Quotations"/>
    <w:basedOn w:val="1222"/>
    <w:qFormat/>
    <w:pPr>
      <w:pBdr/>
      <w:spacing w:after="283"/>
      <w:ind w:right="567" w:left="567"/>
    </w:pPr>
  </w:style>
  <w:style w:type="paragraph" w:styleId="1292">
    <w:name w:val="Title"/>
    <w:basedOn w:val="1212"/>
    <w:link w:val="901"/>
    <w:qFormat/>
    <w:pPr>
      <w:pBdr/>
      <w:spacing/>
      <w:ind/>
    </w:pPr>
    <w:rPr>
      <w:b/>
      <w:bCs/>
      <w:sz w:val="36"/>
      <w:szCs w:val="36"/>
    </w:rPr>
  </w:style>
  <w:style w:type="paragraph" w:styleId="1293">
    <w:name w:val="Subtitle"/>
    <w:basedOn w:val="1212"/>
    <w:link w:val="902"/>
    <w:qFormat/>
    <w:pPr>
      <w:pBdr/>
      <w:spacing/>
      <w:ind/>
    </w:pPr>
    <w:rPr>
      <w:i/>
      <w:iCs/>
      <w:sz w:val="28"/>
      <w:szCs w:val="28"/>
    </w:rPr>
  </w:style>
  <w:style w:type="paragraph" w:styleId="1294" w:customStyle="1">
    <w:name w:val="Numbering 3 Start"/>
    <w:basedOn w:val="1214"/>
    <w:qFormat/>
    <w:pPr>
      <w:pBdr/>
      <w:spacing w:after="120" w:before="240"/>
      <w:ind w:hanging="360" w:left="1080"/>
    </w:pPr>
  </w:style>
  <w:style w:type="paragraph" w:styleId="1295" w:customStyle="1">
    <w:name w:val="List Number 31"/>
    <w:basedOn w:val="1214"/>
    <w:qFormat/>
    <w:pPr>
      <w:pBdr/>
      <w:spacing w:after="120"/>
      <w:ind w:hanging="360" w:left="1080"/>
    </w:pPr>
  </w:style>
  <w:style w:type="paragraph" w:styleId="1296">
    <w:name w:val="List Number 3"/>
    <w:basedOn w:val="1214"/>
    <w:qFormat/>
    <w:pPr>
      <w:pBdr/>
      <w:spacing w:after="120"/>
      <w:ind w:hanging="360" w:left="1080"/>
    </w:pPr>
  </w:style>
  <w:style w:type="paragraph" w:styleId="1297">
    <w:name w:val="endnote text"/>
    <w:basedOn w:val="1222"/>
    <w:link w:val="906"/>
    <w:pPr>
      <w:pBdr/>
      <w:spacing/>
      <w:ind w:hanging="339" w:left="339"/>
    </w:pPr>
    <w:rPr>
      <w:sz w:val="20"/>
      <w:szCs w:val="20"/>
    </w:rPr>
  </w:style>
  <w:style w:type="paragraph" w:styleId="1298" w:customStyle="1">
    <w:name w:val="Header Right"/>
    <w:basedOn w:val="1230"/>
    <w:qFormat/>
    <w:pPr>
      <w:pBdr/>
      <w:tabs>
        <w:tab w:val="center" w:leader="none" w:pos="3685"/>
        <w:tab w:val="clear" w:leader="none" w:pos="6379"/>
        <w:tab w:val="right" w:leader="none" w:pos="7371"/>
      </w:tabs>
      <w:spacing/>
      <w:ind/>
      <w:jc w:val="right"/>
    </w:pPr>
  </w:style>
  <w:style w:type="paragraph" w:styleId="1299" w:customStyle="1">
    <w:name w:val="Header Left"/>
    <w:basedOn w:val="1230"/>
    <w:qFormat/>
    <w:pPr>
      <w:pBdr/>
      <w:tabs>
        <w:tab w:val="center" w:leader="none" w:pos="3685"/>
        <w:tab w:val="clear" w:leader="none" w:pos="6379"/>
        <w:tab w:val="right" w:leader="none" w:pos="7371"/>
      </w:tabs>
      <w:spacing/>
      <w:ind/>
    </w:pPr>
  </w:style>
  <w:style w:type="paragraph" w:styleId="1300" w:customStyle="1">
    <w:name w:val="Table Normal1"/>
    <w:qFormat/>
    <w:pPr>
      <w:pBdr/>
      <w:spacing/>
      <w:ind/>
    </w:pPr>
    <w:rPr>
      <w:rFonts w:ascii="Calibri" w:hAnsi="Calibri" w:eastAsia="Courier New"/>
      <w:sz w:val="22"/>
      <w:szCs w:val="22"/>
      <w:lang w:val="en-US" w:eastAsia="en-US"/>
    </w:rPr>
  </w:style>
  <w:style w:type="paragraph" w:styleId="1301" w:customStyle="1">
    <w:name w:val="Preformatted Text"/>
    <w:basedOn w:val="881"/>
    <w:qFormat/>
    <w:pPr>
      <w:pBdr/>
      <w:spacing/>
      <w:ind/>
    </w:pPr>
    <w:rPr>
      <w:rFonts w:ascii="Liberation Mono" w:hAnsi="Liberation Mono" w:eastAsia="NSimSun" w:cs="Liberation Mono"/>
      <w:sz w:val="20"/>
      <w:szCs w:val="20"/>
    </w:rPr>
  </w:style>
  <w:style w:type="paragraph" w:styleId="1302" w:customStyle="1">
    <w:name w:val="normal text"/>
    <w:basedOn w:val="1222"/>
    <w:qFormat/>
    <w:pPr>
      <w:pBdr/>
      <w:spacing/>
      <w:ind/>
    </w:pPr>
    <w:rPr>
      <w:color w:val="000000"/>
    </w:rPr>
  </w:style>
  <w:style w:type="paragraph" w:styleId="1303" w:customStyle="1">
    <w:name w:val="py-1"/>
    <w:basedOn w:val="881"/>
    <w:qFormat/>
    <w:pPr>
      <w:pBdr/>
      <w:spacing w:after="100" w:before="100" w:line="240" w:lineRule="auto"/>
      <w:ind/>
    </w:pPr>
    <w:rPr>
      <w:sz w:val="24"/>
    </w:rPr>
  </w:style>
  <w:style w:type="paragraph" w:styleId="1304" w:customStyle="1">
    <w:name w:val="Default"/>
    <w:qFormat/>
    <w:pPr>
      <w:pBdr/>
      <w:spacing/>
      <w:ind/>
    </w:pPr>
    <w:rPr>
      <w:rFonts w:eastAsia="Symbol"/>
      <w:color w:val="000000"/>
      <w:sz w:val="24"/>
      <w:szCs w:val="24"/>
      <w:lang w:val="en-US" w:eastAsia="en-US"/>
    </w:rPr>
  </w:style>
  <w:style w:type="paragraph" w:styleId="1305" w:customStyle="1">
    <w:name w:val="Untitled1"/>
    <w:basedOn w:val="881"/>
    <w:qFormat/>
    <w:pPr>
      <w:pBdr/>
      <w:spacing w:after="144"/>
      <w:ind w:firstLine="288"/>
    </w:pPr>
  </w:style>
  <w:style w:type="paragraph" w:styleId="1306" w:customStyle="1">
    <w:name w:val="western"/>
    <w:basedOn w:val="881"/>
    <w:qFormat/>
    <w:pPr>
      <w:pBdr/>
      <w:spacing w:after="144" w:beforeAutospacing="1" w:line="276" w:lineRule="auto"/>
      <w:ind w:firstLine="0"/>
      <w:jc w:val="left"/>
    </w:pPr>
    <w:rPr>
      <w:rFonts w:ascii="Times New Roman" w:hAnsi="Times New Roman" w:eastAsia="Times New Roman" w:cs="Times New Roman"/>
      <w:color w:val="000000"/>
      <w:sz w:val="20"/>
      <w:szCs w:val="20"/>
    </w:rPr>
  </w:style>
  <w:style w:type="table" w:styleId="1307">
    <w:name w:val="Table Grid"/>
    <w:basedOn w:val="892"/>
    <w:uiPriority w:val="59"/>
    <w:pPr>
      <w:pBdr/>
      <w:spacing/>
      <w:ind/>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08" w:customStyle="1">
    <w:name w:val="Table Grid Light"/>
    <w:basedOn w:val="892"/>
    <w:uiPriority w:val="59"/>
    <w:pPr>
      <w:pBdr/>
      <w:spacing/>
      <w:ind/>
    </w:pPr>
    <w:tblPr>
      <w:tblInd w:w="0" w:type="dxa"/>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09" w:customStyle="1">
    <w:name w:val="Plain Table 1"/>
    <w:basedOn w:val="892"/>
    <w:uiPriority w:val="59"/>
    <w:pPr>
      <w:pBdr/>
      <w:spacing/>
      <w:ind/>
    </w:pPr>
    <w:tblPr>
      <w:tblInd w:w="0" w:type="dxa"/>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shd w:val="clear" w:color="f2f2f2" w:fill="ffffff" w:themeFill="text1" w:themeFillTint="00"/>
        <w:tcBorders/>
      </w:tcPr>
    </w:tblStylePr>
    <w:tblStylePr w:type="band1Vert">
      <w:pPr>
        <w:pBdr/>
        <w:spacing/>
        <w:ind/>
      </w:pPr>
      <w:tblPr>
        <w:tblBorders/>
      </w:tblPr>
      <w:tcPr>
        <w:shd w:val="clear" w:color="f2f2f2" w:fill="ffffff" w:themeFill="text1" w:themeFillTint="0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sz w:val="22"/>
      </w:rPr>
      <w:pPr>
        <w:pBdr/>
        <w:spacing/>
        <w:ind/>
      </w:pPr>
      <w:tblPr>
        <w:tblBorders/>
      </w:tblPr>
      <w:tcPr>
        <w:tcBorders/>
      </w:tcPr>
    </w:tblStylePr>
    <w:tblStylePr w:type="firstRow">
      <w:rPr>
        <w:b/>
        <w:color w:val="404040"/>
        <w:sz w:val="22"/>
      </w:rPr>
      <w:pPr>
        <w:pBdr/>
        <w:spacing/>
        <w:ind/>
      </w:pPr>
      <w:tblPr>
        <w:tblBorders/>
      </w:tblPr>
      <w:tcPr>
        <w:tcBorders/>
      </w:tcPr>
    </w:tblStylePr>
    <w:tblStylePr w:type="lastCol">
      <w:rPr>
        <w:b/>
        <w:color w:val="404040"/>
        <w:sz w:val="22"/>
      </w:rPr>
      <w:pPr>
        <w:pBdr/>
        <w:spacing/>
        <w:ind/>
      </w:pPr>
      <w:tblPr>
        <w:tblBorders/>
      </w:tblPr>
      <w:tcPr>
        <w:tcBorders/>
      </w:tcPr>
    </w:tblStylePr>
    <w:tblStylePr w:type="lastRow">
      <w:rPr>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10" w:customStyle="1">
    <w:name w:val="Plain Table 2"/>
    <w:basedOn w:val="892"/>
    <w:uiPriority w:val="59"/>
    <w:pPr>
      <w:pBdr/>
      <w:spacing/>
      <w:ind/>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b/>
        <w:color w:val="404040"/>
        <w:sz w:val="22"/>
      </w:rPr>
      <w:pPr>
        <w:pBdr/>
        <w:spacing/>
        <w:ind/>
      </w:pPr>
      <w:tblPr>
        <w:tblBorders/>
      </w:tblPr>
      <w:tcPr>
        <w:tcBorders/>
      </w:tcPr>
    </w:tblStylePr>
    <w:tblStylePr w:type="firstRow">
      <w:rPr>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b/>
        <w:color w:val="404040"/>
        <w:sz w:val="22"/>
      </w:rPr>
      <w:pPr>
        <w:pBdr/>
        <w:spacing/>
        <w:ind/>
      </w:pPr>
      <w:tblPr>
        <w:tblBorders/>
      </w:tblPr>
      <w:tcPr>
        <w:tcBorders/>
      </w:tcPr>
    </w:tblStylePr>
    <w:tblStylePr w:type="lastRow">
      <w:rPr>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11" w:customStyle="1">
    <w:name w:val="Plain Table 3"/>
    <w:basedOn w:val="892"/>
    <w:uiPriority w:val="99"/>
    <w:pPr>
      <w:pBdr/>
      <w:spacing/>
      <w:ind/>
    </w:pPr>
    <w:tblPr>
      <w:tblStyleRowBandSize w:val="1"/>
      <w:tblStyleColBandSize w:val="1"/>
      <w:tblInd w:w="0" w:type="dxa"/>
      <w:tblBorders/>
      <w:tblCellMar>
        <w:left w:w="108" w:type="dxa"/>
        <w:top w:w="0" w:type="dxa"/>
        <w:right w:w="108" w:type="dxa"/>
        <w:bottom w:w="0" w:type="dxa"/>
      </w:tblCellMar>
    </w:tblPr>
    <w:tcPr>
      <w:tcBorders/>
    </w:tcPr>
    <w:tblStylePr w:type="band1Horz">
      <w:rPr>
        <w:color w:val="404040"/>
        <w:sz w:val="22"/>
      </w:rPr>
      <w:pPr>
        <w:pBdr/>
        <w:spacing/>
        <w:ind/>
      </w:pPr>
      <w:tblPr>
        <w:tblBorders/>
      </w:tblPr>
      <w:tcPr>
        <w:shd w:val="clear" w:color="f2f2f2" w:fill="ffffff" w:themeFill="text1" w:themeFillTint="00"/>
        <w:tcBorders/>
      </w:tcPr>
    </w:tblStylePr>
    <w:tblStylePr w:type="band1Vert">
      <w:rPr>
        <w:color w:val="404040"/>
        <w:sz w:val="22"/>
      </w:rPr>
      <w:pPr>
        <w:pBdr/>
        <w:spacing/>
        <w:ind/>
      </w:pPr>
      <w:tblPr>
        <w:tblBorders/>
      </w:tblPr>
      <w:tcPr>
        <w:shd w:val="clear" w:color="f2f2f2" w:fill="ffffff" w:themeFill="text1" w:themeFillTint="0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12" w:customStyle="1">
    <w:name w:val="Plain Table 4"/>
    <w:basedOn w:val="892"/>
    <w:uiPriority w:val="99"/>
    <w:pPr>
      <w:pBdr/>
      <w:spacing/>
      <w:ind/>
    </w:pPr>
    <w:tblPr>
      <w:tblStyleRowBandSize w:val="1"/>
      <w:tblStyleColBandSize w:val="1"/>
      <w:tblInd w:w="0" w:type="dxa"/>
      <w:tblBorders/>
      <w:tblCellMar>
        <w:left w:w="108" w:type="dxa"/>
        <w:top w:w="0" w:type="dxa"/>
        <w:right w:w="108" w:type="dxa"/>
        <w:bottom w:w="0" w:type="dxa"/>
      </w:tblCellMar>
    </w:tblPr>
    <w:tcPr>
      <w:tcBorders/>
    </w:tcPr>
    <w:tblStylePr w:type="band1Horz">
      <w:rPr>
        <w:color w:val="404040"/>
        <w:sz w:val="22"/>
      </w:rPr>
      <w:pPr>
        <w:pBdr/>
        <w:spacing/>
        <w:ind/>
      </w:pPr>
      <w:tblPr>
        <w:tblBorders/>
      </w:tblPr>
      <w:tcPr>
        <w:shd w:val="clear" w:color="f2f2f2" w:fill="ffffff" w:themeFill="text1" w:themeFillTint="00"/>
        <w:tcBorders/>
      </w:tcPr>
    </w:tblStylePr>
    <w:tblStylePr w:type="band1Vert">
      <w:rPr>
        <w:color w:val="404040"/>
        <w:sz w:val="22"/>
      </w:rPr>
      <w:pPr>
        <w:pBdr/>
        <w:spacing/>
        <w:ind/>
      </w:pPr>
      <w:tblPr>
        <w:tblBorders/>
      </w:tblPr>
      <w:tcPr>
        <w:shd w:val="clear" w:color="f2f2f2" w:fill="ffffff" w:themeFill="text1" w:themeFillTint="0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13" w:customStyle="1">
    <w:name w:val="Plain Table 5"/>
    <w:basedOn w:val="892"/>
    <w:uiPriority w:val="99"/>
    <w:pPr>
      <w:pBdr/>
      <w:spacing/>
      <w:ind/>
    </w:pPr>
    <w:tblPr>
      <w:tblStyleRowBandSize w:val="1"/>
      <w:tblStyleColBandSize w:val="1"/>
      <w:tblInd w:w="0" w:type="dxa"/>
      <w:tblBorders/>
      <w:tblCellMar>
        <w:left w:w="108" w:type="dxa"/>
        <w:top w:w="0" w:type="dxa"/>
        <w:right w:w="108" w:type="dxa"/>
        <w:bottom w:w="0" w:type="dxa"/>
      </w:tblCellMar>
    </w:tblPr>
    <w:tcPr>
      <w:tcBorders/>
    </w:tcPr>
    <w:tblStylePr w:type="band1Horz">
      <w:rPr>
        <w:color w:val="404040"/>
        <w:sz w:val="22"/>
      </w:rPr>
      <w:pPr>
        <w:pBdr/>
        <w:spacing/>
        <w:ind/>
      </w:pPr>
      <w:tblPr>
        <w:tblBorders/>
      </w:tblPr>
      <w:tcPr>
        <w:shd w:val="clear" w:color="f2f2f2" w:fill="ffffff" w:themeFill="text1" w:themeFillTint="00"/>
        <w:tcBorders/>
      </w:tcPr>
    </w:tblStylePr>
    <w:tblStylePr w:type="band1Vert">
      <w:rPr>
        <w:color w:val="404040"/>
        <w:sz w:val="22"/>
      </w:rPr>
      <w:pPr>
        <w:pBdr/>
        <w:spacing/>
        <w:ind/>
      </w:pPr>
      <w:tblPr>
        <w:tblBorders/>
      </w:tblPr>
      <w:tcPr>
        <w:shd w:val="clear" w:color="f2f2f2" w:fill="ffffff" w:themeFill="text1" w:themeFillTint="0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auto"/>
        <w:tcBorders>
          <w:right w:val="single" w:color="404040" w:sz="4" w:space="0"/>
        </w:tcBorders>
      </w:tcPr>
    </w:tblStylePr>
    <w:tblStylePr w:type="firstRow">
      <w:rPr>
        <w:i/>
        <w:color w:val="404040"/>
      </w:rPr>
      <w:pPr>
        <w:pBdr/>
        <w:spacing/>
        <w:ind/>
      </w:pPr>
      <w:tblPr>
        <w:tblBorders/>
      </w:tblPr>
      <w:tcPr>
        <w:shd w:val="clear" w:color="ffffff" w:fill="auto"/>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fill="auto"/>
        <w:tcBorders>
          <w:left w:val="single" w:color="404040" w:sz="4" w:space="0"/>
        </w:tcBorders>
      </w:tcPr>
    </w:tblStylePr>
    <w:tblStylePr w:type="lastRow">
      <w:rPr>
        <w:i/>
        <w:color w:val="404040"/>
      </w:rPr>
      <w:pPr>
        <w:pBdr/>
        <w:spacing/>
        <w:ind/>
      </w:pPr>
      <w:tblPr>
        <w:tblBorders/>
      </w:tblPr>
      <w:tcPr>
        <w:shd w:val="clear" w:color="ffffff" w:fill="auto"/>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14" w:customStyle="1">
    <w:name w:val="Grid Table 1 Light"/>
    <w:basedOn w:val="892"/>
    <w:uiPriority w:val="99"/>
    <w:pPr>
      <w:pBdr/>
      <w:spacing/>
      <w:ind/>
    </w:pPr>
    <w:tblPr>
      <w:tblStyleRowBandSize w:val="1"/>
      <w:tblStyleColBandSize w:val="1"/>
      <w:tblInd w:w="0" w:type="dxa"/>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CellMar>
        <w:left w:w="108" w:type="dxa"/>
        <w:top w:w="0" w:type="dxa"/>
        <w:right w:w="108" w:type="dxa"/>
        <w:bottom w:w="0" w:type="dxa"/>
      </w:tblCellMar>
    </w:tblPr>
    <w:tcPr>
      <w:tcBorders/>
    </w:tcPr>
    <w:tblStylePr w:type="band1Horz">
      <w:rPr>
        <w:color w:val="404040"/>
        <w:sz w:val="22"/>
      </w:rPr>
      <w:pPr>
        <w:pBdr/>
        <w:spacing/>
        <w:ind/>
      </w:pPr>
      <w:tblPr>
        <w:tblBorders/>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15" w:customStyle="1">
    <w:name w:val="Grid Table 1 Light - Accent 1"/>
    <w:basedOn w:val="892"/>
    <w:uiPriority w:val="99"/>
    <w:pPr>
      <w:pBdr/>
      <w:spacing/>
      <w:ind/>
    </w:pPr>
    <w:tblPr>
      <w:tblStyleRowBandSize w:val="1"/>
      <w:tblStyleColBandSize w:val="1"/>
      <w:tblInd w:w="0" w:type="dxa"/>
      <w:tblBorders>
        <w:top w:val="single" w:color="b3c5e7" w:themeColor="accent1" w:themeTint="67" w:sz="4" w:space="0"/>
        <w:left w:val="single" w:color="b3c5e7" w:themeColor="accent1" w:themeTint="67" w:sz="4" w:space="0"/>
        <w:bottom w:val="single" w:color="b3c5e7" w:themeColor="accent1" w:themeTint="67" w:sz="4" w:space="0"/>
        <w:right w:val="single" w:color="b3c5e7" w:themeColor="accent1" w:themeTint="67" w:sz="4" w:space="0"/>
        <w:insideH w:val="single" w:color="b3c5e7" w:themeColor="accent1" w:themeTint="67" w:sz="4" w:space="0"/>
        <w:insideV w:val="single" w:color="b3c5e7" w:themeColor="accent1" w:themeTint="67" w:sz="4" w:space="0"/>
      </w:tblBorders>
      <w:tblCellMar>
        <w:left w:w="108" w:type="dxa"/>
        <w:top w:w="0" w:type="dxa"/>
        <w:right w:w="108" w:type="dxa"/>
        <w:bottom w:w="0" w:type="dxa"/>
      </w:tblCellMar>
    </w:tblPr>
    <w:tcPr>
      <w:tcBorders/>
    </w:tcPr>
    <w:tblStylePr w:type="band1Horz">
      <w:rPr>
        <w:color w:val="404040"/>
        <w:sz w:val="22"/>
      </w:rPr>
      <w:pPr>
        <w:pBdr/>
        <w:spacing/>
        <w:ind/>
      </w:pPr>
      <w:tblPr>
        <w:tblBorders/>
      </w:tblPr>
      <w:tcPr>
        <w:tcBorders>
          <w:top w:val="single" w:color="4472c4" w:themeColor="accent1" w:sz="4" w:space="0"/>
          <w:left w:val="single" w:color="4472c4" w:themeColor="accent1" w:sz="4" w:space="0"/>
          <w:bottom w:val="single" w:color="4472c4" w:themeColor="accent1" w:sz="4" w:space="0"/>
          <w:right w:val="single" w:color="4472c4" w:themeColor="accent1"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4472c4" w:themeColor="accent1"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16" w:customStyle="1">
    <w:name w:val="Grid Table 1 Light - Accent 2"/>
    <w:basedOn w:val="892"/>
    <w:uiPriority w:val="99"/>
    <w:pPr>
      <w:pBdr/>
      <w:spacing/>
      <w:ind/>
    </w:pPr>
    <w:tblPr>
      <w:tblStyleRowBandSize w:val="1"/>
      <w:tblStyleColBandSize w:val="1"/>
      <w:tblInd w:w="0" w:type="dxa"/>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CellMar>
        <w:left w:w="108" w:type="dxa"/>
        <w:top w:w="0" w:type="dxa"/>
        <w:right w:w="108" w:type="dxa"/>
        <w:bottom w:w="0" w:type="dxa"/>
      </w:tblCellMar>
    </w:tblPr>
    <w:tcPr>
      <w:tcBorders/>
    </w:tcPr>
    <w:tblStylePr w:type="band1Horz">
      <w:rPr>
        <w:color w:val="404040"/>
        <w:sz w:val="22"/>
      </w:rPr>
      <w:pPr>
        <w:pBdr/>
        <w:spacing/>
        <w:ind/>
      </w:pPr>
      <w:tblPr>
        <w:tblBorders/>
      </w:tblPr>
      <w:tcPr>
        <w:tcBorders>
          <w:top w:val="single" w:color="ed7d31" w:themeColor="accent2" w:sz="4" w:space="0"/>
          <w:left w:val="single" w:color="ed7d31" w:themeColor="accent2" w:sz="4" w:space="0"/>
          <w:bottom w:val="single" w:color="ed7d31" w:themeColor="accent2" w:sz="4" w:space="0"/>
          <w:right w:val="single" w:color="ed7d31" w:themeColor="accent2"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ed7d31" w:themeColor="accent2"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17" w:customStyle="1">
    <w:name w:val="Grid Table 1 Light - Accent 3"/>
    <w:basedOn w:val="892"/>
    <w:uiPriority w:val="99"/>
    <w:pPr>
      <w:pBdr/>
      <w:spacing/>
      <w:ind/>
    </w:pPr>
    <w:tblPr>
      <w:tblStyleRowBandSize w:val="1"/>
      <w:tblStyleColBandSize w:val="1"/>
      <w:tblInd w:w="0" w:type="dxa"/>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CellMar>
        <w:left w:w="108" w:type="dxa"/>
        <w:top w:w="0" w:type="dxa"/>
        <w:right w:w="108" w:type="dxa"/>
        <w:bottom w:w="0" w:type="dxa"/>
      </w:tblCellMar>
    </w:tblPr>
    <w:tcPr>
      <w:tcBorders/>
    </w:tcPr>
    <w:tblStylePr w:type="band1Horz">
      <w:rPr>
        <w:color w:val="404040"/>
        <w:sz w:val="22"/>
      </w:rPr>
      <w:pPr>
        <w:pBdr/>
        <w:spacing/>
        <w:ind/>
      </w:pPr>
      <w:tblPr>
        <w:tblBorders/>
      </w:tblPr>
      <w:tcPr>
        <w:tcBorders>
          <w:top w:val="single" w:color="a5a5a5" w:themeColor="accent3" w:sz="4" w:space="0"/>
          <w:left w:val="single" w:color="a5a5a5" w:themeColor="accent3" w:sz="4" w:space="0"/>
          <w:bottom w:val="single" w:color="a5a5a5" w:themeColor="accent3" w:sz="4" w:space="0"/>
          <w:right w:val="single" w:color="a5a5a5" w:themeColor="accent3"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a5a5a5" w:themeColor="accent3"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18" w:customStyle="1">
    <w:name w:val="Grid Table 1 Light - Accent 4"/>
    <w:basedOn w:val="892"/>
    <w:uiPriority w:val="99"/>
    <w:pPr>
      <w:pBdr/>
      <w:spacing/>
      <w:ind/>
    </w:pPr>
    <w:tblPr>
      <w:tblStyleRowBandSize w:val="1"/>
      <w:tblStyleColBandSize w:val="1"/>
      <w:tblInd w:w="0" w:type="dxa"/>
      <w:tbl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insideH w:val="single" w:color="ffe598" w:themeColor="accent4" w:themeTint="67" w:sz="4" w:space="0"/>
        <w:insideV w:val="single" w:color="ffe598" w:themeColor="accent4" w:themeTint="67" w:sz="4" w:space="0"/>
      </w:tblBorders>
      <w:tblCellMar>
        <w:left w:w="108" w:type="dxa"/>
        <w:top w:w="0" w:type="dxa"/>
        <w:right w:w="108" w:type="dxa"/>
        <w:bottom w:w="0" w:type="dxa"/>
      </w:tblCellMar>
    </w:tblPr>
    <w:tcPr>
      <w:tcBorders/>
    </w:tcPr>
    <w:tblStylePr w:type="band1Horz">
      <w:rPr>
        <w:color w:val="404040"/>
        <w:sz w:val="22"/>
      </w:rPr>
      <w:pPr>
        <w:pBdr/>
        <w:spacing/>
        <w:ind/>
      </w:pPr>
      <w:tblPr>
        <w:tblBorders/>
      </w:tblPr>
      <w:tcPr>
        <w:tcBorders>
          <w:top w:val="single" w:color="ffc000" w:themeColor="accent4" w:sz="4" w:space="0"/>
          <w:left w:val="single" w:color="ffc000" w:themeColor="accent4" w:sz="4" w:space="0"/>
          <w:bottom w:val="single" w:color="ffc000" w:themeColor="accent4" w:sz="4" w:space="0"/>
          <w:right w:val="single" w:color="ffc000" w:themeColor="accent4"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ffc000" w:themeColor="accent4"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19" w:customStyle="1">
    <w:name w:val="Grid Table 1 Light - Accent 5"/>
    <w:basedOn w:val="892"/>
    <w:uiPriority w:val="99"/>
    <w:pPr>
      <w:pBdr/>
      <w:spacing/>
      <w:ind/>
    </w:pPr>
    <w:tblPr>
      <w:tblStyleRowBandSize w:val="1"/>
      <w:tblStyleColBandSize w:val="1"/>
      <w:tblInd w:w="0" w:type="dxa"/>
      <w:tblBorders>
        <w:top w:val="single" w:color="bcd6ee" w:themeColor="accent5" w:themeTint="67" w:sz="4" w:space="0"/>
        <w:left w:val="single" w:color="bcd6ee" w:themeColor="accent5" w:themeTint="67" w:sz="4" w:space="0"/>
        <w:bottom w:val="single" w:color="bcd6ee" w:themeColor="accent5" w:themeTint="67" w:sz="4" w:space="0"/>
        <w:right w:val="single" w:color="bcd6ee" w:themeColor="accent5" w:themeTint="67" w:sz="4" w:space="0"/>
        <w:insideH w:val="single" w:color="bcd6ee" w:themeColor="accent5" w:themeTint="67" w:sz="4" w:space="0"/>
        <w:insideV w:val="single" w:color="bcd6ee" w:themeColor="accent5" w:themeTint="67" w:sz="4" w:space="0"/>
      </w:tblBorders>
      <w:tblCellMar>
        <w:left w:w="108" w:type="dxa"/>
        <w:top w:w="0" w:type="dxa"/>
        <w:right w:w="108" w:type="dxa"/>
        <w:bottom w:w="0" w:type="dxa"/>
      </w:tblCellMar>
    </w:tblPr>
    <w:tcPr>
      <w:tcBorders/>
    </w:tcPr>
    <w:tblStylePr w:type="band1Horz">
      <w:rPr>
        <w:color w:val="404040"/>
        <w:sz w:val="22"/>
      </w:rPr>
      <w:pPr>
        <w:pBdr/>
        <w:spacing/>
        <w:ind/>
      </w:pPr>
      <w:tblPr>
        <w:tblBorders/>
      </w:tblPr>
      <w:tcPr>
        <w:tcBorders>
          <w:top w:val="single" w:color="5b9bd5" w:themeColor="accent5" w:sz="4" w:space="0"/>
          <w:left w:val="single" w:color="5b9bd5" w:themeColor="accent5" w:sz="4" w:space="0"/>
          <w:bottom w:val="single" w:color="5b9bd5" w:themeColor="accent5" w:sz="4" w:space="0"/>
          <w:right w:val="single" w:color="5b9bd5" w:themeColor="accent5"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5b9bd5" w:themeColor="accent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20" w:customStyle="1">
    <w:name w:val="Grid Table 1 Light - Accent 6"/>
    <w:basedOn w:val="892"/>
    <w:uiPriority w:val="99"/>
    <w:pPr>
      <w:pBdr/>
      <w:spacing/>
      <w:ind/>
    </w:pPr>
    <w:tblPr>
      <w:tblStyleRowBandSize w:val="1"/>
      <w:tblStyleColBandSize w:val="1"/>
      <w:tblInd w:w="0" w:type="dxa"/>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CellMar>
        <w:left w:w="108" w:type="dxa"/>
        <w:top w:w="0" w:type="dxa"/>
        <w:right w:w="108" w:type="dxa"/>
        <w:bottom w:w="0" w:type="dxa"/>
      </w:tblCellMar>
    </w:tblPr>
    <w:tcPr>
      <w:tcBorders/>
    </w:tcPr>
    <w:tblStylePr w:type="band1Horz">
      <w:rPr>
        <w:color w:val="404040"/>
        <w:sz w:val="22"/>
      </w:rPr>
      <w:pPr>
        <w:pBdr/>
        <w:spacing/>
        <w:ind/>
      </w:pPr>
      <w:tblPr>
        <w:tblBorders/>
      </w:tblPr>
      <w:tcPr>
        <w:tcBorders>
          <w:top w:val="single" w:color="70ad47" w:themeColor="accent6" w:sz="4" w:space="0"/>
          <w:left w:val="single" w:color="70ad47" w:themeColor="accent6" w:sz="4" w:space="0"/>
          <w:bottom w:val="single" w:color="70ad47" w:themeColor="accent6" w:sz="4" w:space="0"/>
          <w:right w:val="single" w:color="70ad47" w:themeColor="accent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70ad47" w:themeColor="accent6"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21" w:customStyle="1">
    <w:name w:val="Grid Table 2"/>
    <w:basedOn w:val="892"/>
    <w:uiPriority w:val="99"/>
    <w:pPr>
      <w:pBdr/>
      <w:spacing/>
      <w:ind/>
    </w:pPr>
    <w:tblPr>
      <w:tblStyleRowBandSize w:val="1"/>
      <w:tblStyleColBandSize w:val="1"/>
      <w:tblInd w:w="0" w:type="dxa"/>
      <w:tblBorders>
        <w:bottom w:val="single" w:color="6a6a6a" w:themeColor="text1" w:themeTint="95" w:sz="4" w:space="0"/>
        <w:insideH w:val="single" w:color="6a6a6a" w:themeColor="text1" w:themeTint="95" w:sz="4" w:space="0"/>
        <w:insideV w:val="single" w:color="6a6a6a" w:themeColor="text1" w:themeTint="95" w:sz="4" w:space="0"/>
      </w:tblBorders>
      <w:tblCellMar>
        <w:left w:w="108" w:type="dxa"/>
        <w:top w:w="0" w:type="dxa"/>
        <w:right w:w="108" w:type="dxa"/>
        <w:bottom w:w="0" w:type="dxa"/>
      </w:tblCellMar>
    </w:tblPr>
    <w:tcPr>
      <w:tcBorders/>
    </w:tcPr>
    <w:tblStylePr w:type="band1Horz">
      <w:rPr>
        <w:color w:val="404040"/>
        <w:sz w:val="22"/>
      </w:rPr>
      <w:pPr>
        <w:pBdr/>
        <w:spacing/>
        <w:ind/>
      </w:pPr>
      <w:tblPr>
        <w:tblBorders/>
      </w:tblPr>
      <w:tcPr>
        <w:shd w:val="clear" w:color="cbcbcb" w:fill="cbcbcb" w:themeFill="text1" w:themeFillTint="34"/>
        <w:tcBorders/>
      </w:tcPr>
    </w:tblStylePr>
    <w:tblStylePr w:type="band1Vert">
      <w:rPr>
        <w:color w:val="404040"/>
        <w:sz w:val="22"/>
      </w:rPr>
      <w:pPr>
        <w:pBdr/>
        <w:spacing/>
        <w:ind/>
      </w:pPr>
      <w:tblPr>
        <w:tblBorders/>
      </w:tblPr>
      <w:tcPr>
        <w:shd w:val="clear" w:color="cbcbcb"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single" w:color="000000" w:themeColor="text1"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fill="auto"/>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22" w:customStyle="1">
    <w:name w:val="Grid Table 2 - Accent 1"/>
    <w:basedOn w:val="892"/>
    <w:uiPriority w:val="99"/>
    <w:pPr>
      <w:pBdr/>
      <w:spacing/>
      <w:ind/>
    </w:pPr>
    <w:tblPr>
      <w:tblStyleRowBandSize w:val="1"/>
      <w:tblStyleColBandSize w:val="1"/>
      <w:tblInd w:w="0" w:type="dxa"/>
      <w:tblBorders>
        <w:bottom w:val="single" w:color="537dc8" w:themeColor="accent1" w:themeTint="EA" w:sz="4" w:space="0"/>
        <w:insideH w:val="single" w:color="537dc8" w:themeColor="accent1" w:themeTint="EA" w:sz="4" w:space="0"/>
        <w:insideV w:val="single" w:color="537dc8" w:themeColor="accent1" w:themeTint="EA" w:sz="4" w:space="0"/>
      </w:tblBorders>
      <w:tblCellMar>
        <w:left w:w="108" w:type="dxa"/>
        <w:top w:w="0" w:type="dxa"/>
        <w:right w:w="108" w:type="dxa"/>
        <w:bottom w:w="0" w:type="dxa"/>
      </w:tblCellMar>
    </w:tblPr>
    <w:tcPr>
      <w:tcBorders/>
    </w:tcPr>
    <w:tblStylePr w:type="band1Horz">
      <w:rPr>
        <w:color w:val="404040"/>
        <w:sz w:val="22"/>
      </w:rPr>
      <w:pPr>
        <w:pBdr/>
        <w:spacing/>
        <w:ind/>
      </w:pPr>
      <w:tblPr>
        <w:tblBorders/>
      </w:tblPr>
      <w:tcPr>
        <w:shd w:val="clear" w:color="d8e2f3" w:fill="d8e2f3" w:themeFill="accent1" w:themeFillTint="34"/>
        <w:tcBorders/>
      </w:tcPr>
    </w:tblStylePr>
    <w:tblStylePr w:type="band1Vert">
      <w:rPr>
        <w:color w:val="404040"/>
        <w:sz w:val="22"/>
      </w:rPr>
      <w:pPr>
        <w:pBdr/>
        <w:spacing/>
        <w:ind/>
      </w:pPr>
      <w:tblPr>
        <w:tblBorders/>
      </w:tblPr>
      <w:tcPr>
        <w:shd w:val="clear" w:color="d8e2f3" w:fill="d8e2f3"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single" w:color="4472c4" w:themeColor="accent1"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fill="auto"/>
        <w:tcBorders>
          <w:top w:val="single" w:color="4472c4"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23" w:customStyle="1">
    <w:name w:val="Grid Table 2 - Accent 2"/>
    <w:basedOn w:val="892"/>
    <w:uiPriority w:val="99"/>
    <w:pPr>
      <w:pBdr/>
      <w:spacing/>
      <w:ind/>
    </w:pPr>
    <w:tblPr>
      <w:tblStyleRowBandSize w:val="1"/>
      <w:tblStyleColBandSize w:val="1"/>
      <w:tblInd w:w="0" w:type="dxa"/>
      <w:tblBorders>
        <w:bottom w:val="single" w:color="f4b184" w:themeColor="accent2" w:themeTint="97" w:sz="4" w:space="0"/>
        <w:insideH w:val="single" w:color="f4b184" w:themeColor="accent2" w:themeTint="97" w:sz="4" w:space="0"/>
        <w:insideV w:val="single" w:color="f4b184" w:themeColor="accent2" w:themeTint="97" w:sz="4" w:space="0"/>
      </w:tblBorders>
      <w:tblCellMar>
        <w:left w:w="108" w:type="dxa"/>
        <w:top w:w="0" w:type="dxa"/>
        <w:right w:w="108" w:type="dxa"/>
        <w:bottom w:w="0" w:type="dxa"/>
      </w:tblCellMar>
    </w:tblPr>
    <w:tcPr>
      <w:tcBorders/>
    </w:tcPr>
    <w:tblStylePr w:type="band1Horz">
      <w:rPr>
        <w:color w:val="404040"/>
        <w:sz w:val="22"/>
      </w:rPr>
      <w:pPr>
        <w:pBdr/>
        <w:spacing/>
        <w:ind/>
      </w:pPr>
      <w:tblPr>
        <w:tblBorders/>
      </w:tblPr>
      <w:tcPr>
        <w:shd w:val="clear" w:color="fbe5d6" w:fill="fbe5d6" w:themeFill="accent2" w:themeFillTint="32"/>
        <w:tcBorders/>
      </w:tcPr>
    </w:tblStylePr>
    <w:tblStylePr w:type="band1Vert">
      <w:rPr>
        <w:color w:val="404040"/>
        <w:sz w:val="22"/>
      </w:rPr>
      <w:pPr>
        <w:pBdr/>
        <w:spacing/>
        <w:ind/>
      </w:pPr>
      <w:tblPr>
        <w:tblBorders/>
      </w:tblPr>
      <w:tcPr>
        <w:shd w:val="clear" w:color="fbe5d6" w:fill="fbe5d6"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single" w:color="ed7d31" w:themeColor="accent2"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fill="auto"/>
        <w:tcBorders>
          <w:top w:val="single" w:color="ed7d31"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24" w:customStyle="1">
    <w:name w:val="Grid Table 2 - Accent 3"/>
    <w:basedOn w:val="892"/>
    <w:uiPriority w:val="99"/>
    <w:pPr>
      <w:pBdr/>
      <w:spacing/>
      <w:ind/>
    </w:pPr>
    <w:tblPr>
      <w:tblStyleRowBandSize w:val="1"/>
      <w:tblStyleColBandSize w:val="1"/>
      <w:tblInd w:w="0" w:type="dxa"/>
      <w:tblBorders>
        <w:bottom w:val="single" w:color="a5a5a5" w:themeColor="accent3" w:themeTint="FE" w:sz="4" w:space="0"/>
        <w:insideH w:val="single" w:color="a5a5a5" w:themeColor="accent3" w:themeTint="FE" w:sz="4" w:space="0"/>
        <w:insideV w:val="single" w:color="a5a5a5" w:themeColor="accent3" w:themeTint="FE" w:sz="4" w:space="0"/>
      </w:tblBorders>
      <w:tblCellMar>
        <w:left w:w="108" w:type="dxa"/>
        <w:top w:w="0" w:type="dxa"/>
        <w:right w:w="108" w:type="dxa"/>
        <w:bottom w:w="0" w:type="dxa"/>
      </w:tblCellMar>
    </w:tblPr>
    <w:tcPr>
      <w:tcBorders/>
    </w:tcPr>
    <w:tblStylePr w:type="band1Horz">
      <w:rPr>
        <w:color w:val="404040"/>
        <w:sz w:val="22"/>
      </w:rPr>
      <w:pPr>
        <w:pBdr/>
        <w:spacing/>
        <w:ind/>
      </w:pPr>
      <w:tblPr>
        <w:tblBorders/>
      </w:tblPr>
      <w:tcPr>
        <w:shd w:val="clear" w:color="ececec" w:fill="ececec" w:themeFill="accent3" w:themeFillTint="34"/>
        <w:tcBorders/>
      </w:tcPr>
    </w:tblStylePr>
    <w:tblStylePr w:type="band1Vert">
      <w:rPr>
        <w:color w:val="404040"/>
        <w:sz w:val="22"/>
      </w:rPr>
      <w:pPr>
        <w:pBdr/>
        <w:spacing/>
        <w:ind/>
      </w:pPr>
      <w:tblPr>
        <w:tblBorders/>
      </w:tblPr>
      <w:tcPr>
        <w:shd w:val="clear" w:color="ececec" w:fill="ececec"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single" w:color="a5a5a5" w:themeColor="accent3"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fill="auto"/>
        <w:tcBorders>
          <w:top w:val="single" w:color="a5a5a5"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25" w:customStyle="1">
    <w:name w:val="Grid Table 2 - Accent 4"/>
    <w:basedOn w:val="892"/>
    <w:uiPriority w:val="99"/>
    <w:pPr>
      <w:pBdr/>
      <w:spacing/>
      <w:ind/>
    </w:pPr>
    <w:tblPr>
      <w:tblStyleRowBandSize w:val="1"/>
      <w:tblStyleColBandSize w:val="1"/>
      <w:tblInd w:w="0" w:type="dxa"/>
      <w:tblBorders>
        <w:bottom w:val="single" w:color="ffd865" w:themeColor="accent4" w:themeTint="9A" w:sz="4" w:space="0"/>
        <w:insideH w:val="single" w:color="ffd865" w:themeColor="accent4" w:themeTint="9A" w:sz="4" w:space="0"/>
        <w:insideV w:val="single" w:color="ffd865" w:themeColor="accent4" w:themeTint="9A" w:sz="4" w:space="0"/>
      </w:tblBorders>
      <w:tblCellMar>
        <w:left w:w="108" w:type="dxa"/>
        <w:top w:w="0" w:type="dxa"/>
        <w:right w:w="108" w:type="dxa"/>
        <w:bottom w:w="0" w:type="dxa"/>
      </w:tblCellMar>
    </w:tblPr>
    <w:tcPr>
      <w:tcBorders/>
    </w:tcPr>
    <w:tblStylePr w:type="band1Horz">
      <w:rPr>
        <w:color w:val="404040"/>
        <w:sz w:val="22"/>
      </w:rPr>
      <w:pPr>
        <w:pBdr/>
        <w:spacing/>
        <w:ind/>
      </w:pPr>
      <w:tblPr>
        <w:tblBorders/>
      </w:tblPr>
      <w:tcPr>
        <w:shd w:val="clear" w:color="fff2cb" w:fill="fff2cb" w:themeFill="accent4" w:themeFillTint="34"/>
        <w:tcBorders/>
      </w:tcPr>
    </w:tblStylePr>
    <w:tblStylePr w:type="band1Vert">
      <w:rPr>
        <w:color w:val="404040"/>
        <w:sz w:val="22"/>
      </w:rPr>
      <w:pPr>
        <w:pBdr/>
        <w:spacing/>
        <w:ind/>
      </w:pPr>
      <w:tblPr>
        <w:tblBorders/>
      </w:tblPr>
      <w:tcPr>
        <w:shd w:val="clear" w:color="fff2cb"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single" w:color="ffc000" w:themeColor="accent4"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fill="auto"/>
        <w:tcBorders>
          <w:top w:val="single" w:color="ffc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26" w:customStyle="1">
    <w:name w:val="Grid Table 2 - Accent 5"/>
    <w:basedOn w:val="892"/>
    <w:uiPriority w:val="99"/>
    <w:pPr>
      <w:pBdr/>
      <w:spacing/>
      <w:ind/>
    </w:pPr>
    <w:tblPr>
      <w:tblStyleRowBandSize w:val="1"/>
      <w:tblStyleColBandSize w:val="1"/>
      <w:tblInd w:w="0" w:type="dxa"/>
      <w:tblBorders>
        <w:bottom w:val="single" w:color="5b9bd5" w:themeColor="accent5" w:sz="4" w:space="0"/>
        <w:insideH w:val="single" w:color="5b9bd5" w:themeColor="accent5" w:sz="4" w:space="0"/>
        <w:insideV w:val="single" w:color="5b9bd5" w:themeColor="accent5" w:sz="4" w:space="0"/>
      </w:tblBorders>
      <w:tblCellMar>
        <w:left w:w="108" w:type="dxa"/>
        <w:top w:w="0" w:type="dxa"/>
        <w:right w:w="108" w:type="dxa"/>
        <w:bottom w:w="0" w:type="dxa"/>
      </w:tblCellMar>
    </w:tblPr>
    <w:tcPr>
      <w:tcBorders/>
    </w:tcPr>
    <w:tblStylePr w:type="band1Horz">
      <w:rPr>
        <w:color w:val="404040"/>
        <w:sz w:val="22"/>
      </w:rPr>
      <w:pPr>
        <w:pBdr/>
        <w:spacing/>
        <w:ind/>
      </w:pPr>
      <w:tblPr>
        <w:tblBorders/>
      </w:tblPr>
      <w:tcPr>
        <w:shd w:val="clear" w:color="ddeaf6" w:fill="ddeaf6" w:themeFill="accent5" w:themeFillTint="34"/>
        <w:tcBorders/>
      </w:tcPr>
    </w:tblStylePr>
    <w:tblStylePr w:type="band1Vert">
      <w:rPr>
        <w:color w:val="404040"/>
        <w:sz w:val="22"/>
      </w:rPr>
      <w:pPr>
        <w:pBdr/>
        <w:spacing/>
        <w:ind/>
      </w:pPr>
      <w:tblPr>
        <w:tblBorders/>
      </w:tblPr>
      <w:tcPr>
        <w:shd w:val="clear" w:color="ddeaf6" w:fill="ddeaf6"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single" w:color="5b9bd5"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fill="auto"/>
        <w:tcBorders>
          <w:top w:val="single" w:color="5b9bd5"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27" w:customStyle="1">
    <w:name w:val="Grid Table 2 - Accent 6"/>
    <w:basedOn w:val="892"/>
    <w:uiPriority w:val="99"/>
    <w:pPr>
      <w:pBdr/>
      <w:spacing/>
      <w:ind/>
    </w:pPr>
    <w:tblPr>
      <w:tblStyleRowBandSize w:val="1"/>
      <w:tblStyleColBandSize w:val="1"/>
      <w:tblInd w:w="0" w:type="dxa"/>
      <w:tblBorders>
        <w:bottom w:val="single" w:color="70ad47" w:themeColor="accent6" w:sz="4" w:space="0"/>
        <w:insideH w:val="single" w:color="70ad47" w:themeColor="accent6" w:sz="4" w:space="0"/>
        <w:insideV w:val="single" w:color="70ad47" w:themeColor="accent6" w:sz="4" w:space="0"/>
      </w:tblBorders>
      <w:tblCellMar>
        <w:left w:w="108" w:type="dxa"/>
        <w:top w:w="0" w:type="dxa"/>
        <w:right w:w="108" w:type="dxa"/>
        <w:bottom w:w="0" w:type="dxa"/>
      </w:tblCellMar>
    </w:tblPr>
    <w:tcPr>
      <w:tcBorders/>
    </w:tcPr>
    <w:tblStylePr w:type="band1Horz">
      <w:rPr>
        <w:color w:val="404040"/>
        <w:sz w:val="22"/>
      </w:rPr>
      <w:pPr>
        <w:pBdr/>
        <w:spacing/>
        <w:ind/>
      </w:pPr>
      <w:tblPr>
        <w:tblBorders/>
      </w:tblPr>
      <w:tcPr>
        <w:shd w:val="clear" w:color="e1efd8" w:fill="e1efd8" w:themeFill="accent6" w:themeFillTint="34"/>
        <w:tcBorders/>
      </w:tcPr>
    </w:tblStylePr>
    <w:tblStylePr w:type="band1Vert">
      <w:rPr>
        <w:color w:val="404040"/>
        <w:sz w:val="22"/>
      </w:rPr>
      <w:pPr>
        <w:pBdr/>
        <w:spacing/>
        <w:ind/>
      </w:pPr>
      <w:tblPr>
        <w:tblBorders/>
      </w:tblPr>
      <w:tcPr>
        <w:shd w:val="clear" w:color="e1efd8" w:fill="e1ef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single" w:color="70ad47"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fill="auto"/>
        <w:tcBorders>
          <w:top w:val="single" w:color="70ad47"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28" w:customStyle="1">
    <w:name w:val="Grid Table 3"/>
    <w:basedOn w:val="892"/>
    <w:uiPriority w:val="99"/>
    <w:pPr>
      <w:pBdr/>
      <w:spacing/>
      <w:ind/>
    </w:pPr>
    <w:tblPr>
      <w:tblStyleRowBandSize w:val="1"/>
      <w:tblStyleColBandSize w:val="1"/>
      <w:tblInd w:w="0" w:type="dxa"/>
      <w:tblBorders>
        <w:bottom w:val="single" w:color="6a6a6a" w:themeColor="text1" w:themeTint="95" w:sz="4" w:space="0"/>
        <w:insideH w:val="single" w:color="6a6a6a" w:themeColor="text1" w:themeTint="95" w:sz="4" w:space="0"/>
        <w:insideV w:val="single" w:color="6a6a6a" w:themeColor="text1" w:themeTint="95" w:sz="4" w:space="0"/>
      </w:tblBorders>
      <w:tblCellMar>
        <w:left w:w="108" w:type="dxa"/>
        <w:top w:w="0" w:type="dxa"/>
        <w:right w:w="108" w:type="dxa"/>
        <w:bottom w:w="0" w:type="dxa"/>
      </w:tblCellMar>
    </w:tblPr>
    <w:tcPr>
      <w:tcBorders/>
    </w:tcPr>
    <w:tblStylePr w:type="band1Horz">
      <w:rPr>
        <w:color w:val="404040"/>
        <w:sz w:val="22"/>
      </w:rPr>
      <w:pPr>
        <w:pBdr/>
        <w:spacing/>
        <w:ind/>
      </w:pPr>
      <w:tblPr>
        <w:tblBorders/>
      </w:tblPr>
      <w:tcPr>
        <w:shd w:val="clear" w:color="cbcbcb" w:fill="cbcbcb" w:themeFill="text1" w:themeFillTint="34"/>
        <w:tcBorders/>
      </w:tcPr>
    </w:tblStylePr>
    <w:tblStylePr w:type="band1Vert">
      <w:rPr>
        <w:color w:val="404040"/>
        <w:sz w:val="22"/>
      </w:rPr>
      <w:pPr>
        <w:pBdr/>
        <w:spacing/>
        <w:ind/>
      </w:pPr>
      <w:tblPr>
        <w:tblBorders/>
      </w:tblPr>
      <w:tcPr>
        <w:shd w:val="clear" w:color="cbcbcb"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29" w:customStyle="1">
    <w:name w:val="Grid Table 3 - Accent 1"/>
    <w:basedOn w:val="892"/>
    <w:uiPriority w:val="99"/>
    <w:pPr>
      <w:pBdr/>
      <w:spacing/>
      <w:ind/>
    </w:pPr>
    <w:tblPr>
      <w:tblStyleRowBandSize w:val="1"/>
      <w:tblStyleColBandSize w:val="1"/>
      <w:tblInd w:w="0" w:type="dxa"/>
      <w:tblBorders>
        <w:bottom w:val="single" w:color="537dc8" w:themeColor="accent1" w:themeTint="EA" w:sz="4" w:space="0"/>
        <w:insideH w:val="single" w:color="537dc8" w:themeColor="accent1" w:themeTint="EA" w:sz="4" w:space="0"/>
        <w:insideV w:val="single" w:color="537dc8" w:themeColor="accent1" w:themeTint="EA" w:sz="4" w:space="0"/>
      </w:tblBorders>
      <w:tblCellMar>
        <w:left w:w="108" w:type="dxa"/>
        <w:top w:w="0" w:type="dxa"/>
        <w:right w:w="108" w:type="dxa"/>
        <w:bottom w:w="0" w:type="dxa"/>
      </w:tblCellMar>
    </w:tblPr>
    <w:tcPr>
      <w:tcBorders/>
    </w:tcPr>
    <w:tblStylePr w:type="band1Horz">
      <w:rPr>
        <w:color w:val="404040"/>
        <w:sz w:val="22"/>
      </w:rPr>
      <w:pPr>
        <w:pBdr/>
        <w:spacing/>
        <w:ind/>
      </w:pPr>
      <w:tblPr>
        <w:tblBorders/>
      </w:tblPr>
      <w:tcPr>
        <w:shd w:val="clear" w:color="d8e2f3" w:fill="d8e2f3" w:themeFill="accent1" w:themeFillTint="34"/>
        <w:tcBorders/>
      </w:tcPr>
    </w:tblStylePr>
    <w:tblStylePr w:type="band1Vert">
      <w:rPr>
        <w:color w:val="404040"/>
        <w:sz w:val="22"/>
      </w:rPr>
      <w:pPr>
        <w:pBdr/>
        <w:spacing/>
        <w:ind/>
      </w:pPr>
      <w:tblPr>
        <w:tblBorders/>
      </w:tblPr>
      <w:tcPr>
        <w:shd w:val="clear" w:color="d8e2f3" w:fill="d8e2f3"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30" w:customStyle="1">
    <w:name w:val="Grid Table 3 - Accent 2"/>
    <w:basedOn w:val="892"/>
    <w:uiPriority w:val="99"/>
    <w:pPr>
      <w:pBdr/>
      <w:spacing/>
      <w:ind/>
    </w:pPr>
    <w:tblPr>
      <w:tblStyleRowBandSize w:val="1"/>
      <w:tblStyleColBandSize w:val="1"/>
      <w:tblInd w:w="0" w:type="dxa"/>
      <w:tblBorders>
        <w:bottom w:val="single" w:color="f4b184" w:themeColor="accent2" w:themeTint="97" w:sz="4" w:space="0"/>
        <w:insideH w:val="single" w:color="f4b184" w:themeColor="accent2" w:themeTint="97" w:sz="4" w:space="0"/>
        <w:insideV w:val="single" w:color="f4b184" w:themeColor="accent2" w:themeTint="97" w:sz="4" w:space="0"/>
      </w:tblBorders>
      <w:tblCellMar>
        <w:left w:w="108" w:type="dxa"/>
        <w:top w:w="0" w:type="dxa"/>
        <w:right w:w="108" w:type="dxa"/>
        <w:bottom w:w="0" w:type="dxa"/>
      </w:tblCellMar>
    </w:tblPr>
    <w:tcPr>
      <w:tcBorders/>
    </w:tcPr>
    <w:tblStylePr w:type="band1Horz">
      <w:rPr>
        <w:color w:val="404040"/>
        <w:sz w:val="22"/>
      </w:rPr>
      <w:pPr>
        <w:pBdr/>
        <w:spacing/>
        <w:ind/>
      </w:pPr>
      <w:tblPr>
        <w:tblBorders/>
      </w:tblPr>
      <w:tcPr>
        <w:shd w:val="clear" w:color="fbe5d6" w:fill="fbe5d6" w:themeFill="accent2" w:themeFillTint="32"/>
        <w:tcBorders/>
      </w:tcPr>
    </w:tblStylePr>
    <w:tblStylePr w:type="band1Vert">
      <w:rPr>
        <w:color w:val="404040"/>
        <w:sz w:val="22"/>
      </w:rPr>
      <w:pPr>
        <w:pBdr/>
        <w:spacing/>
        <w:ind/>
      </w:pPr>
      <w:tblPr>
        <w:tblBorders/>
      </w:tblPr>
      <w:tcPr>
        <w:shd w:val="clear" w:color="fbe5d6" w:fill="fbe5d6"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31" w:customStyle="1">
    <w:name w:val="Grid Table 3 - Accent 3"/>
    <w:basedOn w:val="892"/>
    <w:uiPriority w:val="99"/>
    <w:pPr>
      <w:pBdr/>
      <w:spacing/>
      <w:ind/>
    </w:pPr>
    <w:tblPr>
      <w:tblStyleRowBandSize w:val="1"/>
      <w:tblStyleColBandSize w:val="1"/>
      <w:tblInd w:w="0" w:type="dxa"/>
      <w:tblBorders>
        <w:bottom w:val="single" w:color="a5a5a5" w:themeColor="accent3" w:themeTint="FE" w:sz="4" w:space="0"/>
        <w:insideH w:val="single" w:color="a5a5a5" w:themeColor="accent3" w:themeTint="FE" w:sz="4" w:space="0"/>
        <w:insideV w:val="single" w:color="a5a5a5" w:themeColor="accent3" w:themeTint="FE" w:sz="4" w:space="0"/>
      </w:tblBorders>
      <w:tblCellMar>
        <w:left w:w="108" w:type="dxa"/>
        <w:top w:w="0" w:type="dxa"/>
        <w:right w:w="108" w:type="dxa"/>
        <w:bottom w:w="0" w:type="dxa"/>
      </w:tblCellMar>
    </w:tblPr>
    <w:tcPr>
      <w:tcBorders/>
    </w:tcPr>
    <w:tblStylePr w:type="band1Horz">
      <w:rPr>
        <w:color w:val="404040"/>
        <w:sz w:val="22"/>
      </w:rPr>
      <w:pPr>
        <w:pBdr/>
        <w:spacing/>
        <w:ind/>
      </w:pPr>
      <w:tblPr>
        <w:tblBorders/>
      </w:tblPr>
      <w:tcPr>
        <w:shd w:val="clear" w:color="ececec" w:fill="ececec" w:themeFill="accent3" w:themeFillTint="34"/>
        <w:tcBorders/>
      </w:tcPr>
    </w:tblStylePr>
    <w:tblStylePr w:type="band1Vert">
      <w:rPr>
        <w:color w:val="404040"/>
        <w:sz w:val="22"/>
      </w:rPr>
      <w:pPr>
        <w:pBdr/>
        <w:spacing/>
        <w:ind/>
      </w:pPr>
      <w:tblPr>
        <w:tblBorders/>
      </w:tblPr>
      <w:tcPr>
        <w:shd w:val="clear" w:color="ececec" w:fill="ececec"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32" w:customStyle="1">
    <w:name w:val="Grid Table 3 - Accent 4"/>
    <w:basedOn w:val="892"/>
    <w:uiPriority w:val="99"/>
    <w:pPr>
      <w:pBdr/>
      <w:spacing/>
      <w:ind/>
    </w:pPr>
    <w:tblPr>
      <w:tblStyleRowBandSize w:val="1"/>
      <w:tblStyleColBandSize w:val="1"/>
      <w:tblInd w:w="0" w:type="dxa"/>
      <w:tblBorders>
        <w:bottom w:val="single" w:color="ffd865" w:themeColor="accent4" w:themeTint="9A" w:sz="4" w:space="0"/>
        <w:insideH w:val="single" w:color="ffd865" w:themeColor="accent4" w:themeTint="9A" w:sz="4" w:space="0"/>
        <w:insideV w:val="single" w:color="ffd865" w:themeColor="accent4" w:themeTint="9A" w:sz="4" w:space="0"/>
      </w:tblBorders>
      <w:tblCellMar>
        <w:left w:w="108" w:type="dxa"/>
        <w:top w:w="0" w:type="dxa"/>
        <w:right w:w="108" w:type="dxa"/>
        <w:bottom w:w="0" w:type="dxa"/>
      </w:tblCellMar>
    </w:tblPr>
    <w:tcPr>
      <w:tcBorders/>
    </w:tcPr>
    <w:tblStylePr w:type="band1Horz">
      <w:rPr>
        <w:color w:val="404040"/>
        <w:sz w:val="22"/>
      </w:rPr>
      <w:pPr>
        <w:pBdr/>
        <w:spacing/>
        <w:ind/>
      </w:pPr>
      <w:tblPr>
        <w:tblBorders/>
      </w:tblPr>
      <w:tcPr>
        <w:shd w:val="clear" w:color="fff2cb" w:fill="fff2cb" w:themeFill="accent4" w:themeFillTint="34"/>
        <w:tcBorders/>
      </w:tcPr>
    </w:tblStylePr>
    <w:tblStylePr w:type="band1Vert">
      <w:rPr>
        <w:color w:val="404040"/>
        <w:sz w:val="22"/>
      </w:rPr>
      <w:pPr>
        <w:pBdr/>
        <w:spacing/>
        <w:ind/>
      </w:pPr>
      <w:tblPr>
        <w:tblBorders/>
      </w:tblPr>
      <w:tcPr>
        <w:shd w:val="clear" w:color="fff2cb"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33" w:customStyle="1">
    <w:name w:val="Grid Table 3 - Accent 5"/>
    <w:basedOn w:val="892"/>
    <w:uiPriority w:val="99"/>
    <w:pPr>
      <w:pBdr/>
      <w:spacing/>
      <w:ind/>
    </w:pPr>
    <w:tblPr>
      <w:tblStyleRowBandSize w:val="1"/>
      <w:tblStyleColBandSize w:val="1"/>
      <w:tblInd w:w="0" w:type="dxa"/>
      <w:tblBorders>
        <w:bottom w:val="single" w:color="5b9bd5" w:themeColor="accent5" w:sz="4" w:space="0"/>
        <w:insideH w:val="single" w:color="5b9bd5" w:themeColor="accent5" w:sz="4" w:space="0"/>
        <w:insideV w:val="single" w:color="5b9bd5" w:themeColor="accent5" w:sz="4" w:space="0"/>
      </w:tblBorders>
      <w:tblCellMar>
        <w:left w:w="108" w:type="dxa"/>
        <w:top w:w="0" w:type="dxa"/>
        <w:right w:w="108" w:type="dxa"/>
        <w:bottom w:w="0" w:type="dxa"/>
      </w:tblCellMar>
    </w:tblPr>
    <w:tcPr>
      <w:tcBorders/>
    </w:tcPr>
    <w:tblStylePr w:type="band1Horz">
      <w:rPr>
        <w:color w:val="404040"/>
        <w:sz w:val="22"/>
      </w:rPr>
      <w:pPr>
        <w:pBdr/>
        <w:spacing/>
        <w:ind/>
      </w:pPr>
      <w:tblPr>
        <w:tblBorders/>
      </w:tblPr>
      <w:tcPr>
        <w:shd w:val="clear" w:color="ddeaf6" w:fill="ddeaf6" w:themeFill="accent5" w:themeFillTint="34"/>
        <w:tcBorders/>
      </w:tcPr>
    </w:tblStylePr>
    <w:tblStylePr w:type="band1Vert">
      <w:rPr>
        <w:color w:val="404040"/>
        <w:sz w:val="22"/>
      </w:rPr>
      <w:pPr>
        <w:pBdr/>
        <w:spacing/>
        <w:ind/>
      </w:pPr>
      <w:tblPr>
        <w:tblBorders/>
      </w:tblPr>
      <w:tcPr>
        <w:shd w:val="clear" w:color="ddeaf6" w:fill="ddeaf6"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34" w:customStyle="1">
    <w:name w:val="Grid Table 3 - Accent 6"/>
    <w:basedOn w:val="892"/>
    <w:uiPriority w:val="99"/>
    <w:pPr>
      <w:pBdr/>
      <w:spacing/>
      <w:ind/>
    </w:pPr>
    <w:tblPr>
      <w:tblStyleRowBandSize w:val="1"/>
      <w:tblStyleColBandSize w:val="1"/>
      <w:tblInd w:w="0" w:type="dxa"/>
      <w:tblBorders>
        <w:bottom w:val="single" w:color="70ad47" w:themeColor="accent6" w:sz="4" w:space="0"/>
        <w:insideH w:val="single" w:color="70ad47" w:themeColor="accent6" w:sz="4" w:space="0"/>
        <w:insideV w:val="single" w:color="70ad47" w:themeColor="accent6" w:sz="4" w:space="0"/>
      </w:tblBorders>
      <w:tblCellMar>
        <w:left w:w="108" w:type="dxa"/>
        <w:top w:w="0" w:type="dxa"/>
        <w:right w:w="108" w:type="dxa"/>
        <w:bottom w:w="0" w:type="dxa"/>
      </w:tblCellMar>
    </w:tblPr>
    <w:tcPr>
      <w:tcBorders/>
    </w:tcPr>
    <w:tblStylePr w:type="band1Horz">
      <w:rPr>
        <w:color w:val="404040"/>
        <w:sz w:val="22"/>
      </w:rPr>
      <w:pPr>
        <w:pBdr/>
        <w:spacing/>
        <w:ind/>
      </w:pPr>
      <w:tblPr>
        <w:tblBorders/>
      </w:tblPr>
      <w:tcPr>
        <w:shd w:val="clear" w:color="e1efd8" w:fill="e1efd8" w:themeFill="accent6" w:themeFillTint="34"/>
        <w:tcBorders/>
      </w:tcPr>
    </w:tblStylePr>
    <w:tblStylePr w:type="band1Vert">
      <w:rPr>
        <w:color w:val="404040"/>
        <w:sz w:val="22"/>
      </w:rPr>
      <w:pPr>
        <w:pBdr/>
        <w:spacing/>
        <w:ind/>
      </w:pPr>
      <w:tblPr>
        <w:tblBorders/>
      </w:tblPr>
      <w:tcPr>
        <w:shd w:val="clear" w:color="e1efd8" w:fill="e1ef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35" w:customStyle="1">
    <w:name w:val="Grid Table 4"/>
    <w:basedOn w:val="892"/>
    <w:uiPriority w:val="59"/>
    <w:pPr>
      <w:pBdr/>
      <w:spacing/>
      <w:ind/>
    </w:pPr>
    <w:tblPr>
      <w:tblStyleRowBandSize w:val="1"/>
      <w:tblStyleColBandSize w:val="1"/>
      <w:tblInd w:w="0" w:type="dxa"/>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CellMar>
        <w:left w:w="108" w:type="dxa"/>
        <w:top w:w="0" w:type="dxa"/>
        <w:right w:w="108" w:type="dxa"/>
        <w:bottom w:w="0" w:type="dxa"/>
      </w:tblCellMar>
    </w:tblPr>
    <w:tcPr>
      <w:tcBorders/>
    </w:tcPr>
    <w:tblStylePr w:type="band1Horz">
      <w:rPr>
        <w:color w:val="404040"/>
        <w:sz w:val="22"/>
      </w:rPr>
      <w:pPr>
        <w:pBdr/>
        <w:spacing/>
        <w:ind/>
      </w:pPr>
      <w:tblPr>
        <w:tblBorders/>
      </w:tblPr>
      <w:tcPr>
        <w:shd w:val="clear" w:color="cbcbcb" w:fill="cbcbcb" w:themeFill="text1" w:themeFillTint="34"/>
        <w:tcBorders/>
      </w:tcPr>
    </w:tblStylePr>
    <w:tblStylePr w:type="band1Vert">
      <w:rPr>
        <w:color w:val="404040"/>
        <w:sz w:val="22"/>
      </w:rPr>
      <w:pPr>
        <w:pBdr/>
        <w:spacing/>
        <w:ind/>
      </w:pPr>
      <w:tblPr>
        <w:tblBorders/>
      </w:tblPr>
      <w:tcPr>
        <w:shd w:val="clear" w:color="cbcbcb"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ffffff"/>
        <w:sz w:val="22"/>
      </w:rPr>
      <w:pPr>
        <w:pBdr/>
        <w:spacing/>
        <w:ind/>
      </w:pPr>
      <w:tblPr>
        <w:tblBorders/>
      </w:tblPr>
      <w:tcPr>
        <w:shd w:val="clear" w:color="000000"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36" w:customStyle="1">
    <w:name w:val="Grid Table 4 - Accent 1"/>
    <w:basedOn w:val="892"/>
    <w:uiPriority w:val="59"/>
    <w:pPr>
      <w:pBdr/>
      <w:spacing/>
      <w:ind/>
    </w:pPr>
    <w:tblPr>
      <w:tblStyleRowBandSize w:val="1"/>
      <w:tblStyleColBandSize w:val="1"/>
      <w:tblInd w:w="0" w:type="dxa"/>
      <w:tblBorders>
        <w:top w:val="single" w:color="95afdd" w:themeColor="accent1" w:themeTint="90" w:sz="4" w:space="0"/>
        <w:left w:val="single" w:color="95afdd" w:themeColor="accent1" w:themeTint="90" w:sz="4" w:space="0"/>
        <w:bottom w:val="single" w:color="95afdd" w:themeColor="accent1" w:themeTint="90" w:sz="4" w:space="0"/>
        <w:right w:val="single" w:color="95afdd" w:themeColor="accent1" w:themeTint="90" w:sz="4" w:space="0"/>
        <w:insideH w:val="single" w:color="95afdd" w:themeColor="accent1" w:themeTint="90" w:sz="4" w:space="0"/>
        <w:insideV w:val="single" w:color="95afdd" w:themeColor="accent1" w:themeTint="90" w:sz="4" w:space="0"/>
      </w:tblBorders>
      <w:tblCellMar>
        <w:left w:w="108" w:type="dxa"/>
        <w:top w:w="0" w:type="dxa"/>
        <w:right w:w="108" w:type="dxa"/>
        <w:bottom w:w="0" w:type="dxa"/>
      </w:tblCellMar>
    </w:tblPr>
    <w:tcPr>
      <w:tcBorders/>
    </w:tcPr>
    <w:tblStylePr w:type="band1Horz">
      <w:rPr>
        <w:color w:val="404040"/>
        <w:sz w:val="22"/>
      </w:rPr>
      <w:pPr>
        <w:pBdr/>
        <w:spacing/>
        <w:ind/>
      </w:pPr>
      <w:tblPr>
        <w:tblBorders/>
      </w:tblPr>
      <w:tcPr>
        <w:shd w:val="clear" w:color="dae3f3" w:fill="dae3f3" w:themeFill="accent1" w:themeFillTint="32"/>
        <w:tcBorders/>
      </w:tcPr>
    </w:tblStylePr>
    <w:tblStylePr w:type="band1Vert">
      <w:rPr>
        <w:color w:val="404040"/>
        <w:sz w:val="22"/>
      </w:rPr>
      <w:pPr>
        <w:pBdr/>
        <w:spacing/>
        <w:ind/>
      </w:pPr>
      <w:tblPr>
        <w:tblBorders/>
      </w:tblPr>
      <w:tcPr>
        <w:shd w:val="clear" w:color="dae3f3" w:fill="dae3f3"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ffffff"/>
        <w:sz w:val="22"/>
      </w:rPr>
      <w:pPr>
        <w:pBdr/>
        <w:spacing/>
        <w:ind/>
      </w:pPr>
      <w:tblPr>
        <w:tblBorders/>
      </w:tblPr>
      <w:tcPr>
        <w:shd w:val="clear" w:color="537dc8" w:fill="537dc8" w:themeFill="accent1" w:themeFillTint="EA"/>
        <w:tcBorders>
          <w:top w:val="single" w:color="4472c4" w:themeColor="accent1" w:sz="4" w:space="0"/>
          <w:left w:val="single" w:color="4472c4" w:themeColor="accent1" w:sz="4" w:space="0"/>
          <w:bottom w:val="single" w:color="4472c4" w:themeColor="accent1" w:sz="4" w:space="0"/>
          <w:right w:val="single" w:color="4472c4" w:themeColor="accen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4472c4"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37" w:customStyle="1">
    <w:name w:val="Grid Table 4 - Accent 2"/>
    <w:basedOn w:val="892"/>
    <w:uiPriority w:val="59"/>
    <w:pPr>
      <w:pBdr/>
      <w:spacing/>
      <w:ind/>
    </w:pPr>
    <w:tblPr>
      <w:tblStyleRowBandSize w:val="1"/>
      <w:tblStyleColBandSize w:val="1"/>
      <w:tblInd w:w="0" w:type="dxa"/>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insideV w:val="single" w:color="f4b58a" w:themeColor="accent2" w:themeTint="90" w:sz="4" w:space="0"/>
      </w:tblBorders>
      <w:tblCellMar>
        <w:left w:w="108" w:type="dxa"/>
        <w:top w:w="0" w:type="dxa"/>
        <w:right w:w="108" w:type="dxa"/>
        <w:bottom w:w="0" w:type="dxa"/>
      </w:tblCellMar>
    </w:tblPr>
    <w:tcPr>
      <w:tcBorders/>
    </w:tcPr>
    <w:tblStylePr w:type="band1Horz">
      <w:rPr>
        <w:color w:val="404040"/>
        <w:sz w:val="22"/>
      </w:rPr>
      <w:pPr>
        <w:pBdr/>
        <w:spacing/>
        <w:ind/>
      </w:pPr>
      <w:tblPr>
        <w:tblBorders/>
      </w:tblPr>
      <w:tcPr>
        <w:shd w:val="clear" w:color="fbe5d6" w:fill="fbe5d6" w:themeFill="accent2" w:themeFillTint="32"/>
        <w:tcBorders/>
      </w:tcPr>
    </w:tblStylePr>
    <w:tblStylePr w:type="band1Vert">
      <w:rPr>
        <w:color w:val="404040"/>
        <w:sz w:val="22"/>
      </w:rPr>
      <w:pPr>
        <w:pBdr/>
        <w:spacing/>
        <w:ind/>
      </w:pPr>
      <w:tblPr>
        <w:tblBorders/>
      </w:tblPr>
      <w:tcPr>
        <w:shd w:val="clear" w:color="fbe5d6" w:fill="fbe5d6"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ffffff"/>
        <w:sz w:val="22"/>
      </w:rPr>
      <w:pPr>
        <w:pBdr/>
        <w:spacing/>
        <w:ind/>
      </w:pPr>
      <w:tblPr>
        <w:tblBorders/>
      </w:tblPr>
      <w:tcPr>
        <w:shd w:val="clear" w:color="f4b184" w:fill="f4b184" w:themeFill="accent2" w:themeFillTint="97"/>
        <w:tcBorders>
          <w:top w:val="single" w:color="ed7d31" w:themeColor="accent2" w:sz="4" w:space="0"/>
          <w:left w:val="single" w:color="ed7d31" w:themeColor="accent2" w:sz="4" w:space="0"/>
          <w:bottom w:val="single" w:color="ed7d31" w:themeColor="accent2" w:sz="4" w:space="0"/>
          <w:right w:val="single" w:color="ed7d31" w:themeColor="accent2"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ed7d31" w:themeColor="accent2"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38" w:customStyle="1">
    <w:name w:val="Grid Table 4 - Accent 3"/>
    <w:basedOn w:val="892"/>
    <w:uiPriority w:val="59"/>
    <w:pPr>
      <w:pBdr/>
      <w:spacing/>
      <w:ind/>
    </w:pPr>
    <w:tblPr>
      <w:tblStyleRowBandSize w:val="1"/>
      <w:tblStyleColBandSize w:val="1"/>
      <w:tblInd w:w="0" w:type="dxa"/>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insideV w:val="single" w:color="cccccc" w:themeColor="accent3" w:themeTint="90" w:sz="4" w:space="0"/>
      </w:tblBorders>
      <w:tblCellMar>
        <w:left w:w="108" w:type="dxa"/>
        <w:top w:w="0" w:type="dxa"/>
        <w:right w:w="108" w:type="dxa"/>
        <w:bottom w:w="0" w:type="dxa"/>
      </w:tblCellMar>
    </w:tblPr>
    <w:tcPr>
      <w:tcBorders/>
    </w:tcPr>
    <w:tblStylePr w:type="band1Horz">
      <w:rPr>
        <w:color w:val="404040"/>
        <w:sz w:val="22"/>
      </w:rPr>
      <w:pPr>
        <w:pBdr/>
        <w:spacing/>
        <w:ind/>
      </w:pPr>
      <w:tblPr>
        <w:tblBorders/>
      </w:tblPr>
      <w:tcPr>
        <w:shd w:val="clear" w:color="ececec" w:fill="ececec" w:themeFill="accent3" w:themeFillTint="34"/>
        <w:tcBorders/>
      </w:tcPr>
    </w:tblStylePr>
    <w:tblStylePr w:type="band1Vert">
      <w:rPr>
        <w:color w:val="404040"/>
        <w:sz w:val="22"/>
      </w:rPr>
      <w:pPr>
        <w:pBdr/>
        <w:spacing/>
        <w:ind/>
      </w:pPr>
      <w:tblPr>
        <w:tblBorders/>
      </w:tblPr>
      <w:tcPr>
        <w:shd w:val="clear" w:color="ececec" w:fill="ececec"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ffffff"/>
        <w:sz w:val="22"/>
      </w:rPr>
      <w:pPr>
        <w:pBdr/>
        <w:spacing/>
        <w:ind/>
      </w:pPr>
      <w:tblPr>
        <w:tblBorders/>
      </w:tblPr>
      <w:tcPr>
        <w:shd w:val="clear" w:color="a5a5a5" w:fill="a5a5a5" w:themeFill="accent3" w:themeFillTint="FE"/>
        <w:tcBorders>
          <w:top w:val="single" w:color="a5a5a5" w:themeColor="accent3" w:sz="4" w:space="0"/>
          <w:left w:val="single" w:color="a5a5a5" w:themeColor="accent3" w:sz="4" w:space="0"/>
          <w:bottom w:val="single" w:color="a5a5a5" w:themeColor="accent3" w:sz="4" w:space="0"/>
          <w:right w:val="single" w:color="a5a5a5" w:themeColor="accent3"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a5a5a5" w:themeColor="accent3"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39" w:customStyle="1">
    <w:name w:val="Grid Table 4 - Accent 4"/>
    <w:basedOn w:val="892"/>
    <w:uiPriority w:val="59"/>
    <w:pPr>
      <w:pBdr/>
      <w:spacing/>
      <w:ind/>
    </w:pPr>
    <w:tblPr>
      <w:tblStyleRowBandSize w:val="1"/>
      <w:tblStyleColBandSize w:val="1"/>
      <w:tblInd w:w="0" w:type="dxa"/>
      <w:tblBorders>
        <w:top w:val="single" w:color="ffdb6f" w:themeColor="accent4" w:themeTint="90" w:sz="4" w:space="0"/>
        <w:left w:val="single" w:color="ffdb6f" w:themeColor="accent4" w:themeTint="90" w:sz="4" w:space="0"/>
        <w:bottom w:val="single" w:color="ffdb6f" w:themeColor="accent4" w:themeTint="90" w:sz="4" w:space="0"/>
        <w:right w:val="single" w:color="ffdb6f" w:themeColor="accent4" w:themeTint="90" w:sz="4" w:space="0"/>
        <w:insideH w:val="single" w:color="ffdb6f" w:themeColor="accent4" w:themeTint="90" w:sz="4" w:space="0"/>
        <w:insideV w:val="single" w:color="ffdb6f" w:themeColor="accent4" w:themeTint="90" w:sz="4" w:space="0"/>
      </w:tblBorders>
      <w:tblCellMar>
        <w:left w:w="108" w:type="dxa"/>
        <w:top w:w="0" w:type="dxa"/>
        <w:right w:w="108" w:type="dxa"/>
        <w:bottom w:w="0" w:type="dxa"/>
      </w:tblCellMar>
    </w:tblPr>
    <w:tcPr>
      <w:tcBorders/>
    </w:tcPr>
    <w:tblStylePr w:type="band1Horz">
      <w:rPr>
        <w:color w:val="404040"/>
        <w:sz w:val="22"/>
      </w:rPr>
      <w:pPr>
        <w:pBdr/>
        <w:spacing/>
        <w:ind/>
      </w:pPr>
      <w:tblPr>
        <w:tblBorders/>
      </w:tblPr>
      <w:tcPr>
        <w:shd w:val="clear" w:color="fff2cb" w:fill="fff2cb" w:themeFill="accent4" w:themeFillTint="34"/>
        <w:tcBorders/>
      </w:tcPr>
    </w:tblStylePr>
    <w:tblStylePr w:type="band1Vert">
      <w:rPr>
        <w:color w:val="404040"/>
        <w:sz w:val="22"/>
      </w:rPr>
      <w:pPr>
        <w:pBdr/>
        <w:spacing/>
        <w:ind/>
      </w:pPr>
      <w:tblPr>
        <w:tblBorders/>
      </w:tblPr>
      <w:tcPr>
        <w:shd w:val="clear" w:color="fff2cb"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ffffff"/>
        <w:sz w:val="22"/>
      </w:rPr>
      <w:pPr>
        <w:pBdr/>
        <w:spacing/>
        <w:ind/>
      </w:pPr>
      <w:tblPr>
        <w:tblBorders/>
      </w:tblPr>
      <w:tcPr>
        <w:shd w:val="clear" w:color="ffd865" w:fill="ffd865" w:themeFill="accent4" w:themeFillTint="9A"/>
        <w:tcBorders>
          <w:top w:val="single" w:color="ffc000" w:themeColor="accent4" w:sz="4" w:space="0"/>
          <w:left w:val="single" w:color="ffc000" w:themeColor="accent4" w:sz="4" w:space="0"/>
          <w:bottom w:val="single" w:color="ffc000" w:themeColor="accent4" w:sz="4" w:space="0"/>
          <w:right w:val="single" w:color="ffc000" w:themeColor="accent4"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ffc000" w:themeColor="accent4"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40" w:customStyle="1">
    <w:name w:val="Grid Table 4 - Accent 5"/>
    <w:basedOn w:val="892"/>
    <w:uiPriority w:val="59"/>
    <w:pPr>
      <w:pBdr/>
      <w:spacing/>
      <w:ind/>
    </w:pPr>
    <w:tblPr>
      <w:tblStyleRowBandSize w:val="1"/>
      <w:tblStyleColBandSize w:val="1"/>
      <w:tblInd w:w="0" w:type="dxa"/>
      <w:tblBorders>
        <w:top w:val="single" w:color="a2c6e7" w:themeColor="accent5" w:themeTint="90" w:sz="4" w:space="0"/>
        <w:left w:val="single" w:color="a2c6e7" w:themeColor="accent5" w:themeTint="90" w:sz="4" w:space="0"/>
        <w:bottom w:val="single" w:color="a2c6e7" w:themeColor="accent5" w:themeTint="90" w:sz="4" w:space="0"/>
        <w:right w:val="single" w:color="a2c6e7" w:themeColor="accent5" w:themeTint="90" w:sz="4" w:space="0"/>
        <w:insideH w:val="single" w:color="a2c6e7" w:themeColor="accent5" w:themeTint="90" w:sz="4" w:space="0"/>
        <w:insideV w:val="single" w:color="a2c6e7" w:themeColor="accent5" w:themeTint="90" w:sz="4" w:space="0"/>
      </w:tblBorders>
      <w:tblCellMar>
        <w:left w:w="108" w:type="dxa"/>
        <w:top w:w="0" w:type="dxa"/>
        <w:right w:w="108" w:type="dxa"/>
        <w:bottom w:w="0" w:type="dxa"/>
      </w:tblCellMar>
    </w:tblPr>
    <w:tcPr>
      <w:tcBorders/>
    </w:tcPr>
    <w:tblStylePr w:type="band1Horz">
      <w:rPr>
        <w:color w:val="404040"/>
        <w:sz w:val="22"/>
      </w:rPr>
      <w:pPr>
        <w:pBdr/>
        <w:spacing/>
        <w:ind/>
      </w:pPr>
      <w:tblPr>
        <w:tblBorders/>
      </w:tblPr>
      <w:tcPr>
        <w:shd w:val="clear" w:color="ddeaf6" w:fill="ddeaf6" w:themeFill="accent5" w:themeFillTint="34"/>
        <w:tcBorders/>
      </w:tcPr>
    </w:tblStylePr>
    <w:tblStylePr w:type="band1Vert">
      <w:rPr>
        <w:color w:val="404040"/>
        <w:sz w:val="22"/>
      </w:rPr>
      <w:pPr>
        <w:pBdr/>
        <w:spacing/>
        <w:ind/>
      </w:pPr>
      <w:tblPr>
        <w:tblBorders/>
      </w:tblPr>
      <w:tcPr>
        <w:shd w:val="clear" w:color="ddeaf6" w:fill="ddeaf6"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ffffff"/>
        <w:sz w:val="22"/>
      </w:rPr>
      <w:pPr>
        <w:pBdr/>
        <w:spacing/>
        <w:ind/>
      </w:pPr>
      <w:tblPr>
        <w:tblBorders/>
      </w:tblPr>
      <w:tcPr>
        <w:shd w:val="clear" w:color="5b9bd5" w:fill="5b9bd5" w:themeFill="accent5"/>
        <w:tcBorders>
          <w:top w:val="single" w:color="5b9bd5" w:themeColor="accent5" w:sz="4" w:space="0"/>
          <w:left w:val="single" w:color="5b9bd5" w:themeColor="accent5" w:sz="4" w:space="0"/>
          <w:bottom w:val="single" w:color="5b9bd5" w:themeColor="accent5" w:sz="4" w:space="0"/>
          <w:right w:val="single" w:color="5b9bd5"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5b9bd5"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41" w:customStyle="1">
    <w:name w:val="Grid Table 4 - Accent 6"/>
    <w:basedOn w:val="892"/>
    <w:uiPriority w:val="59"/>
    <w:pPr>
      <w:pBdr/>
      <w:spacing/>
      <w:ind/>
    </w:pPr>
    <w:tblPr>
      <w:tblStyleRowBandSize w:val="1"/>
      <w:tblStyleColBandSize w:val="1"/>
      <w:tblInd w:w="0" w:type="dxa"/>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CellMar>
        <w:left w:w="108" w:type="dxa"/>
        <w:top w:w="0" w:type="dxa"/>
        <w:right w:w="108" w:type="dxa"/>
        <w:bottom w:w="0" w:type="dxa"/>
      </w:tblCellMar>
    </w:tblPr>
    <w:tcPr>
      <w:tcBorders/>
    </w:tcPr>
    <w:tblStylePr w:type="band1Horz">
      <w:rPr>
        <w:color w:val="404040"/>
        <w:sz w:val="22"/>
      </w:rPr>
      <w:pPr>
        <w:pBdr/>
        <w:spacing/>
        <w:ind/>
      </w:pPr>
      <w:tblPr>
        <w:tblBorders/>
      </w:tblPr>
      <w:tcPr>
        <w:shd w:val="clear" w:color="e1efd8" w:fill="e1efd8" w:themeFill="accent6" w:themeFillTint="34"/>
        <w:tcBorders/>
      </w:tcPr>
    </w:tblStylePr>
    <w:tblStylePr w:type="band1Vert">
      <w:rPr>
        <w:color w:val="404040"/>
        <w:sz w:val="22"/>
      </w:rPr>
      <w:pPr>
        <w:pBdr/>
        <w:spacing/>
        <w:ind/>
      </w:pPr>
      <w:tblPr>
        <w:tblBorders/>
      </w:tblPr>
      <w:tcPr>
        <w:shd w:val="clear" w:color="e1efd8" w:fill="e1ef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ffffff"/>
        <w:sz w:val="22"/>
      </w:rPr>
      <w:pPr>
        <w:pBdr/>
        <w:spacing/>
        <w:ind/>
      </w:pPr>
      <w:tblPr>
        <w:tblBorders/>
      </w:tblPr>
      <w:tcPr>
        <w:shd w:val="clear" w:color="70ad47" w:fill="70ad47" w:themeFill="accent6"/>
        <w:tcBorders>
          <w:top w:val="single" w:color="70ad47" w:themeColor="accent6" w:sz="4" w:space="0"/>
          <w:left w:val="single" w:color="70ad47" w:themeColor="accent6" w:sz="4" w:space="0"/>
          <w:bottom w:val="single" w:color="70ad47" w:themeColor="accent6" w:sz="4" w:space="0"/>
          <w:right w:val="single" w:color="70ad47"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70ad47"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42" w:customStyle="1">
    <w:name w:val="Grid Table 5 Dark"/>
    <w:basedOn w:val="892"/>
    <w:uiPriority w:val="99"/>
    <w:pPr>
      <w:pBdr/>
      <w:spacing/>
      <w:ind/>
    </w:pPr>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left w:w="108" w:type="dxa"/>
        <w:top w:w="0" w:type="dxa"/>
        <w:right w:w="108" w:type="dxa"/>
        <w:bottom w:w="0" w:type="dxa"/>
      </w:tblCellMar>
    </w:tblPr>
    <w:tcPr>
      <w:tcBorders/>
    </w:tcPr>
    <w:tblStylePr w:type="band1Horz">
      <w:pPr>
        <w:pBdr/>
        <w:spacing/>
        <w:ind/>
      </w:pPr>
      <w:tblPr>
        <w:tblBorders/>
      </w:tblPr>
      <w:tcPr>
        <w:shd w:val="clear" w:color="8a8a8a" w:fill="8a8a8a" w:themeFill="text1" w:themeFillTint="75"/>
        <w:tcBorders/>
      </w:tcPr>
    </w:tblStylePr>
    <w:tblStylePr w:type="band1Vert">
      <w:pPr>
        <w:pBdr/>
        <w:spacing/>
        <w:ind/>
      </w:pPr>
      <w:tblPr>
        <w:tblBorders/>
      </w:tblPr>
      <w:tcPr>
        <w:shd w:val="clear" w:color="8a8a8a"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ffffff"/>
        <w:sz w:val="22"/>
      </w:rPr>
      <w:pPr>
        <w:pBdr/>
        <w:spacing/>
        <w:ind/>
      </w:pPr>
      <w:tblPr>
        <w:tblBorders/>
      </w:tblPr>
      <w:tcPr>
        <w:shd w:val="clear" w:color="000000" w:fill="000000" w:themeFill="text1"/>
        <w:tcBorders/>
      </w:tcPr>
    </w:tblStylePr>
    <w:tblStylePr w:type="firstRow">
      <w:rPr>
        <w:b/>
        <w:color w:val="ffffff"/>
        <w:sz w:val="22"/>
      </w:rPr>
      <w:pPr>
        <w:pBdr/>
        <w:spacing/>
        <w:ind/>
      </w:pPr>
      <w:tblPr>
        <w:tblBorders/>
      </w:tblPr>
      <w:tcPr>
        <w:shd w:val="clear" w:color="000000" w:fill="000000" w:themeFill="text1"/>
        <w:tcBorders/>
      </w:tcPr>
    </w:tblStylePr>
    <w:tblStylePr w:type="lastCol">
      <w:rPr>
        <w:b/>
        <w:color w:val="ffffff"/>
        <w:sz w:val="22"/>
      </w:rPr>
      <w:pPr>
        <w:pBdr/>
        <w:spacing/>
        <w:ind/>
      </w:pPr>
      <w:tblPr>
        <w:tblBorders/>
      </w:tblPr>
      <w:tcPr>
        <w:shd w:val="clear" w:color="000000" w:fill="000000" w:themeFill="text1"/>
        <w:tcBorders/>
      </w:tcPr>
    </w:tblStylePr>
    <w:tblStylePr w:type="lastRow">
      <w:rPr>
        <w:b/>
        <w:color w:val="ffffff"/>
        <w:sz w:val="22"/>
      </w:rPr>
      <w:pPr>
        <w:pBdr/>
        <w:spacing/>
        <w:ind/>
      </w:pPr>
      <w:tblPr>
        <w:tblBorders/>
      </w:tblPr>
      <w:tcPr>
        <w:shd w:val="clear" w:color="000000" w:fill="000000" w:themeFill="text1"/>
        <w:tcBorders>
          <w:top w:val="single" w:color="ffffff"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43" w:customStyle="1">
    <w:name w:val="Grid Table 5 Dark- Accent 1"/>
    <w:basedOn w:val="892"/>
    <w:uiPriority w:val="99"/>
    <w:pPr>
      <w:pBdr/>
      <w:spacing/>
      <w:ind/>
    </w:pPr>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left w:w="108" w:type="dxa"/>
        <w:top w:w="0" w:type="dxa"/>
        <w:right w:w="108" w:type="dxa"/>
        <w:bottom w:w="0" w:type="dxa"/>
      </w:tblCellMar>
    </w:tblPr>
    <w:tcPr>
      <w:tcBorders/>
    </w:tcPr>
    <w:tblStylePr w:type="band1Horz">
      <w:pPr>
        <w:pBdr/>
        <w:spacing/>
        <w:ind/>
      </w:pPr>
      <w:tblPr>
        <w:tblBorders/>
      </w:tblPr>
      <w:tcPr>
        <w:shd w:val="clear" w:color="a9bee4" w:fill="a9bee4" w:themeFill="accent1" w:themeFillTint="75"/>
        <w:tcBorders/>
      </w:tcPr>
    </w:tblStylePr>
    <w:tblStylePr w:type="band1Vert">
      <w:pPr>
        <w:pBdr/>
        <w:spacing/>
        <w:ind/>
      </w:pPr>
      <w:tblPr>
        <w:tblBorders/>
      </w:tblPr>
      <w:tcPr>
        <w:shd w:val="clear" w:color="a9bee4" w:fill="a9bee4"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ffffff"/>
        <w:sz w:val="22"/>
      </w:rPr>
      <w:pPr>
        <w:pBdr/>
        <w:spacing/>
        <w:ind/>
      </w:pPr>
      <w:tblPr>
        <w:tblBorders/>
      </w:tblPr>
      <w:tcPr>
        <w:shd w:val="clear" w:color="4472c4" w:fill="4472c4" w:themeFill="accent1"/>
        <w:tcBorders/>
      </w:tcPr>
    </w:tblStylePr>
    <w:tblStylePr w:type="firstRow">
      <w:rPr>
        <w:b/>
        <w:color w:val="ffffff"/>
        <w:sz w:val="22"/>
      </w:rPr>
      <w:pPr>
        <w:pBdr/>
        <w:spacing/>
        <w:ind/>
      </w:pPr>
      <w:tblPr>
        <w:tblBorders/>
      </w:tblPr>
      <w:tcPr>
        <w:shd w:val="clear" w:color="4472c4" w:fill="4472c4" w:themeFill="accent1"/>
        <w:tcBorders/>
      </w:tcPr>
    </w:tblStylePr>
    <w:tblStylePr w:type="lastCol">
      <w:rPr>
        <w:b/>
        <w:color w:val="ffffff"/>
        <w:sz w:val="22"/>
      </w:rPr>
      <w:pPr>
        <w:pBdr/>
        <w:spacing/>
        <w:ind/>
      </w:pPr>
      <w:tblPr>
        <w:tblBorders/>
      </w:tblPr>
      <w:tcPr>
        <w:shd w:val="clear" w:color="4472c4" w:fill="4472c4" w:themeFill="accent1"/>
        <w:tcBorders/>
      </w:tcPr>
    </w:tblStylePr>
    <w:tblStylePr w:type="lastRow">
      <w:rPr>
        <w:b/>
        <w:color w:val="ffffff"/>
        <w:sz w:val="22"/>
      </w:rPr>
      <w:pPr>
        <w:pBdr/>
        <w:spacing/>
        <w:ind/>
      </w:pPr>
      <w:tblPr>
        <w:tblBorders/>
      </w:tblPr>
      <w:tcPr>
        <w:shd w:val="clear" w:color="4472c4" w:fill="4472c4" w:themeFill="accent1"/>
        <w:tcBorders>
          <w:top w:val="single" w:color="ffffff"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44" w:customStyle="1">
    <w:name w:val="Grid Table 5 Dark - Accent 2"/>
    <w:basedOn w:val="892"/>
    <w:uiPriority w:val="99"/>
    <w:pPr>
      <w:pBdr/>
      <w:spacing/>
      <w:ind/>
    </w:pPr>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left w:w="108" w:type="dxa"/>
        <w:top w:w="0" w:type="dxa"/>
        <w:right w:w="108" w:type="dxa"/>
        <w:bottom w:w="0" w:type="dxa"/>
      </w:tblCellMar>
    </w:tblPr>
    <w:tcPr>
      <w:tcBorders/>
    </w:tcPr>
    <w:tblStylePr w:type="band1Horz">
      <w:pPr>
        <w:pBdr/>
        <w:spacing/>
        <w:ind/>
      </w:pPr>
      <w:tblPr>
        <w:tblBorders/>
      </w:tblPr>
      <w:tcPr>
        <w:shd w:val="clear" w:color="f6c3a0" w:fill="f6c3a0" w:themeFill="accent2" w:themeFillTint="75"/>
        <w:tcBorders/>
      </w:tcPr>
    </w:tblStylePr>
    <w:tblStylePr w:type="band1Vert">
      <w:pPr>
        <w:pBdr/>
        <w:spacing/>
        <w:ind/>
      </w:pPr>
      <w:tblPr>
        <w:tblBorders/>
      </w:tblPr>
      <w:tcPr>
        <w:shd w:val="clear" w:color="f6c3a0" w:fill="f6c3a0"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ffffff"/>
        <w:sz w:val="22"/>
      </w:rPr>
      <w:pPr>
        <w:pBdr/>
        <w:spacing/>
        <w:ind/>
      </w:pPr>
      <w:tblPr>
        <w:tblBorders/>
      </w:tblPr>
      <w:tcPr>
        <w:shd w:val="clear" w:color="ed7d31" w:fill="ed7d31" w:themeFill="accent2"/>
        <w:tcBorders/>
      </w:tcPr>
    </w:tblStylePr>
    <w:tblStylePr w:type="firstRow">
      <w:rPr>
        <w:b/>
        <w:color w:val="ffffff"/>
        <w:sz w:val="22"/>
      </w:rPr>
      <w:pPr>
        <w:pBdr/>
        <w:spacing/>
        <w:ind/>
      </w:pPr>
      <w:tblPr>
        <w:tblBorders/>
      </w:tblPr>
      <w:tcPr>
        <w:shd w:val="clear" w:color="ed7d31" w:fill="ed7d31" w:themeFill="accent2"/>
        <w:tcBorders/>
      </w:tcPr>
    </w:tblStylePr>
    <w:tblStylePr w:type="lastCol">
      <w:rPr>
        <w:b/>
        <w:color w:val="ffffff"/>
        <w:sz w:val="22"/>
      </w:rPr>
      <w:pPr>
        <w:pBdr/>
        <w:spacing/>
        <w:ind/>
      </w:pPr>
      <w:tblPr>
        <w:tblBorders/>
      </w:tblPr>
      <w:tcPr>
        <w:shd w:val="clear" w:color="ed7d31" w:fill="ed7d31" w:themeFill="accent2"/>
        <w:tcBorders/>
      </w:tcPr>
    </w:tblStylePr>
    <w:tblStylePr w:type="lastRow">
      <w:rPr>
        <w:b/>
        <w:color w:val="ffffff"/>
        <w:sz w:val="22"/>
      </w:rPr>
      <w:pPr>
        <w:pBdr/>
        <w:spacing/>
        <w:ind/>
      </w:pPr>
      <w:tblPr>
        <w:tblBorders/>
      </w:tblPr>
      <w:tcPr>
        <w:shd w:val="clear" w:color="ed7d31" w:fill="ed7d31" w:themeFill="accent2"/>
        <w:tcBorders>
          <w:top w:val="single" w:color="ffffff"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45" w:customStyle="1">
    <w:name w:val="Grid Table 5 Dark - Accent 3"/>
    <w:basedOn w:val="892"/>
    <w:uiPriority w:val="99"/>
    <w:pPr>
      <w:pBdr/>
      <w:spacing/>
      <w:ind/>
    </w:pPr>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left w:w="108" w:type="dxa"/>
        <w:top w:w="0" w:type="dxa"/>
        <w:right w:w="108" w:type="dxa"/>
        <w:bottom w:w="0" w:type="dxa"/>
      </w:tblCellMar>
    </w:tblPr>
    <w:tcPr>
      <w:tcBorders/>
    </w:tcPr>
    <w:tblStylePr w:type="band1Horz">
      <w:pPr>
        <w:pBdr/>
        <w:spacing/>
        <w:ind/>
      </w:pPr>
      <w:tblPr>
        <w:tblBorders/>
      </w:tblPr>
      <w:tcPr>
        <w:shd w:val="clear" w:color="d5d5d5" w:fill="d5d5d5" w:themeFill="accent3" w:themeFillTint="75"/>
        <w:tcBorders/>
      </w:tcPr>
    </w:tblStylePr>
    <w:tblStylePr w:type="band1Vert">
      <w:pPr>
        <w:pBdr/>
        <w:spacing/>
        <w:ind/>
      </w:pPr>
      <w:tblPr>
        <w:tblBorders/>
      </w:tblPr>
      <w:tcPr>
        <w:shd w:val="clear" w:color="d5d5d5" w:fill="d5d5d5"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ffffff"/>
        <w:sz w:val="22"/>
      </w:rPr>
      <w:pPr>
        <w:pBdr/>
        <w:spacing/>
        <w:ind/>
      </w:pPr>
      <w:tblPr>
        <w:tblBorders/>
      </w:tblPr>
      <w:tcPr>
        <w:shd w:val="clear" w:color="a5a5a5" w:fill="a5a5a5" w:themeFill="accent3"/>
        <w:tcBorders/>
      </w:tcPr>
    </w:tblStylePr>
    <w:tblStylePr w:type="firstRow">
      <w:rPr>
        <w:b/>
        <w:color w:val="ffffff"/>
        <w:sz w:val="22"/>
      </w:rPr>
      <w:pPr>
        <w:pBdr/>
        <w:spacing/>
        <w:ind/>
      </w:pPr>
      <w:tblPr>
        <w:tblBorders/>
      </w:tblPr>
      <w:tcPr>
        <w:shd w:val="clear" w:color="a5a5a5" w:fill="a5a5a5" w:themeFill="accent3"/>
        <w:tcBorders/>
      </w:tcPr>
    </w:tblStylePr>
    <w:tblStylePr w:type="lastCol">
      <w:rPr>
        <w:b/>
        <w:color w:val="ffffff"/>
        <w:sz w:val="22"/>
      </w:rPr>
      <w:pPr>
        <w:pBdr/>
        <w:spacing/>
        <w:ind/>
      </w:pPr>
      <w:tblPr>
        <w:tblBorders/>
      </w:tblPr>
      <w:tcPr>
        <w:shd w:val="clear" w:color="a5a5a5" w:fill="a5a5a5" w:themeFill="accent3"/>
        <w:tcBorders/>
      </w:tcPr>
    </w:tblStylePr>
    <w:tblStylePr w:type="lastRow">
      <w:rPr>
        <w:b/>
        <w:color w:val="ffffff"/>
        <w:sz w:val="22"/>
      </w:rPr>
      <w:pPr>
        <w:pBdr/>
        <w:spacing/>
        <w:ind/>
      </w:pPr>
      <w:tblPr>
        <w:tblBorders/>
      </w:tblPr>
      <w:tcPr>
        <w:shd w:val="clear" w:color="a5a5a5" w:fill="a5a5a5" w:themeFill="accent3"/>
        <w:tcBorders>
          <w:top w:val="single" w:color="ffffff"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46" w:customStyle="1">
    <w:name w:val="Grid Table 5 Dark- Accent 4"/>
    <w:basedOn w:val="892"/>
    <w:uiPriority w:val="99"/>
    <w:pPr>
      <w:pBdr/>
      <w:spacing/>
      <w:ind/>
    </w:pPr>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left w:w="108" w:type="dxa"/>
        <w:top w:w="0" w:type="dxa"/>
        <w:right w:w="108" w:type="dxa"/>
        <w:bottom w:w="0" w:type="dxa"/>
      </w:tblCellMar>
    </w:tblPr>
    <w:tcPr>
      <w:tcBorders/>
    </w:tcPr>
    <w:tblStylePr w:type="band1Horz">
      <w:pPr>
        <w:pBdr/>
        <w:spacing/>
        <w:ind/>
      </w:pPr>
      <w:tblPr>
        <w:tblBorders/>
      </w:tblPr>
      <w:tcPr>
        <w:shd w:val="clear" w:color="ffe28a" w:fill="ffe28a" w:themeFill="accent4" w:themeFillTint="75"/>
        <w:tcBorders/>
      </w:tcPr>
    </w:tblStylePr>
    <w:tblStylePr w:type="band1Vert">
      <w:pPr>
        <w:pBdr/>
        <w:spacing/>
        <w:ind/>
      </w:pPr>
      <w:tblPr>
        <w:tblBorders/>
      </w:tblPr>
      <w:tcPr>
        <w:shd w:val="clear" w:color="ffe28a" w:fill="ffe28a"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ffffff"/>
        <w:sz w:val="22"/>
      </w:rPr>
      <w:pPr>
        <w:pBdr/>
        <w:spacing/>
        <w:ind/>
      </w:pPr>
      <w:tblPr>
        <w:tblBorders/>
      </w:tblPr>
      <w:tcPr>
        <w:shd w:val="clear" w:color="ffc000" w:fill="ffc000" w:themeFill="accent4"/>
        <w:tcBorders/>
      </w:tcPr>
    </w:tblStylePr>
    <w:tblStylePr w:type="firstRow">
      <w:rPr>
        <w:b/>
        <w:color w:val="ffffff"/>
        <w:sz w:val="22"/>
      </w:rPr>
      <w:pPr>
        <w:pBdr/>
        <w:spacing/>
        <w:ind/>
      </w:pPr>
      <w:tblPr>
        <w:tblBorders/>
      </w:tblPr>
      <w:tcPr>
        <w:shd w:val="clear" w:color="ffc000" w:fill="ffc000" w:themeFill="accent4"/>
        <w:tcBorders/>
      </w:tcPr>
    </w:tblStylePr>
    <w:tblStylePr w:type="lastCol">
      <w:rPr>
        <w:b/>
        <w:color w:val="ffffff"/>
        <w:sz w:val="22"/>
      </w:rPr>
      <w:pPr>
        <w:pBdr/>
        <w:spacing/>
        <w:ind/>
      </w:pPr>
      <w:tblPr>
        <w:tblBorders/>
      </w:tblPr>
      <w:tcPr>
        <w:shd w:val="clear" w:color="ffc000" w:fill="ffc000" w:themeFill="accent4"/>
        <w:tcBorders/>
      </w:tcPr>
    </w:tblStylePr>
    <w:tblStylePr w:type="lastRow">
      <w:rPr>
        <w:b/>
        <w:color w:val="ffffff"/>
        <w:sz w:val="22"/>
      </w:rPr>
      <w:pPr>
        <w:pBdr/>
        <w:spacing/>
        <w:ind/>
      </w:pPr>
      <w:tblPr>
        <w:tblBorders/>
      </w:tblPr>
      <w:tcPr>
        <w:shd w:val="clear" w:color="ffc000" w:fill="ffc000" w:themeFill="accent4"/>
        <w:tcBorders>
          <w:top w:val="single" w:color="ffffff"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47" w:customStyle="1">
    <w:name w:val="Grid Table 5 Dark - Accent 5"/>
    <w:basedOn w:val="892"/>
    <w:uiPriority w:val="99"/>
    <w:pPr>
      <w:pBdr/>
      <w:spacing/>
      <w:ind/>
    </w:pPr>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left w:w="108" w:type="dxa"/>
        <w:top w:w="0" w:type="dxa"/>
        <w:right w:w="108" w:type="dxa"/>
        <w:bottom w:w="0" w:type="dxa"/>
      </w:tblCellMar>
    </w:tblPr>
    <w:tcPr>
      <w:tcBorders/>
    </w:tcPr>
    <w:tblStylePr w:type="band1Horz">
      <w:pPr>
        <w:pBdr/>
        <w:spacing/>
        <w:ind/>
      </w:pPr>
      <w:tblPr>
        <w:tblBorders/>
      </w:tblPr>
      <w:tcPr>
        <w:shd w:val="clear" w:color="b3d0eb" w:fill="b3d0eb" w:themeFill="accent5" w:themeFillTint="75"/>
        <w:tcBorders/>
      </w:tcPr>
    </w:tblStylePr>
    <w:tblStylePr w:type="band1Vert">
      <w:pPr>
        <w:pBdr/>
        <w:spacing/>
        <w:ind/>
      </w:pPr>
      <w:tblPr>
        <w:tblBorders/>
      </w:tblPr>
      <w:tcPr>
        <w:shd w:val="clear" w:color="b3d0eb" w:fill="b3d0eb"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ffffff"/>
        <w:sz w:val="22"/>
      </w:rPr>
      <w:pPr>
        <w:pBdr/>
        <w:spacing/>
        <w:ind/>
      </w:pPr>
      <w:tblPr>
        <w:tblBorders/>
      </w:tblPr>
      <w:tcPr>
        <w:shd w:val="clear" w:color="5b9bd5" w:fill="5b9bd5" w:themeFill="accent5"/>
        <w:tcBorders/>
      </w:tcPr>
    </w:tblStylePr>
    <w:tblStylePr w:type="firstRow">
      <w:rPr>
        <w:b/>
        <w:color w:val="ffffff"/>
        <w:sz w:val="22"/>
      </w:rPr>
      <w:pPr>
        <w:pBdr/>
        <w:spacing/>
        <w:ind/>
      </w:pPr>
      <w:tblPr>
        <w:tblBorders/>
      </w:tblPr>
      <w:tcPr>
        <w:shd w:val="clear" w:color="5b9bd5" w:fill="5b9bd5" w:themeFill="accent5"/>
        <w:tcBorders/>
      </w:tcPr>
    </w:tblStylePr>
    <w:tblStylePr w:type="lastCol">
      <w:rPr>
        <w:b/>
        <w:color w:val="ffffff"/>
        <w:sz w:val="22"/>
      </w:rPr>
      <w:pPr>
        <w:pBdr/>
        <w:spacing/>
        <w:ind/>
      </w:pPr>
      <w:tblPr>
        <w:tblBorders/>
      </w:tblPr>
      <w:tcPr>
        <w:shd w:val="clear" w:color="5b9bd5" w:fill="5b9bd5" w:themeFill="accent5"/>
        <w:tcBorders/>
      </w:tcPr>
    </w:tblStylePr>
    <w:tblStylePr w:type="lastRow">
      <w:rPr>
        <w:b/>
        <w:color w:val="ffffff"/>
        <w:sz w:val="22"/>
      </w:rPr>
      <w:pPr>
        <w:pBdr/>
        <w:spacing/>
        <w:ind/>
      </w:pPr>
      <w:tblPr>
        <w:tblBorders/>
      </w:tblPr>
      <w:tcPr>
        <w:shd w:val="clear" w:color="5b9bd5" w:fill="5b9bd5" w:themeFill="accent5"/>
        <w:tcBorders>
          <w:top w:val="single" w:color="ffffff"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48" w:customStyle="1">
    <w:name w:val="Grid Table 5 Dark - Accent 6"/>
    <w:basedOn w:val="892"/>
    <w:uiPriority w:val="99"/>
    <w:pPr>
      <w:pBdr/>
      <w:spacing/>
      <w:ind/>
    </w:pPr>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left w:w="108" w:type="dxa"/>
        <w:top w:w="0" w:type="dxa"/>
        <w:right w:w="108" w:type="dxa"/>
        <w:bottom w:w="0" w:type="dxa"/>
      </w:tblCellMar>
    </w:tblPr>
    <w:tcPr>
      <w:tcBorders/>
    </w:tcPr>
    <w:tblStylePr w:type="band1Horz">
      <w:pPr>
        <w:pBdr/>
        <w:spacing/>
        <w:ind/>
      </w:pPr>
      <w:tblPr>
        <w:tblBorders/>
      </w:tblPr>
      <w:tcPr>
        <w:shd w:val="clear" w:color="bcdba8" w:fill="bcdba8" w:themeFill="accent6" w:themeFillTint="75"/>
        <w:tcBorders/>
      </w:tcPr>
    </w:tblStylePr>
    <w:tblStylePr w:type="band1Vert">
      <w:pPr>
        <w:pBdr/>
        <w:spacing/>
        <w:ind/>
      </w:pPr>
      <w:tblPr>
        <w:tblBorders/>
      </w:tblPr>
      <w:tcPr>
        <w:shd w:val="clear" w:color="bcdba8" w:fill="bcdba8"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ffffff"/>
        <w:sz w:val="22"/>
      </w:rPr>
      <w:pPr>
        <w:pBdr/>
        <w:spacing/>
        <w:ind/>
      </w:pPr>
      <w:tblPr>
        <w:tblBorders/>
      </w:tblPr>
      <w:tcPr>
        <w:shd w:val="clear" w:color="70ad47" w:fill="70ad47" w:themeFill="accent6"/>
        <w:tcBorders/>
      </w:tcPr>
    </w:tblStylePr>
    <w:tblStylePr w:type="firstRow">
      <w:rPr>
        <w:b/>
        <w:color w:val="ffffff"/>
        <w:sz w:val="22"/>
      </w:rPr>
      <w:pPr>
        <w:pBdr/>
        <w:spacing/>
        <w:ind/>
      </w:pPr>
      <w:tblPr>
        <w:tblBorders/>
      </w:tblPr>
      <w:tcPr>
        <w:shd w:val="clear" w:color="70ad47" w:fill="70ad47" w:themeFill="accent6"/>
        <w:tcBorders/>
      </w:tcPr>
    </w:tblStylePr>
    <w:tblStylePr w:type="lastCol">
      <w:rPr>
        <w:b/>
        <w:color w:val="ffffff"/>
        <w:sz w:val="22"/>
      </w:rPr>
      <w:pPr>
        <w:pBdr/>
        <w:spacing/>
        <w:ind/>
      </w:pPr>
      <w:tblPr>
        <w:tblBorders/>
      </w:tblPr>
      <w:tcPr>
        <w:shd w:val="clear" w:color="70ad47" w:fill="70ad47" w:themeFill="accent6"/>
        <w:tcBorders/>
      </w:tcPr>
    </w:tblStylePr>
    <w:tblStylePr w:type="lastRow">
      <w:rPr>
        <w:b/>
        <w:color w:val="ffffff"/>
        <w:sz w:val="22"/>
      </w:rPr>
      <w:pPr>
        <w:pBdr/>
        <w:spacing/>
        <w:ind/>
      </w:pPr>
      <w:tblPr>
        <w:tblBorders/>
      </w:tblPr>
      <w:tcPr>
        <w:shd w:val="clear" w:color="70ad47" w:fill="70ad47" w:themeFill="accent6"/>
        <w:tcBorders>
          <w:top w:val="single" w:color="ffffff"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49" w:customStyle="1">
    <w:name w:val="Grid Table 6 Colorful"/>
    <w:basedOn w:val="892"/>
    <w:uiPriority w:val="99"/>
    <w:pPr>
      <w:pBdr/>
      <w:spacing/>
      <w:ind/>
    </w:pPr>
    <w:tblPr>
      <w:tblStyleRowBandSize w:val="1"/>
      <w:tblStyleColBandSize w:val="1"/>
      <w:tblInd w:w="0" w:type="dxa"/>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left w:w="108" w:type="dxa"/>
        <w:top w:w="0" w:type="dxa"/>
        <w:right w:w="108" w:type="dxa"/>
        <w:bottom w:w="0" w:type="dxa"/>
      </w:tblCellMar>
    </w:tblPr>
    <w:tcPr>
      <w:tcBorders/>
    </w:tcPr>
    <w:tblStylePr w:type="band1Horz">
      <w:rPr>
        <w:color w:val="7f7f7f" w:themeColor="text1" w:themeTint="80" w:themeShade="95"/>
        <w:sz w:val="22"/>
      </w:rPr>
      <w:pPr>
        <w:pBdr/>
        <w:spacing/>
        <w:ind/>
      </w:pPr>
      <w:tblPr>
        <w:tblBorders/>
      </w:tblPr>
      <w:tcPr>
        <w:shd w:val="clear" w:color="cbcbcb" w:fill="cbcbcb" w:themeFill="text1" w:themeFillTint="34"/>
        <w:tcBorders/>
      </w:tcPr>
    </w:tblStylePr>
    <w:tblStylePr w:type="band1Vert">
      <w:pPr>
        <w:pBdr/>
        <w:spacing/>
        <w:ind/>
      </w:pPr>
      <w:tblPr>
        <w:tblBorders/>
      </w:tblPr>
      <w:tcPr>
        <w:shd w:val="clear" w:color="cbcbcb" w:fill="cbcbcb" w:themeFill="text1" w:themeFillTint="34"/>
        <w:tcBorders/>
      </w:tcPr>
    </w:tblStylePr>
    <w:tblStylePr w:type="band2Horz">
      <w:rPr>
        <w:color w:val="7f7f7f"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f7f7f" w:themeColor="text1" w:themeTint="80" w:themeShade="95"/>
      </w:rPr>
      <w:pPr>
        <w:pBdr/>
        <w:spacing/>
        <w:ind/>
      </w:pPr>
      <w:tblPr>
        <w:tblBorders/>
      </w:tblPr>
      <w:tcPr>
        <w:tcBorders/>
      </w:tcPr>
    </w:tblStylePr>
    <w:tblStylePr w:type="firstRow">
      <w:rPr>
        <w:b/>
        <w:color w:val="7f7f7f" w:themeColor="text1" w:themeTint="80" w:themeShade="95"/>
      </w:rPr>
      <w:pPr>
        <w:pBdr/>
        <w:spacing/>
        <w:ind/>
      </w:pPr>
      <w:tblPr>
        <w:tblBorders/>
      </w:tblPr>
      <w:tcPr>
        <w:tcBorders>
          <w:bottom w:val="single" w:color="000000" w:themeColor="text1" w:sz="12" w:space="0"/>
        </w:tcBorders>
      </w:tcPr>
    </w:tblStylePr>
    <w:tblStylePr w:type="lastCol">
      <w:rPr>
        <w:b/>
        <w:color w:val="7f7f7f" w:themeColor="text1" w:themeTint="80" w:themeShade="95"/>
      </w:rPr>
      <w:pPr>
        <w:pBdr/>
        <w:spacing/>
        <w:ind/>
      </w:pPr>
      <w:tblPr>
        <w:tblBorders/>
      </w:tblPr>
      <w:tcPr>
        <w:tcBorders/>
      </w:tcPr>
    </w:tblStylePr>
    <w:tblStylePr w:type="lastRow">
      <w:rPr>
        <w:b/>
        <w:color w:val="7f7f7f"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50" w:customStyle="1">
    <w:name w:val="Grid Table 6 Colorful - Accent 1"/>
    <w:basedOn w:val="892"/>
    <w:uiPriority w:val="99"/>
    <w:pPr>
      <w:pBdr/>
      <w:spacing/>
      <w:ind/>
    </w:pPr>
    <w:tblPr>
      <w:tblStyleRowBandSize w:val="1"/>
      <w:tblStyleColBandSize w:val="1"/>
      <w:tblInd w:w="0" w:type="dxa"/>
      <w:tblBorders>
        <w:top w:val="single" w:color="a0b7e1" w:themeColor="accent1" w:themeTint="80" w:sz="4" w:space="0"/>
        <w:left w:val="single" w:color="a0b7e1" w:themeColor="accent1" w:themeTint="80" w:sz="4" w:space="0"/>
        <w:bottom w:val="single" w:color="a0b7e1" w:themeColor="accent1" w:themeTint="80" w:sz="4" w:space="0"/>
        <w:right w:val="single" w:color="a0b7e1" w:themeColor="accent1" w:themeTint="80" w:sz="4" w:space="0"/>
        <w:insideH w:val="single" w:color="a0b7e1" w:themeColor="accent1" w:themeTint="80" w:sz="4" w:space="0"/>
        <w:insideV w:val="single" w:color="a0b7e1" w:themeColor="accent1" w:themeTint="80" w:sz="4" w:space="0"/>
      </w:tblBorders>
      <w:tblCellMar>
        <w:left w:w="108" w:type="dxa"/>
        <w:top w:w="0" w:type="dxa"/>
        <w:right w:w="108" w:type="dxa"/>
        <w:bottom w:w="0" w:type="dxa"/>
      </w:tblCellMar>
    </w:tblPr>
    <w:tcPr>
      <w:tcBorders/>
    </w:tcPr>
    <w:tblStylePr w:type="band1Horz">
      <w:rPr>
        <w:color w:val="a0b7e1" w:themeColor="accent1" w:themeTint="80" w:themeShade="95"/>
        <w:sz w:val="22"/>
      </w:rPr>
      <w:pPr>
        <w:pBdr/>
        <w:spacing/>
        <w:ind/>
      </w:pPr>
      <w:tblPr>
        <w:tblBorders/>
      </w:tblPr>
      <w:tcPr>
        <w:shd w:val="clear" w:color="d8e2f3" w:fill="d8e2f3" w:themeFill="accent1" w:themeFillTint="34"/>
        <w:tcBorders/>
      </w:tcPr>
    </w:tblStylePr>
    <w:tblStylePr w:type="band1Vert">
      <w:pPr>
        <w:pBdr/>
        <w:spacing/>
        <w:ind/>
      </w:pPr>
      <w:tblPr>
        <w:tblBorders/>
      </w:tblPr>
      <w:tcPr>
        <w:shd w:val="clear" w:color="d8e2f3" w:fill="d8e2f3" w:themeFill="accent1" w:themeFillTint="34"/>
        <w:tcBorders/>
      </w:tcPr>
    </w:tblStylePr>
    <w:tblStylePr w:type="band2Horz">
      <w:rPr>
        <w:color w:val="a0b7e1"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a0b7e1" w:themeColor="accent1" w:themeTint="80" w:themeShade="95"/>
      </w:rPr>
      <w:pPr>
        <w:pBdr/>
        <w:spacing/>
        <w:ind/>
      </w:pPr>
      <w:tblPr>
        <w:tblBorders/>
      </w:tblPr>
      <w:tcPr>
        <w:tcBorders/>
      </w:tcPr>
    </w:tblStylePr>
    <w:tblStylePr w:type="firstRow">
      <w:rPr>
        <w:b/>
        <w:color w:val="a0b7e1" w:themeColor="accent1" w:themeTint="80" w:themeShade="95"/>
      </w:rPr>
      <w:pPr>
        <w:pBdr/>
        <w:spacing/>
        <w:ind/>
      </w:pPr>
      <w:tblPr>
        <w:tblBorders/>
      </w:tblPr>
      <w:tcPr>
        <w:tcBorders>
          <w:bottom w:val="single" w:color="4472c4" w:themeColor="accent1" w:sz="12" w:space="0"/>
        </w:tcBorders>
      </w:tcPr>
    </w:tblStylePr>
    <w:tblStylePr w:type="lastCol">
      <w:rPr>
        <w:b/>
        <w:color w:val="a0b7e1" w:themeColor="accent1" w:themeTint="80" w:themeShade="95"/>
      </w:rPr>
      <w:pPr>
        <w:pBdr/>
        <w:spacing/>
        <w:ind/>
      </w:pPr>
      <w:tblPr>
        <w:tblBorders/>
      </w:tblPr>
      <w:tcPr>
        <w:tcBorders/>
      </w:tcPr>
    </w:tblStylePr>
    <w:tblStylePr w:type="lastRow">
      <w:rPr>
        <w:b/>
        <w:color w:val="a0b7e1"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51" w:customStyle="1">
    <w:name w:val="Grid Table 6 Colorful - Accent 2"/>
    <w:basedOn w:val="892"/>
    <w:uiPriority w:val="99"/>
    <w:pPr>
      <w:pBdr/>
      <w:spacing/>
      <w:ind/>
    </w:pPr>
    <w:tblPr>
      <w:tblStyleRowBandSize w:val="1"/>
      <w:tblStyleColBandSize w:val="1"/>
      <w:tblInd w:w="0" w:type="dxa"/>
      <w:tbl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insideH w:val="single" w:color="f4b184" w:themeColor="accent2" w:themeTint="97" w:sz="4" w:space="0"/>
        <w:insideV w:val="single" w:color="f4b184" w:themeColor="accent2" w:themeTint="97" w:sz="4" w:space="0"/>
      </w:tblBorders>
      <w:tblCellMar>
        <w:left w:w="108" w:type="dxa"/>
        <w:top w:w="0" w:type="dxa"/>
        <w:right w:w="108" w:type="dxa"/>
        <w:bottom w:w="0" w:type="dxa"/>
      </w:tblCellMar>
    </w:tblPr>
    <w:tcPr>
      <w:tcBorders/>
    </w:tcPr>
    <w:tblStylePr w:type="band1Horz">
      <w:rPr>
        <w:color w:val="f4b184" w:themeColor="accent2" w:themeTint="97" w:themeShade="95"/>
        <w:sz w:val="22"/>
      </w:rPr>
      <w:pPr>
        <w:pBdr/>
        <w:spacing/>
        <w:ind/>
      </w:pPr>
      <w:tblPr>
        <w:tblBorders/>
      </w:tblPr>
      <w:tcPr>
        <w:shd w:val="clear" w:color="fbe5d6" w:fill="fbe5d6" w:themeFill="accent2" w:themeFillTint="32"/>
        <w:tcBorders/>
      </w:tcPr>
    </w:tblStylePr>
    <w:tblStylePr w:type="band1Vert">
      <w:pPr>
        <w:pBdr/>
        <w:spacing/>
        <w:ind/>
      </w:pPr>
      <w:tblPr>
        <w:tblBorders/>
      </w:tblPr>
      <w:tcPr>
        <w:shd w:val="clear" w:color="fbe5d6" w:fill="fbe5d6" w:themeFill="accent2" w:themeFillTint="32"/>
        <w:tcBorders/>
      </w:tcPr>
    </w:tblStylePr>
    <w:tblStylePr w:type="band2Horz">
      <w:rPr>
        <w:color w:val="f4b184"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f4b184" w:themeColor="accent2" w:themeTint="97" w:themeShade="95"/>
      </w:rPr>
      <w:pPr>
        <w:pBdr/>
        <w:spacing/>
        <w:ind/>
      </w:pPr>
      <w:tblPr>
        <w:tblBorders/>
      </w:tblPr>
      <w:tcPr>
        <w:tcBorders/>
      </w:tcPr>
    </w:tblStylePr>
    <w:tblStylePr w:type="firstRow">
      <w:rPr>
        <w:b/>
        <w:color w:val="f4b184" w:themeColor="accent2" w:themeTint="97" w:themeShade="95"/>
      </w:rPr>
      <w:pPr>
        <w:pBdr/>
        <w:spacing/>
        <w:ind/>
      </w:pPr>
      <w:tblPr>
        <w:tblBorders/>
      </w:tblPr>
      <w:tcPr>
        <w:tcBorders>
          <w:bottom w:val="single" w:color="ed7d31" w:themeColor="accent2" w:sz="12" w:space="0"/>
        </w:tcBorders>
      </w:tcPr>
    </w:tblStylePr>
    <w:tblStylePr w:type="lastCol">
      <w:rPr>
        <w:b/>
        <w:color w:val="f4b184" w:themeColor="accent2" w:themeTint="97" w:themeShade="95"/>
      </w:rPr>
      <w:pPr>
        <w:pBdr/>
        <w:spacing/>
        <w:ind/>
      </w:pPr>
      <w:tblPr>
        <w:tblBorders/>
      </w:tblPr>
      <w:tcPr>
        <w:tcBorders/>
      </w:tcPr>
    </w:tblStylePr>
    <w:tblStylePr w:type="lastRow">
      <w:rPr>
        <w:b/>
        <w:color w:val="f4b184"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52" w:customStyle="1">
    <w:name w:val="Grid Table 6 Colorful - Accent 3"/>
    <w:basedOn w:val="892"/>
    <w:uiPriority w:val="99"/>
    <w:pPr>
      <w:pBdr/>
      <w:spacing/>
      <w:ind/>
    </w:pPr>
    <w:tblPr>
      <w:tblStyleRowBandSize w:val="1"/>
      <w:tblStyleColBandSize w:val="1"/>
      <w:tblInd w:w="0" w:type="dxa"/>
      <w:tbl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CellMar>
        <w:left w:w="108" w:type="dxa"/>
        <w:top w:w="0" w:type="dxa"/>
        <w:right w:w="108" w:type="dxa"/>
        <w:bottom w:w="0" w:type="dxa"/>
      </w:tblCellMar>
    </w:tblPr>
    <w:tcPr>
      <w:tcBorders/>
    </w:tcPr>
    <w:tblStylePr w:type="band1Horz">
      <w:rPr>
        <w:color w:val="a5a5a5" w:themeColor="accent3" w:themeTint="FE" w:themeShade="95"/>
        <w:sz w:val="22"/>
      </w:rPr>
      <w:pPr>
        <w:pBdr/>
        <w:spacing/>
        <w:ind/>
      </w:pPr>
      <w:tblPr>
        <w:tblBorders/>
      </w:tblPr>
      <w:tcPr>
        <w:shd w:val="clear" w:color="ececec" w:fill="ececec" w:themeFill="accent3" w:themeFillTint="34"/>
        <w:tcBorders/>
      </w:tcPr>
    </w:tblStylePr>
    <w:tblStylePr w:type="band1Vert">
      <w:pPr>
        <w:pBdr/>
        <w:spacing/>
        <w:ind/>
      </w:pPr>
      <w:tblPr>
        <w:tblBorders/>
      </w:tblPr>
      <w:tcPr>
        <w:shd w:val="clear" w:color="ececec" w:fill="ececec" w:themeFill="accent3" w:themeFillTint="34"/>
        <w:tcBorders/>
      </w:tcPr>
    </w:tblStylePr>
    <w:tblStylePr w:type="band2Horz">
      <w:rPr>
        <w:color w:val="a5a5a5"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a5a5a5" w:themeColor="accent3" w:themeTint="FE" w:themeShade="95"/>
      </w:rPr>
      <w:pPr>
        <w:pBdr/>
        <w:spacing/>
        <w:ind/>
      </w:pPr>
      <w:tblPr>
        <w:tblBorders/>
      </w:tblPr>
      <w:tcPr>
        <w:tcBorders/>
      </w:tcPr>
    </w:tblStylePr>
    <w:tblStylePr w:type="firstRow">
      <w:rPr>
        <w:b/>
        <w:color w:val="a5a5a5" w:themeColor="accent3" w:themeTint="FE" w:themeShade="95"/>
      </w:rPr>
      <w:pPr>
        <w:pBdr/>
        <w:spacing/>
        <w:ind/>
      </w:pPr>
      <w:tblPr>
        <w:tblBorders/>
      </w:tblPr>
      <w:tcPr>
        <w:tcBorders>
          <w:bottom w:val="single" w:color="a5a5a5" w:themeColor="accent3" w:sz="12" w:space="0"/>
        </w:tcBorders>
      </w:tcPr>
    </w:tblStylePr>
    <w:tblStylePr w:type="lastCol">
      <w:rPr>
        <w:b/>
        <w:color w:val="a5a5a5" w:themeColor="accent3" w:themeTint="FE" w:themeShade="95"/>
      </w:rPr>
      <w:pPr>
        <w:pBdr/>
        <w:spacing/>
        <w:ind/>
      </w:pPr>
      <w:tblPr>
        <w:tblBorders/>
      </w:tblPr>
      <w:tcPr>
        <w:tcBorders/>
      </w:tcPr>
    </w:tblStylePr>
    <w:tblStylePr w:type="lastRow">
      <w:rPr>
        <w:b/>
        <w:color w:val="a5a5a5"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53" w:customStyle="1">
    <w:name w:val="Grid Table 6 Colorful - Accent 4"/>
    <w:basedOn w:val="892"/>
    <w:uiPriority w:val="99"/>
    <w:pPr>
      <w:pBdr/>
      <w:spacing/>
      <w:ind/>
    </w:pPr>
    <w:tblPr>
      <w:tblStyleRowBandSize w:val="1"/>
      <w:tblStyleColBandSize w:val="1"/>
      <w:tblInd w:w="0" w:type="dxa"/>
      <w:tbl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insideH w:val="single" w:color="ffd865" w:themeColor="accent4" w:themeTint="9A" w:sz="4" w:space="0"/>
        <w:insideV w:val="single" w:color="ffd865" w:themeColor="accent4" w:themeTint="9A" w:sz="4" w:space="0"/>
      </w:tblBorders>
      <w:tblCellMar>
        <w:left w:w="108" w:type="dxa"/>
        <w:top w:w="0" w:type="dxa"/>
        <w:right w:w="108" w:type="dxa"/>
        <w:bottom w:w="0" w:type="dxa"/>
      </w:tblCellMar>
    </w:tblPr>
    <w:tcPr>
      <w:tcBorders/>
    </w:tcPr>
    <w:tblStylePr w:type="band1Horz">
      <w:rPr>
        <w:color w:val="ffd865" w:themeColor="accent4" w:themeTint="9A" w:themeShade="95"/>
        <w:sz w:val="22"/>
      </w:rPr>
      <w:pPr>
        <w:pBdr/>
        <w:spacing/>
        <w:ind/>
      </w:pPr>
      <w:tblPr>
        <w:tblBorders/>
      </w:tblPr>
      <w:tcPr>
        <w:shd w:val="clear" w:color="fff2cb" w:fill="fff2cb" w:themeFill="accent4" w:themeFillTint="34"/>
        <w:tcBorders/>
      </w:tcPr>
    </w:tblStylePr>
    <w:tblStylePr w:type="band1Vert">
      <w:pPr>
        <w:pBdr/>
        <w:spacing/>
        <w:ind/>
      </w:pPr>
      <w:tblPr>
        <w:tblBorders/>
      </w:tblPr>
      <w:tcPr>
        <w:shd w:val="clear" w:color="fff2cb" w:fill="fff2cb" w:themeFill="accent4" w:themeFillTint="34"/>
        <w:tcBorders/>
      </w:tcPr>
    </w:tblStylePr>
    <w:tblStylePr w:type="band2Horz">
      <w:rPr>
        <w:color w:val="ffd865"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ffd865" w:themeColor="accent4" w:themeTint="9A" w:themeShade="95"/>
      </w:rPr>
      <w:pPr>
        <w:pBdr/>
        <w:spacing/>
        <w:ind/>
      </w:pPr>
      <w:tblPr>
        <w:tblBorders/>
      </w:tblPr>
      <w:tcPr>
        <w:tcBorders/>
      </w:tcPr>
    </w:tblStylePr>
    <w:tblStylePr w:type="firstRow">
      <w:rPr>
        <w:b/>
        <w:color w:val="ffd865" w:themeColor="accent4" w:themeTint="9A" w:themeShade="95"/>
      </w:rPr>
      <w:pPr>
        <w:pBdr/>
        <w:spacing/>
        <w:ind/>
      </w:pPr>
      <w:tblPr>
        <w:tblBorders/>
      </w:tblPr>
      <w:tcPr>
        <w:tcBorders>
          <w:bottom w:val="single" w:color="ffc000" w:themeColor="accent4" w:sz="12" w:space="0"/>
        </w:tcBorders>
      </w:tcPr>
    </w:tblStylePr>
    <w:tblStylePr w:type="lastCol">
      <w:rPr>
        <w:b/>
        <w:color w:val="ffd865" w:themeColor="accent4" w:themeTint="9A" w:themeShade="95"/>
      </w:rPr>
      <w:pPr>
        <w:pBdr/>
        <w:spacing/>
        <w:ind/>
      </w:pPr>
      <w:tblPr>
        <w:tblBorders/>
      </w:tblPr>
      <w:tcPr>
        <w:tcBorders/>
      </w:tcPr>
    </w:tblStylePr>
    <w:tblStylePr w:type="lastRow">
      <w:rPr>
        <w:b/>
        <w:color w:val="ffd865"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54" w:customStyle="1">
    <w:name w:val="Grid Table 6 Colorful - Accent 5"/>
    <w:basedOn w:val="892"/>
    <w:uiPriority w:val="99"/>
    <w:pPr>
      <w:pBdr/>
      <w:spacing/>
      <w:ind/>
    </w:pPr>
    <w:tblPr>
      <w:tblStyleRowBandSize w:val="1"/>
      <w:tblStyleColBandSize w:val="1"/>
      <w:tblInd w:w="0" w:type="dxa"/>
      <w:tblBorders>
        <w:top w:val="single" w:color="5b9bd5" w:themeColor="accent5" w:sz="4" w:space="0"/>
        <w:left w:val="single" w:color="5b9bd5" w:themeColor="accent5" w:sz="4" w:space="0"/>
        <w:bottom w:val="single" w:color="5b9bd5" w:themeColor="accent5" w:sz="4" w:space="0"/>
        <w:right w:val="single" w:color="5b9bd5" w:themeColor="accent5" w:sz="4" w:space="0"/>
        <w:insideH w:val="single" w:color="5b9bd5" w:themeColor="accent5" w:sz="4" w:space="0"/>
        <w:insideV w:val="single" w:color="5b9bd5" w:themeColor="accent5" w:sz="4" w:space="0"/>
      </w:tblBorders>
      <w:tblCellMar>
        <w:left w:w="108" w:type="dxa"/>
        <w:top w:w="0" w:type="dxa"/>
        <w:right w:w="108" w:type="dxa"/>
        <w:bottom w:w="0" w:type="dxa"/>
      </w:tblCellMar>
    </w:tblPr>
    <w:tcPr>
      <w:tcBorders/>
    </w:tcPr>
    <w:tblStylePr w:type="band1Horz">
      <w:rPr>
        <w:color w:val="245a8d" w:themeColor="accent5" w:themeShade="95"/>
        <w:sz w:val="22"/>
      </w:rPr>
      <w:pPr>
        <w:pBdr/>
        <w:spacing/>
        <w:ind/>
      </w:pPr>
      <w:tblPr>
        <w:tblBorders/>
      </w:tblPr>
      <w:tcPr>
        <w:shd w:val="clear" w:color="ddeaf6" w:fill="ddeaf6" w:themeFill="accent5" w:themeFillTint="34"/>
        <w:tcBorders/>
      </w:tcPr>
    </w:tblStylePr>
    <w:tblStylePr w:type="band1Vert">
      <w:pPr>
        <w:pBdr/>
        <w:spacing/>
        <w:ind/>
      </w:pPr>
      <w:tblPr>
        <w:tblBorders/>
      </w:tblPr>
      <w:tcPr>
        <w:shd w:val="clear" w:color="ddeaf6" w:fill="ddeaf6" w:themeFill="accent5" w:themeFillTint="34"/>
        <w:tcBorders/>
      </w:tcPr>
    </w:tblStylePr>
    <w:tblStylePr w:type="band2Horz">
      <w:rPr>
        <w:color w:val="245a8d"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45a8d" w:themeColor="accent5" w:themeShade="95"/>
      </w:rPr>
      <w:pPr>
        <w:pBdr/>
        <w:spacing/>
        <w:ind/>
      </w:pPr>
      <w:tblPr>
        <w:tblBorders/>
      </w:tblPr>
      <w:tcPr>
        <w:tcBorders/>
      </w:tcPr>
    </w:tblStylePr>
    <w:tblStylePr w:type="firstRow">
      <w:rPr>
        <w:b/>
        <w:color w:val="245a8d" w:themeColor="accent5" w:themeShade="95"/>
      </w:rPr>
      <w:pPr>
        <w:pBdr/>
        <w:spacing/>
        <w:ind/>
      </w:pPr>
      <w:tblPr>
        <w:tblBorders/>
      </w:tblPr>
      <w:tcPr>
        <w:tcBorders>
          <w:bottom w:val="single" w:color="5b9bd5" w:themeColor="accent5" w:sz="12" w:space="0"/>
        </w:tcBorders>
      </w:tcPr>
    </w:tblStylePr>
    <w:tblStylePr w:type="lastCol">
      <w:rPr>
        <w:b/>
        <w:color w:val="245a8d" w:themeColor="accent5" w:themeShade="95"/>
      </w:rPr>
      <w:pPr>
        <w:pBdr/>
        <w:spacing/>
        <w:ind/>
      </w:pPr>
      <w:tblPr>
        <w:tblBorders/>
      </w:tblPr>
      <w:tcPr>
        <w:tcBorders/>
      </w:tcPr>
    </w:tblStylePr>
    <w:tblStylePr w:type="lastRow">
      <w:rPr>
        <w:b/>
        <w:color w:val="245a8d"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55" w:customStyle="1">
    <w:name w:val="Grid Table 6 Colorful - Accent 6"/>
    <w:basedOn w:val="892"/>
    <w:uiPriority w:val="99"/>
    <w:pPr>
      <w:pBdr/>
      <w:spacing/>
      <w:ind/>
    </w:pPr>
    <w:tblPr>
      <w:tblStyleRowBandSize w:val="1"/>
      <w:tblStyleColBandSize w:val="1"/>
      <w:tblInd w:w="0" w:type="dxa"/>
      <w:tblBorders>
        <w:top w:val="single" w:color="70ad47" w:themeColor="accent6" w:sz="4" w:space="0"/>
        <w:left w:val="single" w:color="70ad47" w:themeColor="accent6" w:sz="4" w:space="0"/>
        <w:bottom w:val="single" w:color="70ad47" w:themeColor="accent6" w:sz="4" w:space="0"/>
        <w:right w:val="single" w:color="70ad47" w:themeColor="accent6" w:sz="4" w:space="0"/>
        <w:insideH w:val="single" w:color="70ad47" w:themeColor="accent6" w:sz="4" w:space="0"/>
        <w:insideV w:val="single" w:color="70ad47" w:themeColor="accent6" w:sz="4" w:space="0"/>
      </w:tblBorders>
      <w:tblCellMar>
        <w:left w:w="108" w:type="dxa"/>
        <w:top w:w="0" w:type="dxa"/>
        <w:right w:w="108" w:type="dxa"/>
        <w:bottom w:w="0" w:type="dxa"/>
      </w:tblCellMar>
    </w:tblPr>
    <w:tcPr>
      <w:tcBorders/>
    </w:tcPr>
    <w:tblStylePr w:type="band1Horz">
      <w:rPr>
        <w:color w:val="245a8d" w:themeColor="accent5" w:themeShade="95"/>
        <w:sz w:val="22"/>
      </w:rPr>
      <w:pPr>
        <w:pBdr/>
        <w:spacing/>
        <w:ind/>
      </w:pPr>
      <w:tblPr>
        <w:tblBorders/>
      </w:tblPr>
      <w:tcPr>
        <w:shd w:val="clear" w:color="e1efd8" w:fill="e1efd8" w:themeFill="accent6" w:themeFillTint="34"/>
        <w:tcBorders/>
      </w:tcPr>
    </w:tblStylePr>
    <w:tblStylePr w:type="band1Vert">
      <w:pPr>
        <w:pBdr/>
        <w:spacing/>
        <w:ind/>
      </w:pPr>
      <w:tblPr>
        <w:tblBorders/>
      </w:tblPr>
      <w:tcPr>
        <w:shd w:val="clear" w:color="e1efd8" w:fill="e1efd8" w:themeFill="accent6" w:themeFillTint="34"/>
        <w:tcBorders/>
      </w:tcPr>
    </w:tblStylePr>
    <w:tblStylePr w:type="band2Horz">
      <w:rPr>
        <w:color w:val="245a8d"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45a8d" w:themeColor="accent5" w:themeShade="95"/>
      </w:rPr>
      <w:pPr>
        <w:pBdr/>
        <w:spacing/>
        <w:ind/>
      </w:pPr>
      <w:tblPr>
        <w:tblBorders/>
      </w:tblPr>
      <w:tcPr>
        <w:tcBorders/>
      </w:tcPr>
    </w:tblStylePr>
    <w:tblStylePr w:type="firstRow">
      <w:rPr>
        <w:b/>
        <w:color w:val="245a8d" w:themeColor="accent5" w:themeShade="95"/>
      </w:rPr>
      <w:pPr>
        <w:pBdr/>
        <w:spacing/>
        <w:ind/>
      </w:pPr>
      <w:tblPr>
        <w:tblBorders/>
      </w:tblPr>
      <w:tcPr>
        <w:tcBorders>
          <w:bottom w:val="single" w:color="70ad47" w:themeColor="accent6" w:sz="12" w:space="0"/>
        </w:tcBorders>
      </w:tcPr>
    </w:tblStylePr>
    <w:tblStylePr w:type="lastCol">
      <w:rPr>
        <w:b/>
        <w:color w:val="245a8d" w:themeColor="accent5" w:themeShade="95"/>
      </w:rPr>
      <w:pPr>
        <w:pBdr/>
        <w:spacing/>
        <w:ind/>
      </w:pPr>
      <w:tblPr>
        <w:tblBorders/>
      </w:tblPr>
      <w:tcPr>
        <w:tcBorders/>
      </w:tcPr>
    </w:tblStylePr>
    <w:tblStylePr w:type="lastRow">
      <w:rPr>
        <w:b/>
        <w:color w:val="245a8d"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56" w:customStyle="1">
    <w:name w:val="Grid Table 7 Colorful"/>
    <w:basedOn w:val="892"/>
    <w:uiPriority w:val="99"/>
    <w:pPr>
      <w:pBdr/>
      <w:spacing/>
      <w:ind/>
    </w:pPr>
    <w:tblPr>
      <w:tblStyleRowBandSize w:val="1"/>
      <w:tblStyleColBandSize w:val="1"/>
      <w:tblInd w:w="0" w:type="dxa"/>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left w:w="108" w:type="dxa"/>
        <w:top w:w="0" w:type="dxa"/>
        <w:right w:w="108" w:type="dxa"/>
        <w:bottom w:w="0" w:type="dxa"/>
      </w:tblCellMar>
    </w:tblPr>
    <w:tcPr>
      <w:tcBorders/>
    </w:tcPr>
    <w:tblStylePr w:type="band1Horz">
      <w:rPr>
        <w:color w:val="7f7f7f" w:themeColor="text1" w:themeTint="80" w:themeShade="95"/>
        <w:sz w:val="22"/>
      </w:rPr>
      <w:pPr>
        <w:pBdr/>
        <w:spacing/>
        <w:ind/>
      </w:pPr>
      <w:tblPr>
        <w:tblBorders/>
      </w:tblPr>
      <w:tcPr>
        <w:shd w:val="clear" w:color="f2f2f2" w:fill="ffffff" w:themeFill="text1" w:themeFillTint="00"/>
        <w:tcBorders/>
      </w:tcPr>
    </w:tblStylePr>
    <w:tblStylePr w:type="band1Vert">
      <w:pPr>
        <w:pBdr/>
        <w:spacing/>
        <w:ind/>
      </w:pPr>
      <w:tblPr>
        <w:tblBorders/>
      </w:tblPr>
      <w:tcPr>
        <w:shd w:val="clear" w:color="f2f2f2" w:fill="ffffff" w:themeFill="text1" w:themeFillTint="00"/>
        <w:tcBorders/>
      </w:tcPr>
    </w:tblStylePr>
    <w:tblStylePr w:type="band2Horz">
      <w:rPr>
        <w:color w:val="7f7f7f"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i/>
        <w:color w:val="7f7f7f" w:themeColor="text1" w:themeTint="80" w:themeShade="95"/>
        <w:sz w:val="22"/>
      </w:rPr>
      <w:pPr>
        <w:pBdr/>
        <w:spacing/>
        <w:ind/>
        <w:jc w:val="right"/>
      </w:pPr>
      <w:tblPr>
        <w:tblBorders/>
      </w:tblPr>
      <w:tcPr>
        <w:shd w:val="clear" w:color="ffffff" w:fill="auto"/>
        <w:tcBorders>
          <w:top w:val="none" w:color="000000" w:sz="0" w:space="0"/>
          <w:left w:val="none" w:color="000000" w:sz="0" w:space="0"/>
          <w:bottom w:val="none" w:color="000000" w:sz="0" w:space="0"/>
          <w:right w:val="single" w:color="000000" w:themeColor="text1" w:sz="4" w:space="0"/>
        </w:tcBorders>
      </w:tcPr>
    </w:tblStylePr>
    <w:tblStylePr w:type="firstRow">
      <w:rPr>
        <w:b/>
        <w:color w:val="7f7f7f" w:themeColor="text1" w:themeTint="80" w:themeShade="95"/>
        <w:sz w:val="22"/>
      </w:rPr>
      <w:pPr>
        <w:pBdr/>
        <w:spacing/>
        <w:ind/>
      </w:pPr>
      <w:tblPr>
        <w:tblBorders/>
      </w:tblPr>
      <w:tcPr>
        <w:shd w:val="clear" w:color="ffffff" w:fill="ffffff" w:themeFill="light1"/>
        <w:tcBorders>
          <w:top w:val="none" w:color="000000" w:sz="0" w:space="0"/>
          <w:left w:val="none" w:color="000000" w:sz="0" w:space="0"/>
          <w:bottom w:val="single" w:color="000000" w:themeColor="text1" w:sz="4" w:space="0"/>
          <w:right w:val="none" w:color="000000" w:sz="0" w:space="0"/>
        </w:tcBorders>
      </w:tcPr>
    </w:tblStylePr>
    <w:tblStylePr w:type="lastCol">
      <w:rPr>
        <w:i/>
        <w:color w:val="7f7f7f" w:themeColor="text1" w:themeTint="80" w:themeShade="95"/>
        <w:sz w:val="22"/>
      </w:rPr>
      <w:pPr>
        <w:pBdr/>
        <w:spacing/>
        <w:ind/>
      </w:pPr>
      <w:tblPr>
        <w:tblBorders/>
      </w:tblPr>
      <w:tcPr>
        <w:shd w:val="clear" w:color="ffffff" w:fill="auto"/>
        <w:tcBorders>
          <w:top w:val="none" w:color="000000" w:sz="0" w:space="0"/>
          <w:left w:val="single" w:color="000000" w:themeColor="text1" w:sz="4" w:space="0"/>
          <w:bottom w:val="none" w:color="000000" w:sz="0" w:space="0"/>
          <w:right w:val="none" w:color="000000" w:sz="0" w:space="0"/>
        </w:tcBorders>
      </w:tcPr>
    </w:tblStylePr>
    <w:tblStylePr w:type="lastRow">
      <w:rPr>
        <w:b/>
        <w:color w:val="7f7f7f" w:themeColor="text1" w:themeTint="80" w:themeShade="95"/>
        <w:sz w:val="22"/>
      </w:rPr>
      <w:pPr>
        <w:pBdr/>
        <w:spacing/>
        <w:ind/>
      </w:pPr>
      <w:tblPr>
        <w:tblBorders/>
      </w:tblPr>
      <w:tcPr>
        <w:shd w:val="clear" w:color="ffffff" w:fill="ffffff" w:themeFill="light1"/>
        <w:tcBorders>
          <w:top w:val="single" w:color="000000" w:themeColor="text1" w:sz="4" w:space="0"/>
          <w:left w:val="none" w:color="000000" w:sz="0" w:space="0"/>
          <w:bottom w:val="none" w:color="000000" w:sz="0" w:space="0"/>
          <w:right w:val="none" w:color="000000" w:sz="0"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57" w:customStyle="1">
    <w:name w:val="Grid Table 7 Colorful - Accent 1"/>
    <w:basedOn w:val="892"/>
    <w:uiPriority w:val="99"/>
    <w:pPr>
      <w:pBdr/>
      <w:spacing/>
      <w:ind/>
    </w:pPr>
    <w:tblPr>
      <w:tblStyleRowBandSize w:val="1"/>
      <w:tblStyleColBandSize w:val="1"/>
      <w:tblInd w:w="0" w:type="dxa"/>
      <w:tblBorders>
        <w:bottom w:val="single" w:color="a0b7e1" w:themeColor="accent1" w:themeTint="80" w:sz="4" w:space="0"/>
        <w:right w:val="single" w:color="a0b7e1" w:themeColor="accent1" w:themeTint="80" w:sz="4" w:space="0"/>
        <w:insideH w:val="single" w:color="a0b7e1" w:themeColor="accent1" w:themeTint="80" w:sz="4" w:space="0"/>
        <w:insideV w:val="single" w:color="a0b7e1" w:themeColor="accent1" w:themeTint="80" w:sz="4" w:space="0"/>
      </w:tblBorders>
      <w:tblCellMar>
        <w:left w:w="108" w:type="dxa"/>
        <w:top w:w="0" w:type="dxa"/>
        <w:right w:w="108" w:type="dxa"/>
        <w:bottom w:w="0" w:type="dxa"/>
      </w:tblCellMar>
    </w:tblPr>
    <w:tcPr>
      <w:tcBorders/>
    </w:tcPr>
    <w:tblStylePr w:type="band1Horz">
      <w:rPr>
        <w:color w:val="a0b7e1" w:themeColor="accent1" w:themeTint="80" w:themeShade="95"/>
        <w:sz w:val="22"/>
      </w:rPr>
      <w:pPr>
        <w:pBdr/>
        <w:spacing/>
        <w:ind/>
      </w:pPr>
      <w:tblPr>
        <w:tblBorders/>
      </w:tblPr>
      <w:tcPr>
        <w:shd w:val="clear" w:color="d8e2f3" w:fill="d8e2f3" w:themeFill="accent1" w:themeFillTint="34"/>
        <w:tcBorders/>
      </w:tcPr>
    </w:tblStylePr>
    <w:tblStylePr w:type="band1Vert">
      <w:pPr>
        <w:pBdr/>
        <w:spacing/>
        <w:ind/>
      </w:pPr>
      <w:tblPr>
        <w:tblBorders/>
      </w:tblPr>
      <w:tcPr>
        <w:shd w:val="clear" w:color="d8e2f3" w:fill="d8e2f3" w:themeFill="accent1" w:themeFillTint="34"/>
        <w:tcBorders/>
      </w:tcPr>
    </w:tblStylePr>
    <w:tblStylePr w:type="band2Horz">
      <w:rPr>
        <w:color w:val="a0b7e1"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i/>
        <w:color w:val="a0b7e1" w:themeColor="accent1" w:themeTint="80" w:themeShade="95"/>
        <w:sz w:val="22"/>
      </w:rPr>
      <w:pPr>
        <w:pBdr/>
        <w:spacing/>
        <w:ind/>
        <w:jc w:val="right"/>
      </w:pPr>
      <w:tblPr>
        <w:tblBorders/>
      </w:tblPr>
      <w:tcPr>
        <w:shd w:val="clear" w:color="ffffff" w:fill="auto"/>
        <w:tcBorders>
          <w:top w:val="none" w:color="000000" w:sz="0" w:space="0"/>
          <w:left w:val="none" w:color="000000" w:sz="0" w:space="0"/>
          <w:bottom w:val="none" w:color="000000" w:sz="0" w:space="0"/>
          <w:right w:val="single" w:color="4472c4" w:themeColor="accent1" w:sz="4" w:space="0"/>
        </w:tcBorders>
      </w:tcPr>
    </w:tblStylePr>
    <w:tblStylePr w:type="firstRow">
      <w:rPr>
        <w:b/>
        <w:color w:val="a0b7e1" w:themeColor="accent1" w:themeTint="80" w:themeShade="95"/>
        <w:sz w:val="22"/>
      </w:rPr>
      <w:pPr>
        <w:pBdr/>
        <w:spacing/>
        <w:ind/>
      </w:pPr>
      <w:tblPr>
        <w:tblBorders/>
      </w:tblPr>
      <w:tcPr>
        <w:shd w:val="clear" w:color="ffffff" w:fill="ffffff" w:themeFill="light1"/>
        <w:tcBorders>
          <w:top w:val="none" w:color="000000" w:sz="0" w:space="0"/>
          <w:left w:val="none" w:color="000000" w:sz="0" w:space="0"/>
          <w:bottom w:val="single" w:color="4472c4" w:themeColor="accent1" w:sz="4" w:space="0"/>
          <w:right w:val="none" w:color="000000" w:sz="0" w:space="0"/>
        </w:tcBorders>
      </w:tcPr>
    </w:tblStylePr>
    <w:tblStylePr w:type="lastCol">
      <w:rPr>
        <w:i/>
        <w:color w:val="a0b7e1" w:themeColor="accent1" w:themeTint="80" w:themeShade="95"/>
        <w:sz w:val="22"/>
      </w:rPr>
      <w:pPr>
        <w:pBdr/>
        <w:spacing/>
        <w:ind/>
      </w:pPr>
      <w:tblPr>
        <w:tblBorders/>
      </w:tblPr>
      <w:tcPr>
        <w:shd w:val="clear" w:color="ffffff" w:fill="auto"/>
        <w:tcBorders>
          <w:top w:val="none" w:color="000000" w:sz="0" w:space="0"/>
          <w:left w:val="single" w:color="4472c4" w:themeColor="accent1" w:sz="4" w:space="0"/>
          <w:bottom w:val="none" w:color="000000" w:sz="0" w:space="0"/>
          <w:right w:val="none" w:color="000000" w:sz="0" w:space="0"/>
        </w:tcBorders>
      </w:tcPr>
    </w:tblStylePr>
    <w:tblStylePr w:type="lastRow">
      <w:rPr>
        <w:b/>
        <w:color w:val="a0b7e1" w:themeColor="accent1" w:themeTint="80" w:themeShade="95"/>
        <w:sz w:val="22"/>
      </w:rPr>
      <w:pPr>
        <w:pBdr/>
        <w:spacing/>
        <w:ind/>
      </w:pPr>
      <w:tblPr>
        <w:tblBorders/>
      </w:tblPr>
      <w:tcPr>
        <w:shd w:val="clear" w:color="ffffff" w:fill="ffffff" w:themeFill="light1"/>
        <w:tcBorders>
          <w:top w:val="single" w:color="4472c4" w:themeColor="accent1" w:sz="4" w:space="0"/>
          <w:left w:val="none" w:color="000000" w:sz="0" w:space="0"/>
          <w:bottom w:val="none" w:color="000000" w:sz="0" w:space="0"/>
          <w:right w:val="none" w:color="000000" w:sz="0"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58" w:customStyle="1">
    <w:name w:val="Grid Table 7 Colorful - Accent 2"/>
    <w:basedOn w:val="892"/>
    <w:uiPriority w:val="99"/>
    <w:pPr>
      <w:pBdr/>
      <w:spacing/>
      <w:ind/>
    </w:pPr>
    <w:tblPr>
      <w:tblStyleRowBandSize w:val="1"/>
      <w:tblStyleColBandSize w:val="1"/>
      <w:tblInd w:w="0" w:type="dxa"/>
      <w:tblBorders>
        <w:bottom w:val="single" w:color="f4b184" w:themeColor="accent2" w:themeTint="97" w:sz="4" w:space="0"/>
        <w:right w:val="single" w:color="f4b184" w:themeColor="accent2" w:themeTint="97" w:sz="4" w:space="0"/>
        <w:insideH w:val="single" w:color="f4b184" w:themeColor="accent2" w:themeTint="97" w:sz="4" w:space="0"/>
        <w:insideV w:val="single" w:color="f4b184" w:themeColor="accent2" w:themeTint="97" w:sz="4" w:space="0"/>
      </w:tblBorders>
      <w:tblCellMar>
        <w:left w:w="108" w:type="dxa"/>
        <w:top w:w="0" w:type="dxa"/>
        <w:right w:w="108" w:type="dxa"/>
        <w:bottom w:w="0" w:type="dxa"/>
      </w:tblCellMar>
    </w:tblPr>
    <w:tcPr>
      <w:tcBorders/>
    </w:tcPr>
    <w:tblStylePr w:type="band1Horz">
      <w:rPr>
        <w:color w:val="f4b184" w:themeColor="accent2" w:themeTint="97" w:themeShade="95"/>
        <w:sz w:val="22"/>
      </w:rPr>
      <w:pPr>
        <w:pBdr/>
        <w:spacing/>
        <w:ind/>
      </w:pPr>
      <w:tblPr>
        <w:tblBorders/>
      </w:tblPr>
      <w:tcPr>
        <w:shd w:val="clear" w:color="fbe5d6" w:fill="fbe5d6" w:themeFill="accent2" w:themeFillTint="32"/>
        <w:tcBorders/>
      </w:tcPr>
    </w:tblStylePr>
    <w:tblStylePr w:type="band1Vert">
      <w:pPr>
        <w:pBdr/>
        <w:spacing/>
        <w:ind/>
      </w:pPr>
      <w:tblPr>
        <w:tblBorders/>
      </w:tblPr>
      <w:tcPr>
        <w:shd w:val="clear" w:color="fbe5d6" w:fill="fbe5d6" w:themeFill="accent2" w:themeFillTint="32"/>
        <w:tcBorders/>
      </w:tcPr>
    </w:tblStylePr>
    <w:tblStylePr w:type="band2Horz">
      <w:rPr>
        <w:color w:val="f4b184"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i/>
        <w:color w:val="f4b184" w:themeColor="accent2" w:themeTint="97" w:themeShade="95"/>
        <w:sz w:val="22"/>
      </w:rPr>
      <w:pPr>
        <w:pBdr/>
        <w:spacing/>
        <w:ind/>
        <w:jc w:val="right"/>
      </w:pPr>
      <w:tblPr>
        <w:tblBorders/>
      </w:tblPr>
      <w:tcPr>
        <w:shd w:val="clear" w:color="ffffff" w:fill="auto"/>
        <w:tcBorders>
          <w:top w:val="none" w:color="000000" w:sz="0" w:space="0"/>
          <w:left w:val="none" w:color="000000" w:sz="0" w:space="0"/>
          <w:bottom w:val="none" w:color="000000" w:sz="0" w:space="0"/>
          <w:right w:val="single" w:color="ed7d31" w:themeColor="accent2" w:sz="4" w:space="0"/>
        </w:tcBorders>
      </w:tcPr>
    </w:tblStylePr>
    <w:tblStylePr w:type="firstRow">
      <w:rPr>
        <w:b/>
        <w:color w:val="f4b184" w:themeColor="accent2" w:themeTint="97" w:themeShade="95"/>
        <w:sz w:val="22"/>
      </w:rPr>
      <w:pPr>
        <w:pBdr/>
        <w:spacing/>
        <w:ind/>
      </w:pPr>
      <w:tblPr>
        <w:tblBorders/>
      </w:tblPr>
      <w:tcPr>
        <w:shd w:val="clear" w:color="ffffff" w:fill="ffffff" w:themeFill="light1"/>
        <w:tcBorders>
          <w:top w:val="none" w:color="000000" w:sz="0" w:space="0"/>
          <w:left w:val="none" w:color="000000" w:sz="0" w:space="0"/>
          <w:bottom w:val="single" w:color="ed7d31" w:themeColor="accent2" w:sz="4" w:space="0"/>
          <w:right w:val="none" w:color="000000" w:sz="0" w:space="0"/>
        </w:tcBorders>
      </w:tcPr>
    </w:tblStylePr>
    <w:tblStylePr w:type="lastCol">
      <w:rPr>
        <w:i/>
        <w:color w:val="f4b184" w:themeColor="accent2" w:themeTint="97" w:themeShade="95"/>
        <w:sz w:val="22"/>
      </w:rPr>
      <w:pPr>
        <w:pBdr/>
        <w:spacing/>
        <w:ind/>
      </w:pPr>
      <w:tblPr>
        <w:tblBorders/>
      </w:tblPr>
      <w:tcPr>
        <w:shd w:val="clear" w:color="ffffff" w:fill="auto"/>
        <w:tcBorders>
          <w:top w:val="none" w:color="000000" w:sz="0" w:space="0"/>
          <w:left w:val="single" w:color="ed7d31" w:themeColor="accent2" w:sz="4" w:space="0"/>
          <w:bottom w:val="none" w:color="000000" w:sz="0" w:space="0"/>
          <w:right w:val="none" w:color="000000" w:sz="0" w:space="0"/>
        </w:tcBorders>
      </w:tcPr>
    </w:tblStylePr>
    <w:tblStylePr w:type="lastRow">
      <w:rPr>
        <w:b/>
        <w:color w:val="f4b184" w:themeColor="accent2" w:themeTint="97" w:themeShade="95"/>
        <w:sz w:val="22"/>
      </w:rPr>
      <w:pPr>
        <w:pBdr/>
        <w:spacing/>
        <w:ind/>
      </w:pPr>
      <w:tblPr>
        <w:tblBorders/>
      </w:tblPr>
      <w:tcPr>
        <w:shd w:val="clear" w:color="ffffff" w:fill="ffffff" w:themeFill="light1"/>
        <w:tcBorders>
          <w:top w:val="single" w:color="ed7d31" w:themeColor="accent2" w:sz="4" w:space="0"/>
          <w:left w:val="none" w:color="000000" w:sz="0" w:space="0"/>
          <w:bottom w:val="none" w:color="000000" w:sz="0" w:space="0"/>
          <w:right w:val="none" w:color="000000" w:sz="0"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59" w:customStyle="1">
    <w:name w:val="Grid Table 7 Colorful - Accent 3"/>
    <w:basedOn w:val="892"/>
    <w:uiPriority w:val="99"/>
    <w:pPr>
      <w:pBdr/>
      <w:spacing/>
      <w:ind/>
    </w:pPr>
    <w:tblPr>
      <w:tblStyleRowBandSize w:val="1"/>
      <w:tblStyleColBandSize w:val="1"/>
      <w:tblInd w:w="0" w:type="dxa"/>
      <w:tblBorders>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CellMar>
        <w:left w:w="108" w:type="dxa"/>
        <w:top w:w="0" w:type="dxa"/>
        <w:right w:w="108" w:type="dxa"/>
        <w:bottom w:w="0" w:type="dxa"/>
      </w:tblCellMar>
    </w:tblPr>
    <w:tcPr>
      <w:tcBorders/>
    </w:tcPr>
    <w:tblStylePr w:type="band1Horz">
      <w:rPr>
        <w:color w:val="a5a5a5" w:themeColor="accent3" w:themeTint="FE" w:themeShade="95"/>
        <w:sz w:val="22"/>
      </w:rPr>
      <w:pPr>
        <w:pBdr/>
        <w:spacing/>
        <w:ind/>
      </w:pPr>
      <w:tblPr>
        <w:tblBorders/>
      </w:tblPr>
      <w:tcPr>
        <w:shd w:val="clear" w:color="ececec" w:fill="ececec" w:themeFill="accent3" w:themeFillTint="34"/>
        <w:tcBorders/>
      </w:tcPr>
    </w:tblStylePr>
    <w:tblStylePr w:type="band1Vert">
      <w:pPr>
        <w:pBdr/>
        <w:spacing/>
        <w:ind/>
      </w:pPr>
      <w:tblPr>
        <w:tblBorders/>
      </w:tblPr>
      <w:tcPr>
        <w:shd w:val="clear" w:color="ececec" w:fill="ececec" w:themeFill="accent3" w:themeFillTint="34"/>
        <w:tcBorders/>
      </w:tcPr>
    </w:tblStylePr>
    <w:tblStylePr w:type="band2Horz">
      <w:rPr>
        <w:color w:val="a5a5a5"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i/>
        <w:color w:val="a5a5a5" w:themeColor="accent3" w:themeTint="FE" w:themeShade="95"/>
        <w:sz w:val="22"/>
      </w:rPr>
      <w:pPr>
        <w:pBdr/>
        <w:spacing/>
        <w:ind/>
        <w:jc w:val="right"/>
      </w:pPr>
      <w:tblPr>
        <w:tblBorders/>
      </w:tblPr>
      <w:tcPr>
        <w:shd w:val="clear" w:color="ffffff" w:fill="auto"/>
        <w:tcBorders>
          <w:top w:val="none" w:color="000000" w:sz="0" w:space="0"/>
          <w:left w:val="none" w:color="000000" w:sz="0" w:space="0"/>
          <w:bottom w:val="none" w:color="000000" w:sz="0" w:space="0"/>
          <w:right w:val="single" w:color="a5a5a5" w:themeColor="accent3" w:sz="4" w:space="0"/>
        </w:tcBorders>
      </w:tcPr>
    </w:tblStylePr>
    <w:tblStylePr w:type="firstRow">
      <w:rPr>
        <w:b/>
        <w:color w:val="a5a5a5" w:themeColor="accent3" w:themeTint="FE" w:themeShade="95"/>
        <w:sz w:val="22"/>
      </w:rPr>
      <w:pPr>
        <w:pBdr/>
        <w:spacing/>
        <w:ind/>
      </w:pPr>
      <w:tblPr>
        <w:tblBorders/>
      </w:tblPr>
      <w:tcPr>
        <w:shd w:val="clear" w:color="ffffff" w:fill="ffffff" w:themeFill="light1"/>
        <w:tcBorders>
          <w:top w:val="none" w:color="000000" w:sz="0" w:space="0"/>
          <w:left w:val="none" w:color="000000" w:sz="0" w:space="0"/>
          <w:bottom w:val="single" w:color="a5a5a5" w:themeColor="accent3" w:sz="4" w:space="0"/>
          <w:right w:val="none" w:color="000000" w:sz="0" w:space="0"/>
        </w:tcBorders>
      </w:tcPr>
    </w:tblStylePr>
    <w:tblStylePr w:type="lastCol">
      <w:rPr>
        <w:i/>
        <w:color w:val="a5a5a5" w:themeColor="accent3" w:themeTint="FE" w:themeShade="95"/>
        <w:sz w:val="22"/>
      </w:rPr>
      <w:pPr>
        <w:pBdr/>
        <w:spacing/>
        <w:ind/>
      </w:pPr>
      <w:tblPr>
        <w:tblBorders/>
      </w:tblPr>
      <w:tcPr>
        <w:shd w:val="clear" w:color="ffffff" w:fill="auto"/>
        <w:tcBorders>
          <w:top w:val="none" w:color="000000" w:sz="0" w:space="0"/>
          <w:left w:val="single" w:color="a5a5a5" w:themeColor="accent3" w:sz="4" w:space="0"/>
          <w:bottom w:val="none" w:color="000000" w:sz="0" w:space="0"/>
          <w:right w:val="none" w:color="000000" w:sz="0" w:space="0"/>
        </w:tcBorders>
      </w:tcPr>
    </w:tblStylePr>
    <w:tblStylePr w:type="lastRow">
      <w:rPr>
        <w:b/>
        <w:color w:val="a5a5a5" w:themeColor="accent3" w:themeTint="FE" w:themeShade="95"/>
        <w:sz w:val="22"/>
      </w:rPr>
      <w:pPr>
        <w:pBdr/>
        <w:spacing/>
        <w:ind/>
      </w:pPr>
      <w:tblPr>
        <w:tblBorders/>
      </w:tblPr>
      <w:tcPr>
        <w:shd w:val="clear" w:color="ffffff" w:fill="ffffff" w:themeFill="light1"/>
        <w:tcBorders>
          <w:top w:val="single" w:color="a5a5a5" w:themeColor="accent3" w:sz="4" w:space="0"/>
          <w:left w:val="none" w:color="000000" w:sz="0" w:space="0"/>
          <w:bottom w:val="none" w:color="000000" w:sz="0" w:space="0"/>
          <w:right w:val="none" w:color="000000" w:sz="0"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60" w:customStyle="1">
    <w:name w:val="Grid Table 7 Colorful - Accent 4"/>
    <w:basedOn w:val="892"/>
    <w:uiPriority w:val="99"/>
    <w:pPr>
      <w:pBdr/>
      <w:spacing/>
      <w:ind/>
    </w:pPr>
    <w:tblPr>
      <w:tblStyleRowBandSize w:val="1"/>
      <w:tblStyleColBandSize w:val="1"/>
      <w:tblInd w:w="0" w:type="dxa"/>
      <w:tblBorders>
        <w:bottom w:val="single" w:color="ffd865" w:themeColor="accent4" w:themeTint="9A" w:sz="4" w:space="0"/>
        <w:right w:val="single" w:color="ffd865" w:themeColor="accent4" w:themeTint="9A" w:sz="4" w:space="0"/>
        <w:insideH w:val="single" w:color="ffd865" w:themeColor="accent4" w:themeTint="9A" w:sz="4" w:space="0"/>
        <w:insideV w:val="single" w:color="ffd865" w:themeColor="accent4" w:themeTint="9A" w:sz="4" w:space="0"/>
      </w:tblBorders>
      <w:tblCellMar>
        <w:left w:w="108" w:type="dxa"/>
        <w:top w:w="0" w:type="dxa"/>
        <w:right w:w="108" w:type="dxa"/>
        <w:bottom w:w="0" w:type="dxa"/>
      </w:tblCellMar>
    </w:tblPr>
    <w:tcPr>
      <w:tcBorders/>
    </w:tcPr>
    <w:tblStylePr w:type="band1Horz">
      <w:rPr>
        <w:color w:val="ffd865" w:themeColor="accent4" w:themeTint="9A" w:themeShade="95"/>
        <w:sz w:val="22"/>
      </w:rPr>
      <w:pPr>
        <w:pBdr/>
        <w:spacing/>
        <w:ind/>
      </w:pPr>
      <w:tblPr>
        <w:tblBorders/>
      </w:tblPr>
      <w:tcPr>
        <w:shd w:val="clear" w:color="fff2cb" w:fill="fff2cb" w:themeFill="accent4" w:themeFillTint="34"/>
        <w:tcBorders/>
      </w:tcPr>
    </w:tblStylePr>
    <w:tblStylePr w:type="band1Vert">
      <w:pPr>
        <w:pBdr/>
        <w:spacing/>
        <w:ind/>
      </w:pPr>
      <w:tblPr>
        <w:tblBorders/>
      </w:tblPr>
      <w:tcPr>
        <w:shd w:val="clear" w:color="fff2cb" w:fill="fff2cb" w:themeFill="accent4" w:themeFillTint="34"/>
        <w:tcBorders/>
      </w:tcPr>
    </w:tblStylePr>
    <w:tblStylePr w:type="band2Horz">
      <w:rPr>
        <w:color w:val="ffd865"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i/>
        <w:color w:val="ffd865" w:themeColor="accent4" w:themeTint="9A" w:themeShade="95"/>
        <w:sz w:val="22"/>
      </w:rPr>
      <w:pPr>
        <w:pBdr/>
        <w:spacing/>
        <w:ind/>
        <w:jc w:val="right"/>
      </w:pPr>
      <w:tblPr>
        <w:tblBorders/>
      </w:tblPr>
      <w:tcPr>
        <w:shd w:val="clear" w:color="ffffff" w:fill="auto"/>
        <w:tcBorders>
          <w:top w:val="none" w:color="000000" w:sz="0" w:space="0"/>
          <w:left w:val="none" w:color="000000" w:sz="0" w:space="0"/>
          <w:bottom w:val="none" w:color="000000" w:sz="0" w:space="0"/>
          <w:right w:val="single" w:color="ffc000" w:themeColor="accent4" w:sz="4" w:space="0"/>
        </w:tcBorders>
      </w:tcPr>
    </w:tblStylePr>
    <w:tblStylePr w:type="firstRow">
      <w:rPr>
        <w:b/>
        <w:color w:val="ffd865" w:themeColor="accent4" w:themeTint="9A" w:themeShade="95"/>
        <w:sz w:val="22"/>
      </w:rPr>
      <w:pPr>
        <w:pBdr/>
        <w:spacing/>
        <w:ind/>
      </w:pPr>
      <w:tblPr>
        <w:tblBorders/>
      </w:tblPr>
      <w:tcPr>
        <w:shd w:val="clear" w:color="ffffff" w:fill="ffffff" w:themeFill="light1"/>
        <w:tcBorders>
          <w:top w:val="none" w:color="000000" w:sz="0" w:space="0"/>
          <w:left w:val="none" w:color="000000" w:sz="0" w:space="0"/>
          <w:bottom w:val="single" w:color="ffc000" w:themeColor="accent4" w:sz="4" w:space="0"/>
          <w:right w:val="none" w:color="000000" w:sz="0" w:space="0"/>
        </w:tcBorders>
      </w:tcPr>
    </w:tblStylePr>
    <w:tblStylePr w:type="lastCol">
      <w:rPr>
        <w:i/>
        <w:color w:val="ffd865" w:themeColor="accent4" w:themeTint="9A" w:themeShade="95"/>
        <w:sz w:val="22"/>
      </w:rPr>
      <w:pPr>
        <w:pBdr/>
        <w:spacing/>
        <w:ind/>
      </w:pPr>
      <w:tblPr>
        <w:tblBorders/>
      </w:tblPr>
      <w:tcPr>
        <w:shd w:val="clear" w:color="ffffff" w:fill="auto"/>
        <w:tcBorders>
          <w:top w:val="none" w:color="000000" w:sz="0" w:space="0"/>
          <w:left w:val="single" w:color="ffc000" w:themeColor="accent4" w:sz="4" w:space="0"/>
          <w:bottom w:val="none" w:color="000000" w:sz="0" w:space="0"/>
          <w:right w:val="none" w:color="000000" w:sz="0" w:space="0"/>
        </w:tcBorders>
      </w:tcPr>
    </w:tblStylePr>
    <w:tblStylePr w:type="lastRow">
      <w:rPr>
        <w:b/>
        <w:color w:val="ffd865" w:themeColor="accent4" w:themeTint="9A" w:themeShade="95"/>
        <w:sz w:val="22"/>
      </w:rPr>
      <w:pPr>
        <w:pBdr/>
        <w:spacing/>
        <w:ind/>
      </w:pPr>
      <w:tblPr>
        <w:tblBorders/>
      </w:tblPr>
      <w:tcPr>
        <w:shd w:val="clear" w:color="ffffff" w:fill="ffffff" w:themeFill="light1"/>
        <w:tcBorders>
          <w:top w:val="single" w:color="ffc000" w:themeColor="accent4" w:sz="4" w:space="0"/>
          <w:left w:val="none" w:color="000000" w:sz="0" w:space="0"/>
          <w:bottom w:val="none" w:color="000000" w:sz="0" w:space="0"/>
          <w:right w:val="none" w:color="000000" w:sz="0"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61" w:customStyle="1">
    <w:name w:val="Grid Table 7 Colorful - Accent 5"/>
    <w:basedOn w:val="892"/>
    <w:uiPriority w:val="99"/>
    <w:pPr>
      <w:pBdr/>
      <w:spacing/>
      <w:ind/>
    </w:pPr>
    <w:tblPr>
      <w:tblStyleRowBandSize w:val="1"/>
      <w:tblStyleColBandSize w:val="1"/>
      <w:tblInd w:w="0" w:type="dxa"/>
      <w:tblBorders>
        <w:bottom w:val="single" w:color="a2c6e7" w:themeColor="accent5" w:themeTint="90" w:sz="4" w:space="0"/>
        <w:right w:val="single" w:color="a2c6e7" w:themeColor="accent5" w:themeTint="90" w:sz="4" w:space="0"/>
        <w:insideH w:val="single" w:color="a2c6e7" w:themeColor="accent5" w:themeTint="90" w:sz="4" w:space="0"/>
        <w:insideV w:val="single" w:color="a2c6e7" w:themeColor="accent5" w:themeTint="90" w:sz="4" w:space="0"/>
      </w:tblBorders>
      <w:tblCellMar>
        <w:left w:w="108" w:type="dxa"/>
        <w:top w:w="0" w:type="dxa"/>
        <w:right w:w="108" w:type="dxa"/>
        <w:bottom w:w="0" w:type="dxa"/>
      </w:tblCellMar>
    </w:tblPr>
    <w:tcPr>
      <w:tcBorders/>
    </w:tcPr>
    <w:tblStylePr w:type="band1Horz">
      <w:rPr>
        <w:color w:val="245a8d" w:themeColor="accent5" w:themeShade="95"/>
        <w:sz w:val="22"/>
      </w:rPr>
      <w:pPr>
        <w:pBdr/>
        <w:spacing/>
        <w:ind/>
      </w:pPr>
      <w:tblPr>
        <w:tblBorders/>
      </w:tblPr>
      <w:tcPr>
        <w:shd w:val="clear" w:color="ddeaf6" w:fill="ddeaf6" w:themeFill="accent5" w:themeFillTint="34"/>
        <w:tcBorders/>
      </w:tcPr>
    </w:tblStylePr>
    <w:tblStylePr w:type="band1Vert">
      <w:pPr>
        <w:pBdr/>
        <w:spacing/>
        <w:ind/>
      </w:pPr>
      <w:tblPr>
        <w:tblBorders/>
      </w:tblPr>
      <w:tcPr>
        <w:shd w:val="clear" w:color="ddeaf6" w:fill="ddeaf6" w:themeFill="accent5" w:themeFillTint="34"/>
        <w:tcBorders/>
      </w:tcPr>
    </w:tblStylePr>
    <w:tblStylePr w:type="band2Horz">
      <w:rPr>
        <w:color w:val="245a8d"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i/>
        <w:color w:val="245a8d" w:themeColor="accent5" w:themeShade="95"/>
        <w:sz w:val="22"/>
      </w:rPr>
      <w:pPr>
        <w:pBdr/>
        <w:spacing/>
        <w:ind/>
        <w:jc w:val="right"/>
      </w:pPr>
      <w:tblPr>
        <w:tblBorders/>
      </w:tblPr>
      <w:tcPr>
        <w:shd w:val="clear" w:color="ffffff" w:fill="auto"/>
        <w:tcBorders>
          <w:top w:val="none" w:color="000000" w:sz="0" w:space="0"/>
          <w:left w:val="none" w:color="000000" w:sz="0" w:space="0"/>
          <w:bottom w:val="none" w:color="000000" w:sz="0" w:space="0"/>
          <w:right w:val="single" w:color="5b9bd5" w:themeColor="accent5" w:sz="4" w:space="0"/>
        </w:tcBorders>
      </w:tcPr>
    </w:tblStylePr>
    <w:tblStylePr w:type="firstRow">
      <w:rPr>
        <w:b/>
        <w:color w:val="245a8d" w:themeColor="accent5" w:themeShade="95"/>
        <w:sz w:val="22"/>
      </w:rPr>
      <w:pPr>
        <w:pBdr/>
        <w:spacing/>
        <w:ind/>
      </w:pPr>
      <w:tblPr>
        <w:tblBorders/>
      </w:tblPr>
      <w:tcPr>
        <w:shd w:val="clear" w:color="ffffff" w:fill="ffffff" w:themeFill="light1"/>
        <w:tcBorders>
          <w:top w:val="none" w:color="000000" w:sz="0" w:space="0"/>
          <w:left w:val="none" w:color="000000" w:sz="0" w:space="0"/>
          <w:bottom w:val="single" w:color="5b9bd5" w:themeColor="accent5" w:sz="4" w:space="0"/>
          <w:right w:val="none" w:color="000000" w:sz="0" w:space="0"/>
        </w:tcBorders>
      </w:tcPr>
    </w:tblStylePr>
    <w:tblStylePr w:type="lastCol">
      <w:rPr>
        <w:i/>
        <w:color w:val="245a8d" w:themeColor="accent5" w:themeShade="95"/>
        <w:sz w:val="22"/>
      </w:rPr>
      <w:pPr>
        <w:pBdr/>
        <w:spacing/>
        <w:ind/>
      </w:pPr>
      <w:tblPr>
        <w:tblBorders/>
      </w:tblPr>
      <w:tcPr>
        <w:shd w:val="clear" w:color="ffffff" w:fill="auto"/>
        <w:tcBorders>
          <w:top w:val="none" w:color="000000" w:sz="0" w:space="0"/>
          <w:left w:val="single" w:color="5b9bd5" w:themeColor="accent5" w:sz="4" w:space="0"/>
          <w:bottom w:val="none" w:color="000000" w:sz="0" w:space="0"/>
          <w:right w:val="none" w:color="000000" w:sz="0" w:space="0"/>
        </w:tcBorders>
      </w:tcPr>
    </w:tblStylePr>
    <w:tblStylePr w:type="lastRow">
      <w:rPr>
        <w:b/>
        <w:color w:val="245a8d" w:themeColor="accent5" w:themeShade="95"/>
        <w:sz w:val="22"/>
      </w:rPr>
      <w:pPr>
        <w:pBdr/>
        <w:spacing/>
        <w:ind/>
      </w:pPr>
      <w:tblPr>
        <w:tblBorders/>
      </w:tblPr>
      <w:tcPr>
        <w:shd w:val="clear" w:color="ffffff" w:fill="ffffff" w:themeFill="light1"/>
        <w:tcBorders>
          <w:top w:val="single" w:color="5b9bd5" w:themeColor="accent5" w:sz="4" w:space="0"/>
          <w:left w:val="none" w:color="000000" w:sz="0" w:space="0"/>
          <w:bottom w:val="none" w:color="000000" w:sz="0" w:space="0"/>
          <w:right w:val="none" w:color="000000" w:sz="0"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62" w:customStyle="1">
    <w:name w:val="Grid Table 7 Colorful - Accent 6"/>
    <w:basedOn w:val="892"/>
    <w:uiPriority w:val="99"/>
    <w:pPr>
      <w:pBdr/>
      <w:spacing/>
      <w:ind/>
    </w:pPr>
    <w:tblPr>
      <w:tblStyleRowBandSize w:val="1"/>
      <w:tblStyleColBandSize w:val="1"/>
      <w:tblInd w:w="0" w:type="dxa"/>
      <w:tblBorders>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CellMar>
        <w:left w:w="108" w:type="dxa"/>
        <w:top w:w="0" w:type="dxa"/>
        <w:right w:w="108" w:type="dxa"/>
        <w:bottom w:w="0" w:type="dxa"/>
      </w:tblCellMar>
    </w:tblPr>
    <w:tcPr>
      <w:tcBorders/>
    </w:tcPr>
    <w:tblStylePr w:type="band1Horz">
      <w:rPr>
        <w:color w:val="416429" w:themeColor="accent6" w:themeShade="95"/>
        <w:sz w:val="22"/>
      </w:rPr>
      <w:pPr>
        <w:pBdr/>
        <w:spacing/>
        <w:ind/>
      </w:pPr>
      <w:tblPr>
        <w:tblBorders/>
      </w:tblPr>
      <w:tcPr>
        <w:shd w:val="clear" w:color="e1efd8" w:fill="e1efd8" w:themeFill="accent6" w:themeFillTint="34"/>
        <w:tcBorders/>
      </w:tcPr>
    </w:tblStylePr>
    <w:tblStylePr w:type="band1Vert">
      <w:pPr>
        <w:pBdr/>
        <w:spacing/>
        <w:ind/>
      </w:pPr>
      <w:tblPr>
        <w:tblBorders/>
      </w:tblPr>
      <w:tcPr>
        <w:shd w:val="clear" w:color="e1efd8" w:fill="e1efd8" w:themeFill="accent6" w:themeFillTint="34"/>
        <w:tcBorders/>
      </w:tcPr>
    </w:tblStylePr>
    <w:tblStylePr w:type="band2Horz">
      <w:rPr>
        <w:color w:val="416429"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i/>
        <w:color w:val="416429" w:themeColor="accent6" w:themeShade="95"/>
        <w:sz w:val="22"/>
      </w:rPr>
      <w:pPr>
        <w:pBdr/>
        <w:spacing/>
        <w:ind/>
        <w:jc w:val="right"/>
      </w:pPr>
      <w:tblPr>
        <w:tblBorders/>
      </w:tblPr>
      <w:tcPr>
        <w:shd w:val="clear" w:color="ffffff" w:fill="auto"/>
        <w:tcBorders>
          <w:top w:val="none" w:color="000000" w:sz="0" w:space="0"/>
          <w:left w:val="none" w:color="000000" w:sz="0" w:space="0"/>
          <w:bottom w:val="none" w:color="000000" w:sz="0" w:space="0"/>
          <w:right w:val="single" w:color="70ad47" w:themeColor="accent6" w:sz="4" w:space="0"/>
        </w:tcBorders>
      </w:tcPr>
    </w:tblStylePr>
    <w:tblStylePr w:type="firstRow">
      <w:rPr>
        <w:b/>
        <w:color w:val="416429" w:themeColor="accent6" w:themeShade="95"/>
        <w:sz w:val="22"/>
      </w:rPr>
      <w:pPr>
        <w:pBdr/>
        <w:spacing/>
        <w:ind/>
      </w:pPr>
      <w:tblPr>
        <w:tblBorders/>
      </w:tblPr>
      <w:tcPr>
        <w:shd w:val="clear" w:color="ffffff" w:fill="ffffff" w:themeFill="light1"/>
        <w:tcBorders>
          <w:top w:val="none" w:color="000000" w:sz="0" w:space="0"/>
          <w:left w:val="none" w:color="000000" w:sz="0" w:space="0"/>
          <w:bottom w:val="single" w:color="70ad47" w:themeColor="accent6" w:sz="4" w:space="0"/>
          <w:right w:val="none" w:color="000000" w:sz="0" w:space="0"/>
        </w:tcBorders>
      </w:tcPr>
    </w:tblStylePr>
    <w:tblStylePr w:type="lastCol">
      <w:rPr>
        <w:i/>
        <w:color w:val="416429" w:themeColor="accent6" w:themeShade="95"/>
        <w:sz w:val="22"/>
      </w:rPr>
      <w:pPr>
        <w:pBdr/>
        <w:spacing/>
        <w:ind/>
      </w:pPr>
      <w:tblPr>
        <w:tblBorders/>
      </w:tblPr>
      <w:tcPr>
        <w:shd w:val="clear" w:color="ffffff" w:fill="auto"/>
        <w:tcBorders>
          <w:top w:val="none" w:color="000000" w:sz="0" w:space="0"/>
          <w:left w:val="single" w:color="70ad47" w:themeColor="accent6" w:sz="4" w:space="0"/>
          <w:bottom w:val="none" w:color="000000" w:sz="0" w:space="0"/>
          <w:right w:val="none" w:color="000000" w:sz="0" w:space="0"/>
        </w:tcBorders>
      </w:tcPr>
    </w:tblStylePr>
    <w:tblStylePr w:type="lastRow">
      <w:rPr>
        <w:b/>
        <w:color w:val="416429" w:themeColor="accent6" w:themeShade="95"/>
        <w:sz w:val="22"/>
      </w:rPr>
      <w:pPr>
        <w:pBdr/>
        <w:spacing/>
        <w:ind/>
      </w:pPr>
      <w:tblPr>
        <w:tblBorders/>
      </w:tblPr>
      <w:tcPr>
        <w:shd w:val="clear" w:color="ffffff" w:fill="ffffff" w:themeFill="light1"/>
        <w:tcBorders>
          <w:top w:val="single" w:color="70ad47" w:themeColor="accent6" w:sz="4" w:space="0"/>
          <w:left w:val="none" w:color="000000" w:sz="0" w:space="0"/>
          <w:bottom w:val="none" w:color="000000" w:sz="0" w:space="0"/>
          <w:right w:val="none" w:color="000000" w:sz="0"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63" w:customStyle="1">
    <w:name w:val="List Table 1 Light"/>
    <w:basedOn w:val="892"/>
    <w:uiPriority w:val="99"/>
    <w:pPr>
      <w:pBdr/>
      <w:spacing/>
      <w:ind/>
    </w:pPr>
    <w:tblPr>
      <w:tblStyleRowBandSize w:val="1"/>
      <w:tblStyleColBandSize w:val="1"/>
      <w:tblInd w:w="0" w:type="dxa"/>
      <w:tblBorders/>
      <w:tblCellMar>
        <w:left w:w="108" w:type="dxa"/>
        <w:top w:w="0" w:type="dxa"/>
        <w:right w:w="108" w:type="dxa"/>
        <w:bottom w:w="0" w:type="dxa"/>
      </w:tblCellMar>
    </w:tblPr>
    <w:tcPr>
      <w:tcBorders/>
    </w:tcPr>
    <w:tblStylePr w:type="band1Horz">
      <w:pPr>
        <w:pBdr/>
        <w:spacing/>
        <w:ind/>
      </w:pPr>
      <w:tblPr>
        <w:tblBorders/>
      </w:tblPr>
      <w:tcPr>
        <w:shd w:val="clear" w:color="bfbfbf" w:fill="bfbfbf" w:themeFill="text1" w:themeFillTint="40"/>
        <w:tcBorders/>
      </w:tcPr>
    </w:tblStylePr>
    <w:tblStylePr w:type="band1Vert">
      <w:pPr>
        <w:pBdr/>
        <w:spacing/>
        <w:ind/>
      </w:pPr>
      <w:tblPr>
        <w:tblBorders/>
      </w:tblPr>
      <w:tcPr>
        <w:shd w:val="clear" w:color="bfbfbf"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64" w:customStyle="1">
    <w:name w:val="List Table 1 Light - Accent 1"/>
    <w:basedOn w:val="892"/>
    <w:uiPriority w:val="99"/>
    <w:pPr>
      <w:pBdr/>
      <w:spacing/>
      <w:ind/>
    </w:pPr>
    <w:tblPr>
      <w:tblStyleRowBandSize w:val="1"/>
      <w:tblStyleColBandSize w:val="1"/>
      <w:tblInd w:w="0" w:type="dxa"/>
      <w:tblBorders/>
      <w:tblCellMar>
        <w:left w:w="108" w:type="dxa"/>
        <w:top w:w="0" w:type="dxa"/>
        <w:right w:w="108" w:type="dxa"/>
        <w:bottom w:w="0" w:type="dxa"/>
      </w:tblCellMar>
    </w:tblPr>
    <w:tcPr>
      <w:tcBorders/>
    </w:tcPr>
    <w:tblStylePr w:type="band1Horz">
      <w:pPr>
        <w:pBdr/>
        <w:spacing/>
        <w:ind/>
      </w:pPr>
      <w:tblPr>
        <w:tblBorders/>
      </w:tblPr>
      <w:tcPr>
        <w:shd w:val="clear" w:color="cfdbf0" w:fill="cfdbf0" w:themeFill="accent1" w:themeFillTint="40"/>
        <w:tcBorders/>
      </w:tcPr>
    </w:tblStylePr>
    <w:tblStylePr w:type="band1Vert">
      <w:pPr>
        <w:pBdr/>
        <w:spacing/>
        <w:ind/>
      </w:pPr>
      <w:tblPr>
        <w:tblBorders/>
      </w:tblPr>
      <w:tcPr>
        <w:shd w:val="clear" w:color="cfdbf0" w:fill="cfdbf0"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4472c4"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4472c4"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65" w:customStyle="1">
    <w:name w:val="List Table 1 Light - Accent 2"/>
    <w:basedOn w:val="892"/>
    <w:uiPriority w:val="99"/>
    <w:pPr>
      <w:pBdr/>
      <w:spacing/>
      <w:ind/>
    </w:pPr>
    <w:tblPr>
      <w:tblStyleRowBandSize w:val="1"/>
      <w:tblStyleColBandSize w:val="1"/>
      <w:tblInd w:w="0" w:type="dxa"/>
      <w:tblBorders/>
      <w:tblCellMar>
        <w:left w:w="108" w:type="dxa"/>
        <w:top w:w="0" w:type="dxa"/>
        <w:right w:w="108" w:type="dxa"/>
        <w:bottom w:w="0" w:type="dxa"/>
      </w:tblCellMar>
    </w:tblPr>
    <w:tcPr>
      <w:tcBorders/>
    </w:tcPr>
    <w:tblStylePr w:type="band1Horz">
      <w:pPr>
        <w:pBdr/>
        <w:spacing/>
        <w:ind/>
      </w:pPr>
      <w:tblPr>
        <w:tblBorders/>
      </w:tblPr>
      <w:tcPr>
        <w:shd w:val="clear" w:color="fadecb" w:fill="fadecb" w:themeFill="accent2" w:themeFillTint="40"/>
        <w:tcBorders/>
      </w:tcPr>
    </w:tblStylePr>
    <w:tblStylePr w:type="band1Vert">
      <w:pPr>
        <w:pBdr/>
        <w:spacing/>
        <w:ind/>
      </w:pPr>
      <w:tblPr>
        <w:tblBorders/>
      </w:tblPr>
      <w:tcPr>
        <w:shd w:val="clear" w:color="fadecb"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ed7d31"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ed7d31"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66" w:customStyle="1">
    <w:name w:val="List Table 1 Light - Accent 3"/>
    <w:basedOn w:val="892"/>
    <w:uiPriority w:val="99"/>
    <w:pPr>
      <w:pBdr/>
      <w:spacing/>
      <w:ind/>
    </w:pPr>
    <w:tblPr>
      <w:tblStyleRowBandSize w:val="1"/>
      <w:tblStyleColBandSize w:val="1"/>
      <w:tblInd w:w="0" w:type="dxa"/>
      <w:tblBorders/>
      <w:tblCellMar>
        <w:left w:w="108" w:type="dxa"/>
        <w:top w:w="0" w:type="dxa"/>
        <w:right w:w="108" w:type="dxa"/>
        <w:bottom w:w="0" w:type="dxa"/>
      </w:tblCellMar>
    </w:tblPr>
    <w:tcPr>
      <w:tcBorders/>
    </w:tcPr>
    <w:tblStylePr w:type="band1Horz">
      <w:pPr>
        <w:pBdr/>
        <w:spacing/>
        <w:ind/>
      </w:pPr>
      <w:tblPr>
        <w:tblBorders/>
      </w:tblPr>
      <w:tcPr>
        <w:shd w:val="clear" w:color="e8e8e8" w:fill="e8e8e8" w:themeFill="accent3" w:themeFillTint="40"/>
        <w:tcBorders/>
      </w:tcPr>
    </w:tblStylePr>
    <w:tblStylePr w:type="band1Vert">
      <w:pPr>
        <w:pBdr/>
        <w:spacing/>
        <w:ind/>
      </w:pPr>
      <w:tblPr>
        <w:tblBorders/>
      </w:tblPr>
      <w:tcPr>
        <w:shd w:val="clear" w:color="e8e8e8"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a5a5a5"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a5a5a5"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67" w:customStyle="1">
    <w:name w:val="List Table 1 Light - Accent 4"/>
    <w:basedOn w:val="892"/>
    <w:uiPriority w:val="99"/>
    <w:pPr>
      <w:pBdr/>
      <w:spacing/>
      <w:ind/>
    </w:pPr>
    <w:tblPr>
      <w:tblStyleRowBandSize w:val="1"/>
      <w:tblStyleColBandSize w:val="1"/>
      <w:tblInd w:w="0" w:type="dxa"/>
      <w:tblBorders/>
      <w:tblCellMar>
        <w:left w:w="108" w:type="dxa"/>
        <w:top w:w="0" w:type="dxa"/>
        <w:right w:w="108" w:type="dxa"/>
        <w:bottom w:w="0" w:type="dxa"/>
      </w:tblCellMar>
    </w:tblPr>
    <w:tcPr>
      <w:tcBorders/>
    </w:tcPr>
    <w:tblStylePr w:type="band1Horz">
      <w:pPr>
        <w:pBdr/>
        <w:spacing/>
        <w:ind/>
      </w:pPr>
      <w:tblPr>
        <w:tblBorders/>
      </w:tblPr>
      <w:tcPr>
        <w:shd w:val="clear" w:color="ffefbf" w:fill="ffefbf" w:themeFill="accent4" w:themeFillTint="40"/>
        <w:tcBorders/>
      </w:tcPr>
    </w:tblStylePr>
    <w:tblStylePr w:type="band1Vert">
      <w:pPr>
        <w:pBdr/>
        <w:spacing/>
        <w:ind/>
      </w:pPr>
      <w:tblPr>
        <w:tblBorders/>
      </w:tblPr>
      <w:tcPr>
        <w:shd w:val="clear" w:color="ffefbf"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ffc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ffc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68" w:customStyle="1">
    <w:name w:val="List Table 1 Light - Accent 5"/>
    <w:basedOn w:val="892"/>
    <w:uiPriority w:val="99"/>
    <w:pPr>
      <w:pBdr/>
      <w:spacing/>
      <w:ind/>
    </w:pPr>
    <w:tblPr>
      <w:tblStyleRowBandSize w:val="1"/>
      <w:tblStyleColBandSize w:val="1"/>
      <w:tblInd w:w="0" w:type="dxa"/>
      <w:tblBorders/>
      <w:tblCellMar>
        <w:left w:w="108" w:type="dxa"/>
        <w:top w:w="0" w:type="dxa"/>
        <w:right w:w="108" w:type="dxa"/>
        <w:bottom w:w="0" w:type="dxa"/>
      </w:tblCellMar>
    </w:tblPr>
    <w:tcPr>
      <w:tcBorders/>
    </w:tcPr>
    <w:tblStylePr w:type="band1Horz">
      <w:pPr>
        <w:pBdr/>
        <w:spacing/>
        <w:ind/>
      </w:pPr>
      <w:tblPr>
        <w:tblBorders/>
      </w:tblPr>
      <w:tcPr>
        <w:shd w:val="clear" w:color="d5e5f4" w:fill="d5e5f4" w:themeFill="accent5" w:themeFillTint="40"/>
        <w:tcBorders/>
      </w:tcPr>
    </w:tblStylePr>
    <w:tblStylePr w:type="band1Vert">
      <w:pPr>
        <w:pBdr/>
        <w:spacing/>
        <w:ind/>
      </w:pPr>
      <w:tblPr>
        <w:tblBorders/>
      </w:tblPr>
      <w:tcPr>
        <w:shd w:val="clear" w:color="d5e5f4" w:fill="d5e5f4"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5b9bd5"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5b9bd5"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69" w:customStyle="1">
    <w:name w:val="List Table 1 Light - Accent 6"/>
    <w:basedOn w:val="892"/>
    <w:uiPriority w:val="99"/>
    <w:pPr>
      <w:pBdr/>
      <w:spacing/>
      <w:ind/>
    </w:pPr>
    <w:tblPr>
      <w:tblStyleRowBandSize w:val="1"/>
      <w:tblStyleColBandSize w:val="1"/>
      <w:tblInd w:w="0" w:type="dxa"/>
      <w:tblBorders/>
      <w:tblCellMar>
        <w:left w:w="108" w:type="dxa"/>
        <w:top w:w="0" w:type="dxa"/>
        <w:right w:w="108" w:type="dxa"/>
        <w:bottom w:w="0" w:type="dxa"/>
      </w:tblCellMar>
    </w:tblPr>
    <w:tcPr>
      <w:tcBorders/>
    </w:tcPr>
    <w:tblStylePr w:type="band1Horz">
      <w:pPr>
        <w:pBdr/>
        <w:spacing/>
        <w:ind/>
      </w:pPr>
      <w:tblPr>
        <w:tblBorders/>
      </w:tblPr>
      <w:tcPr>
        <w:shd w:val="clear" w:color="daebcf" w:fill="daebcf" w:themeFill="accent6" w:themeFillTint="40"/>
        <w:tcBorders/>
      </w:tcPr>
    </w:tblStylePr>
    <w:tblStylePr w:type="band1Vert">
      <w:pPr>
        <w:pBdr/>
        <w:spacing/>
        <w:ind/>
      </w:pPr>
      <w:tblPr>
        <w:tblBorders/>
      </w:tblPr>
      <w:tcPr>
        <w:shd w:val="clear" w:color="daebcf" w:fill="daebcf"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70ad47"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70ad47"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70" w:customStyle="1">
    <w:name w:val="List Table 2"/>
    <w:basedOn w:val="892"/>
    <w:uiPriority w:val="99"/>
    <w:pPr>
      <w:pBdr/>
      <w:spacing/>
      <w:ind/>
    </w:pPr>
    <w:tblPr>
      <w:tblStyleRowBandSize w:val="1"/>
      <w:tblStyleColBandSize w:val="1"/>
      <w:tblInd w:w="0" w:type="dxa"/>
      <w:tblBorders>
        <w:top w:val="single" w:color="6f6f6f" w:themeColor="text1" w:themeTint="90" w:sz="4" w:space="0"/>
        <w:bottom w:val="single" w:color="6f6f6f" w:themeColor="text1" w:themeTint="90" w:sz="4" w:space="0"/>
        <w:insideH w:val="single" w:color="6f6f6f" w:themeColor="text1" w:themeTint="90" w:sz="4" w:space="0"/>
      </w:tblBorders>
      <w:tblCellMar>
        <w:left w:w="108" w:type="dxa"/>
        <w:top w:w="0" w:type="dxa"/>
        <w:right w:w="108" w:type="dxa"/>
        <w:bottom w:w="0" w:type="dxa"/>
      </w:tblCellMar>
    </w:tblPr>
    <w:tcPr>
      <w:tcBorders/>
    </w:tcPr>
    <w:tblStylePr w:type="band1Horz">
      <w:rPr>
        <w:color w:val="404040"/>
        <w:sz w:val="22"/>
      </w:rPr>
      <w:pPr>
        <w:pBdr/>
        <w:spacing/>
        <w:ind/>
      </w:pPr>
      <w:tblPr>
        <w:tblBorders/>
      </w:tblPr>
      <w:tcPr>
        <w:shd w:val="clear" w:color="bfbfbf" w:fill="bfbfbf" w:themeFill="text1" w:themeFillTint="40"/>
        <w:tcBorders/>
      </w:tcPr>
    </w:tblStylePr>
    <w:tblStylePr w:type="band1Vert">
      <w:rPr>
        <w:color w:val="404040"/>
        <w:sz w:val="22"/>
      </w:rPr>
      <w:pPr>
        <w:pBdr/>
        <w:spacing/>
        <w:ind/>
      </w:pPr>
      <w:tblPr>
        <w:tblBorders/>
      </w:tblPr>
      <w:tcPr>
        <w:shd w:val="clear" w:color="bfbfbf"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sz w:val="22"/>
      </w:rPr>
      <w:pPr>
        <w:pBdr/>
        <w:spacing/>
        <w:ind/>
      </w:pPr>
      <w:tblPr>
        <w:tblBorders/>
      </w:tblPr>
      <w:tcPr>
        <w:tcBorders/>
      </w:tcPr>
    </w:tblStylePr>
    <w:tblStylePr w:type="firstRow">
      <w:rPr>
        <w:b/>
        <w:color w:val="404040"/>
        <w:sz w:val="22"/>
      </w:rPr>
      <w:pPr>
        <w:pBdr/>
        <w:spacing/>
        <w:ind/>
      </w:pPr>
      <w:tblPr>
        <w:tblBorders/>
      </w:tblPr>
      <w:tcPr>
        <w:tcBorders>
          <w:top w:val="single" w:color="000000" w:themeColor="text1" w:sz="4" w:space="0"/>
          <w:left w:val="none" w:color="000000" w:sz="4" w:space="0"/>
          <w:bottom w:val="single" w:color="000000" w:themeColor="text1" w:sz="4" w:space="0"/>
          <w:right w:val="none" w:color="000000" w:sz="4" w:space="0"/>
        </w:tcBorders>
      </w:tcPr>
    </w:tblStylePr>
    <w:tblStylePr w:type="lastCol">
      <w:rPr>
        <w:b/>
        <w:color w:val="404040"/>
        <w:sz w:val="22"/>
      </w:rPr>
      <w:pPr>
        <w:pBdr/>
        <w:spacing/>
        <w:ind/>
      </w:pPr>
      <w:tblPr>
        <w:tblBorders/>
      </w:tblPr>
      <w:tcPr>
        <w:tcBorders/>
      </w:tcPr>
    </w:tblStylePr>
    <w:tblStylePr w:type="lastRow">
      <w:rPr>
        <w:b/>
        <w:color w:val="404040"/>
        <w:sz w:val="22"/>
      </w:rPr>
      <w:pPr>
        <w:pBdr/>
        <w:spacing/>
        <w:ind/>
      </w:pPr>
      <w:tblPr>
        <w:tblBorders/>
      </w:tblPr>
      <w:tcPr>
        <w:tcBorders>
          <w:top w:val="single" w:color="000000" w:themeColor="text1" w:sz="4" w:space="0"/>
          <w:left w:val="none" w:color="000000" w:sz="4" w:space="0"/>
          <w:bottom w:val="single" w:color="000000" w:themeColor="text1"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71" w:customStyle="1">
    <w:name w:val="List Table 2 - Accent 1"/>
    <w:basedOn w:val="892"/>
    <w:uiPriority w:val="99"/>
    <w:pPr>
      <w:pBdr/>
      <w:spacing/>
      <w:ind/>
    </w:pPr>
    <w:tblPr>
      <w:tblStyleRowBandSize w:val="1"/>
      <w:tblStyleColBandSize w:val="1"/>
      <w:tblInd w:w="0" w:type="dxa"/>
      <w:tblBorders>
        <w:top w:val="single" w:color="95afdd" w:themeColor="accent1" w:themeTint="90" w:sz="4" w:space="0"/>
        <w:bottom w:val="single" w:color="95afdd" w:themeColor="accent1" w:themeTint="90" w:sz="4" w:space="0"/>
        <w:insideH w:val="single" w:color="95afdd" w:themeColor="accent1" w:themeTint="90" w:sz="4" w:space="0"/>
      </w:tblBorders>
      <w:tblCellMar>
        <w:left w:w="108" w:type="dxa"/>
        <w:top w:w="0" w:type="dxa"/>
        <w:right w:w="108" w:type="dxa"/>
        <w:bottom w:w="0" w:type="dxa"/>
      </w:tblCellMar>
    </w:tblPr>
    <w:tcPr>
      <w:tcBorders/>
    </w:tcPr>
    <w:tblStylePr w:type="band1Horz">
      <w:rPr>
        <w:color w:val="404040"/>
        <w:sz w:val="22"/>
      </w:rPr>
      <w:pPr>
        <w:pBdr/>
        <w:spacing/>
        <w:ind/>
      </w:pPr>
      <w:tblPr>
        <w:tblBorders/>
      </w:tblPr>
      <w:tcPr>
        <w:shd w:val="clear" w:color="cfdbf0" w:fill="cfdbf0" w:themeFill="accent1" w:themeFillTint="40"/>
        <w:tcBorders/>
      </w:tcPr>
    </w:tblStylePr>
    <w:tblStylePr w:type="band1Vert">
      <w:rPr>
        <w:color w:val="404040"/>
        <w:sz w:val="22"/>
      </w:rPr>
      <w:pPr>
        <w:pBdr/>
        <w:spacing/>
        <w:ind/>
      </w:pPr>
      <w:tblPr>
        <w:tblBorders/>
      </w:tblPr>
      <w:tcPr>
        <w:shd w:val="clear" w:color="cfdbf0" w:fill="cfdbf0"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sz w:val="22"/>
      </w:rPr>
      <w:pPr>
        <w:pBdr/>
        <w:spacing/>
        <w:ind/>
      </w:pPr>
      <w:tblPr>
        <w:tblBorders/>
      </w:tblPr>
      <w:tcPr>
        <w:tcBorders/>
      </w:tcPr>
    </w:tblStylePr>
    <w:tblStylePr w:type="firstRow">
      <w:rPr>
        <w:b/>
        <w:color w:val="404040"/>
        <w:sz w:val="22"/>
      </w:rPr>
      <w:pPr>
        <w:pBdr/>
        <w:spacing/>
        <w:ind/>
      </w:pPr>
      <w:tblPr>
        <w:tblBorders/>
      </w:tblPr>
      <w:tcPr>
        <w:tcBorders>
          <w:top w:val="single" w:color="4472c4" w:themeColor="accent1" w:sz="4" w:space="0"/>
          <w:left w:val="none" w:color="000000" w:sz="4" w:space="0"/>
          <w:bottom w:val="single" w:color="4472c4" w:themeColor="accent1" w:sz="4" w:space="0"/>
          <w:right w:val="none" w:color="000000" w:sz="4" w:space="0"/>
        </w:tcBorders>
      </w:tcPr>
    </w:tblStylePr>
    <w:tblStylePr w:type="lastCol">
      <w:rPr>
        <w:b/>
        <w:color w:val="404040"/>
        <w:sz w:val="22"/>
      </w:rPr>
      <w:pPr>
        <w:pBdr/>
        <w:spacing/>
        <w:ind/>
      </w:pPr>
      <w:tblPr>
        <w:tblBorders/>
      </w:tblPr>
      <w:tcPr>
        <w:tcBorders/>
      </w:tcPr>
    </w:tblStylePr>
    <w:tblStylePr w:type="lastRow">
      <w:rPr>
        <w:b/>
        <w:color w:val="404040"/>
        <w:sz w:val="22"/>
      </w:rPr>
      <w:pPr>
        <w:pBdr/>
        <w:spacing/>
        <w:ind/>
      </w:pPr>
      <w:tblPr>
        <w:tblBorders/>
      </w:tblPr>
      <w:tcPr>
        <w:tcBorders>
          <w:top w:val="single" w:color="4472c4" w:themeColor="accent1" w:sz="4" w:space="0"/>
          <w:left w:val="none" w:color="000000" w:sz="4" w:space="0"/>
          <w:bottom w:val="single" w:color="4472c4" w:themeColor="accent1"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72" w:customStyle="1">
    <w:name w:val="List Table 2 - Accent 2"/>
    <w:basedOn w:val="892"/>
    <w:uiPriority w:val="99"/>
    <w:pPr>
      <w:pBdr/>
      <w:spacing/>
      <w:ind/>
    </w:pPr>
    <w:tblPr>
      <w:tblStyleRowBandSize w:val="1"/>
      <w:tblStyleColBandSize w:val="1"/>
      <w:tblInd w:w="0" w:type="dxa"/>
      <w:tblBorders>
        <w:top w:val="single" w:color="f4b58a" w:themeColor="accent2" w:themeTint="90" w:sz="4" w:space="0"/>
        <w:bottom w:val="single" w:color="f4b58a" w:themeColor="accent2" w:themeTint="90" w:sz="4" w:space="0"/>
        <w:insideH w:val="single" w:color="f4b58a" w:themeColor="accent2" w:themeTint="90" w:sz="4" w:space="0"/>
      </w:tblBorders>
      <w:tblCellMar>
        <w:left w:w="108" w:type="dxa"/>
        <w:top w:w="0" w:type="dxa"/>
        <w:right w:w="108" w:type="dxa"/>
        <w:bottom w:w="0" w:type="dxa"/>
      </w:tblCellMar>
    </w:tblPr>
    <w:tcPr>
      <w:tcBorders/>
    </w:tcPr>
    <w:tblStylePr w:type="band1Horz">
      <w:rPr>
        <w:color w:val="404040"/>
        <w:sz w:val="22"/>
      </w:rPr>
      <w:pPr>
        <w:pBdr/>
        <w:spacing/>
        <w:ind/>
      </w:pPr>
      <w:tblPr>
        <w:tblBorders/>
      </w:tblPr>
      <w:tcPr>
        <w:shd w:val="clear" w:color="fadecb" w:fill="fadecb" w:themeFill="accent2" w:themeFillTint="40"/>
        <w:tcBorders/>
      </w:tcPr>
    </w:tblStylePr>
    <w:tblStylePr w:type="band1Vert">
      <w:rPr>
        <w:color w:val="404040"/>
        <w:sz w:val="22"/>
      </w:rPr>
      <w:pPr>
        <w:pBdr/>
        <w:spacing/>
        <w:ind/>
      </w:pPr>
      <w:tblPr>
        <w:tblBorders/>
      </w:tblPr>
      <w:tcPr>
        <w:shd w:val="clear" w:color="fadecb"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sz w:val="22"/>
      </w:rPr>
      <w:pPr>
        <w:pBdr/>
        <w:spacing/>
        <w:ind/>
      </w:pPr>
      <w:tblPr>
        <w:tblBorders/>
      </w:tblPr>
      <w:tcPr>
        <w:tcBorders/>
      </w:tcPr>
    </w:tblStylePr>
    <w:tblStylePr w:type="firstRow">
      <w:rPr>
        <w:b/>
        <w:color w:val="404040"/>
        <w:sz w:val="22"/>
      </w:rPr>
      <w:pPr>
        <w:pBdr/>
        <w:spacing/>
        <w:ind/>
      </w:pPr>
      <w:tblPr>
        <w:tblBorders/>
      </w:tblPr>
      <w:tcPr>
        <w:tcBorders>
          <w:top w:val="single" w:color="ed7d31" w:themeColor="accent2" w:sz="4" w:space="0"/>
          <w:left w:val="none" w:color="000000" w:sz="4" w:space="0"/>
          <w:bottom w:val="single" w:color="ed7d31" w:themeColor="accent2" w:sz="4" w:space="0"/>
          <w:right w:val="none" w:color="000000" w:sz="4" w:space="0"/>
        </w:tcBorders>
      </w:tcPr>
    </w:tblStylePr>
    <w:tblStylePr w:type="lastCol">
      <w:rPr>
        <w:b/>
        <w:color w:val="404040"/>
        <w:sz w:val="22"/>
      </w:rPr>
      <w:pPr>
        <w:pBdr/>
        <w:spacing/>
        <w:ind/>
      </w:pPr>
      <w:tblPr>
        <w:tblBorders/>
      </w:tblPr>
      <w:tcPr>
        <w:tcBorders/>
      </w:tcPr>
    </w:tblStylePr>
    <w:tblStylePr w:type="lastRow">
      <w:rPr>
        <w:b/>
        <w:color w:val="404040"/>
        <w:sz w:val="22"/>
      </w:rPr>
      <w:pPr>
        <w:pBdr/>
        <w:spacing/>
        <w:ind/>
      </w:pPr>
      <w:tblPr>
        <w:tblBorders/>
      </w:tblPr>
      <w:tcPr>
        <w:tcBorders>
          <w:top w:val="single" w:color="ed7d31" w:themeColor="accent2" w:sz="4" w:space="0"/>
          <w:left w:val="none" w:color="000000" w:sz="4" w:space="0"/>
          <w:bottom w:val="single" w:color="ed7d31" w:themeColor="accent2"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73" w:customStyle="1">
    <w:name w:val="List Table 2 - Accent 3"/>
    <w:basedOn w:val="892"/>
    <w:uiPriority w:val="99"/>
    <w:pPr>
      <w:pBdr/>
      <w:spacing/>
      <w:ind/>
    </w:pPr>
    <w:tblPr>
      <w:tblStyleRowBandSize w:val="1"/>
      <w:tblStyleColBandSize w:val="1"/>
      <w:tblInd w:w="0" w:type="dxa"/>
      <w:tblBorders>
        <w:top w:val="single" w:color="cccccc" w:themeColor="accent3" w:themeTint="90" w:sz="4" w:space="0"/>
        <w:bottom w:val="single" w:color="cccccc" w:themeColor="accent3" w:themeTint="90" w:sz="4" w:space="0"/>
        <w:insideH w:val="single" w:color="cccccc" w:themeColor="accent3" w:themeTint="90" w:sz="4" w:space="0"/>
      </w:tblBorders>
      <w:tblCellMar>
        <w:left w:w="108" w:type="dxa"/>
        <w:top w:w="0" w:type="dxa"/>
        <w:right w:w="108" w:type="dxa"/>
        <w:bottom w:w="0" w:type="dxa"/>
      </w:tblCellMar>
    </w:tblPr>
    <w:tcPr>
      <w:tcBorders/>
    </w:tcPr>
    <w:tblStylePr w:type="band1Horz">
      <w:rPr>
        <w:color w:val="404040"/>
        <w:sz w:val="22"/>
      </w:rPr>
      <w:pPr>
        <w:pBdr/>
        <w:spacing/>
        <w:ind/>
      </w:pPr>
      <w:tblPr>
        <w:tblBorders/>
      </w:tblPr>
      <w:tcPr>
        <w:shd w:val="clear" w:color="e8e8e8" w:fill="e8e8e8" w:themeFill="accent3" w:themeFillTint="40"/>
        <w:tcBorders/>
      </w:tcPr>
    </w:tblStylePr>
    <w:tblStylePr w:type="band1Vert">
      <w:rPr>
        <w:color w:val="404040"/>
        <w:sz w:val="22"/>
      </w:rPr>
      <w:pPr>
        <w:pBdr/>
        <w:spacing/>
        <w:ind/>
      </w:pPr>
      <w:tblPr>
        <w:tblBorders/>
      </w:tblPr>
      <w:tcPr>
        <w:shd w:val="clear" w:color="e8e8e8"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sz w:val="22"/>
      </w:rPr>
      <w:pPr>
        <w:pBdr/>
        <w:spacing/>
        <w:ind/>
      </w:pPr>
      <w:tblPr>
        <w:tblBorders/>
      </w:tblPr>
      <w:tcPr>
        <w:tcBorders/>
      </w:tcPr>
    </w:tblStylePr>
    <w:tblStylePr w:type="firstRow">
      <w:rPr>
        <w:b/>
        <w:color w:val="404040"/>
        <w:sz w:val="22"/>
      </w:rPr>
      <w:pPr>
        <w:pBdr/>
        <w:spacing/>
        <w:ind/>
      </w:pPr>
      <w:tblPr>
        <w:tblBorders/>
      </w:tblPr>
      <w:tcPr>
        <w:tcBorders>
          <w:top w:val="single" w:color="a5a5a5" w:themeColor="accent3" w:sz="4" w:space="0"/>
          <w:left w:val="none" w:color="000000" w:sz="4" w:space="0"/>
          <w:bottom w:val="single" w:color="a5a5a5" w:themeColor="accent3" w:sz="4" w:space="0"/>
          <w:right w:val="none" w:color="000000" w:sz="4" w:space="0"/>
        </w:tcBorders>
      </w:tcPr>
    </w:tblStylePr>
    <w:tblStylePr w:type="lastCol">
      <w:rPr>
        <w:b/>
        <w:color w:val="404040"/>
        <w:sz w:val="22"/>
      </w:rPr>
      <w:pPr>
        <w:pBdr/>
        <w:spacing/>
        <w:ind/>
      </w:pPr>
      <w:tblPr>
        <w:tblBorders/>
      </w:tblPr>
      <w:tcPr>
        <w:tcBorders/>
      </w:tcPr>
    </w:tblStylePr>
    <w:tblStylePr w:type="lastRow">
      <w:rPr>
        <w:b/>
        <w:color w:val="404040"/>
        <w:sz w:val="22"/>
      </w:rPr>
      <w:pPr>
        <w:pBdr/>
        <w:spacing/>
        <w:ind/>
      </w:pPr>
      <w:tblPr>
        <w:tblBorders/>
      </w:tblPr>
      <w:tcPr>
        <w:tcBorders>
          <w:top w:val="single" w:color="a5a5a5" w:themeColor="accent3" w:sz="4" w:space="0"/>
          <w:left w:val="none" w:color="000000" w:sz="4" w:space="0"/>
          <w:bottom w:val="single" w:color="a5a5a5" w:themeColor="accent3"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74" w:customStyle="1">
    <w:name w:val="List Table 2 - Accent 4"/>
    <w:basedOn w:val="892"/>
    <w:uiPriority w:val="99"/>
    <w:pPr>
      <w:pBdr/>
      <w:spacing/>
      <w:ind/>
    </w:pPr>
    <w:tblPr>
      <w:tblStyleRowBandSize w:val="1"/>
      <w:tblStyleColBandSize w:val="1"/>
      <w:tblInd w:w="0" w:type="dxa"/>
      <w:tblBorders>
        <w:top w:val="single" w:color="ffdb6f" w:themeColor="accent4" w:themeTint="90" w:sz="4" w:space="0"/>
        <w:bottom w:val="single" w:color="ffdb6f" w:themeColor="accent4" w:themeTint="90" w:sz="4" w:space="0"/>
        <w:insideH w:val="single" w:color="ffdb6f" w:themeColor="accent4" w:themeTint="90" w:sz="4" w:space="0"/>
      </w:tblBorders>
      <w:tblCellMar>
        <w:left w:w="108" w:type="dxa"/>
        <w:top w:w="0" w:type="dxa"/>
        <w:right w:w="108" w:type="dxa"/>
        <w:bottom w:w="0" w:type="dxa"/>
      </w:tblCellMar>
    </w:tblPr>
    <w:tcPr>
      <w:tcBorders/>
    </w:tcPr>
    <w:tblStylePr w:type="band1Horz">
      <w:rPr>
        <w:color w:val="404040"/>
        <w:sz w:val="22"/>
      </w:rPr>
      <w:pPr>
        <w:pBdr/>
        <w:spacing/>
        <w:ind/>
      </w:pPr>
      <w:tblPr>
        <w:tblBorders/>
      </w:tblPr>
      <w:tcPr>
        <w:shd w:val="clear" w:color="ffefbf" w:fill="ffefbf" w:themeFill="accent4" w:themeFillTint="40"/>
        <w:tcBorders/>
      </w:tcPr>
    </w:tblStylePr>
    <w:tblStylePr w:type="band1Vert">
      <w:rPr>
        <w:color w:val="404040"/>
        <w:sz w:val="22"/>
      </w:rPr>
      <w:pPr>
        <w:pBdr/>
        <w:spacing/>
        <w:ind/>
      </w:pPr>
      <w:tblPr>
        <w:tblBorders/>
      </w:tblPr>
      <w:tcPr>
        <w:shd w:val="clear" w:color="ffefbf"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sz w:val="22"/>
      </w:rPr>
      <w:pPr>
        <w:pBdr/>
        <w:spacing/>
        <w:ind/>
      </w:pPr>
      <w:tblPr>
        <w:tblBorders/>
      </w:tblPr>
      <w:tcPr>
        <w:tcBorders/>
      </w:tcPr>
    </w:tblStylePr>
    <w:tblStylePr w:type="firstRow">
      <w:rPr>
        <w:b/>
        <w:color w:val="404040"/>
        <w:sz w:val="22"/>
      </w:rPr>
      <w:pPr>
        <w:pBdr/>
        <w:spacing/>
        <w:ind/>
      </w:pPr>
      <w:tblPr>
        <w:tblBorders/>
      </w:tblPr>
      <w:tcPr>
        <w:tcBorders>
          <w:top w:val="single" w:color="ffc000" w:themeColor="accent4" w:sz="4" w:space="0"/>
          <w:left w:val="none" w:color="000000" w:sz="4" w:space="0"/>
          <w:bottom w:val="single" w:color="ffc000" w:themeColor="accent4" w:sz="4" w:space="0"/>
          <w:right w:val="none" w:color="000000" w:sz="4" w:space="0"/>
        </w:tcBorders>
      </w:tcPr>
    </w:tblStylePr>
    <w:tblStylePr w:type="lastCol">
      <w:rPr>
        <w:b/>
        <w:color w:val="404040"/>
        <w:sz w:val="22"/>
      </w:rPr>
      <w:pPr>
        <w:pBdr/>
        <w:spacing/>
        <w:ind/>
      </w:pPr>
      <w:tblPr>
        <w:tblBorders/>
      </w:tblPr>
      <w:tcPr>
        <w:tcBorders/>
      </w:tcPr>
    </w:tblStylePr>
    <w:tblStylePr w:type="lastRow">
      <w:rPr>
        <w:b/>
        <w:color w:val="404040"/>
        <w:sz w:val="22"/>
      </w:rPr>
      <w:pPr>
        <w:pBdr/>
        <w:spacing/>
        <w:ind/>
      </w:pPr>
      <w:tblPr>
        <w:tblBorders/>
      </w:tblPr>
      <w:tcPr>
        <w:tcBorders>
          <w:top w:val="single" w:color="ffc000" w:themeColor="accent4" w:sz="4" w:space="0"/>
          <w:left w:val="none" w:color="000000" w:sz="4" w:space="0"/>
          <w:bottom w:val="single" w:color="ffc000" w:themeColor="accent4"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75" w:customStyle="1">
    <w:name w:val="List Table 2 - Accent 5"/>
    <w:basedOn w:val="892"/>
    <w:uiPriority w:val="99"/>
    <w:pPr>
      <w:pBdr/>
      <w:spacing/>
      <w:ind/>
    </w:pPr>
    <w:tblPr>
      <w:tblStyleRowBandSize w:val="1"/>
      <w:tblStyleColBandSize w:val="1"/>
      <w:tblInd w:w="0" w:type="dxa"/>
      <w:tblBorders>
        <w:top w:val="single" w:color="a2c6e7" w:themeColor="accent5" w:themeTint="90" w:sz="4" w:space="0"/>
        <w:bottom w:val="single" w:color="a2c6e7" w:themeColor="accent5" w:themeTint="90" w:sz="4" w:space="0"/>
        <w:insideH w:val="single" w:color="a2c6e7" w:themeColor="accent5" w:themeTint="90" w:sz="4" w:space="0"/>
      </w:tblBorders>
      <w:tblCellMar>
        <w:left w:w="108" w:type="dxa"/>
        <w:top w:w="0" w:type="dxa"/>
        <w:right w:w="108" w:type="dxa"/>
        <w:bottom w:w="0" w:type="dxa"/>
      </w:tblCellMar>
    </w:tblPr>
    <w:tcPr>
      <w:tcBorders/>
    </w:tcPr>
    <w:tblStylePr w:type="band1Horz">
      <w:rPr>
        <w:color w:val="404040"/>
        <w:sz w:val="22"/>
      </w:rPr>
      <w:pPr>
        <w:pBdr/>
        <w:spacing/>
        <w:ind/>
      </w:pPr>
      <w:tblPr>
        <w:tblBorders/>
      </w:tblPr>
      <w:tcPr>
        <w:shd w:val="clear" w:color="d5e5f4" w:fill="d5e5f4" w:themeFill="accent5" w:themeFillTint="40"/>
        <w:tcBorders/>
      </w:tcPr>
    </w:tblStylePr>
    <w:tblStylePr w:type="band1Vert">
      <w:rPr>
        <w:color w:val="404040"/>
        <w:sz w:val="22"/>
      </w:rPr>
      <w:pPr>
        <w:pBdr/>
        <w:spacing/>
        <w:ind/>
      </w:pPr>
      <w:tblPr>
        <w:tblBorders/>
      </w:tblPr>
      <w:tcPr>
        <w:shd w:val="clear" w:color="d5e5f4" w:fill="d5e5f4"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sz w:val="22"/>
      </w:rPr>
      <w:pPr>
        <w:pBdr/>
        <w:spacing/>
        <w:ind/>
      </w:pPr>
      <w:tblPr>
        <w:tblBorders/>
      </w:tblPr>
      <w:tcPr>
        <w:tcBorders/>
      </w:tcPr>
    </w:tblStylePr>
    <w:tblStylePr w:type="firstRow">
      <w:rPr>
        <w:b/>
        <w:color w:val="404040"/>
        <w:sz w:val="22"/>
      </w:rPr>
      <w:pPr>
        <w:pBdr/>
        <w:spacing/>
        <w:ind/>
      </w:pPr>
      <w:tblPr>
        <w:tblBorders/>
      </w:tblPr>
      <w:tcPr>
        <w:tcBorders>
          <w:top w:val="single" w:color="5b9bd5" w:themeColor="accent5" w:sz="4" w:space="0"/>
          <w:left w:val="none" w:color="000000" w:sz="4" w:space="0"/>
          <w:bottom w:val="single" w:color="5b9bd5" w:themeColor="accent5" w:sz="4" w:space="0"/>
          <w:right w:val="none" w:color="000000" w:sz="4" w:space="0"/>
        </w:tcBorders>
      </w:tcPr>
    </w:tblStylePr>
    <w:tblStylePr w:type="lastCol">
      <w:rPr>
        <w:b/>
        <w:color w:val="404040"/>
        <w:sz w:val="22"/>
      </w:rPr>
      <w:pPr>
        <w:pBdr/>
        <w:spacing/>
        <w:ind/>
      </w:pPr>
      <w:tblPr>
        <w:tblBorders/>
      </w:tblPr>
      <w:tcPr>
        <w:tcBorders/>
      </w:tcPr>
    </w:tblStylePr>
    <w:tblStylePr w:type="lastRow">
      <w:rPr>
        <w:b/>
        <w:color w:val="404040"/>
        <w:sz w:val="22"/>
      </w:rPr>
      <w:pPr>
        <w:pBdr/>
        <w:spacing/>
        <w:ind/>
      </w:pPr>
      <w:tblPr>
        <w:tblBorders/>
      </w:tblPr>
      <w:tcPr>
        <w:tcBorders>
          <w:top w:val="single" w:color="5b9bd5" w:themeColor="accent5" w:sz="4" w:space="0"/>
          <w:left w:val="none" w:color="000000" w:sz="4" w:space="0"/>
          <w:bottom w:val="single" w:color="5b9bd5" w:themeColor="accent5"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76" w:customStyle="1">
    <w:name w:val="List Table 2 - Accent 6"/>
    <w:basedOn w:val="892"/>
    <w:uiPriority w:val="99"/>
    <w:pPr>
      <w:pBdr/>
      <w:spacing/>
      <w:ind/>
    </w:pPr>
    <w:tblPr>
      <w:tblStyleRowBandSize w:val="1"/>
      <w:tblStyleColBandSize w:val="1"/>
      <w:tblInd w:w="0" w:type="dxa"/>
      <w:tblBorders>
        <w:top w:val="single" w:color="add394" w:themeColor="accent6" w:themeTint="90" w:sz="4" w:space="0"/>
        <w:bottom w:val="single" w:color="add394" w:themeColor="accent6" w:themeTint="90" w:sz="4" w:space="0"/>
        <w:insideH w:val="single" w:color="add394" w:themeColor="accent6" w:themeTint="90" w:sz="4" w:space="0"/>
      </w:tblBorders>
      <w:tblCellMar>
        <w:left w:w="108" w:type="dxa"/>
        <w:top w:w="0" w:type="dxa"/>
        <w:right w:w="108" w:type="dxa"/>
        <w:bottom w:w="0" w:type="dxa"/>
      </w:tblCellMar>
    </w:tblPr>
    <w:tcPr>
      <w:tcBorders/>
    </w:tcPr>
    <w:tblStylePr w:type="band1Horz">
      <w:rPr>
        <w:color w:val="404040"/>
        <w:sz w:val="22"/>
      </w:rPr>
      <w:pPr>
        <w:pBdr/>
        <w:spacing/>
        <w:ind/>
      </w:pPr>
      <w:tblPr>
        <w:tblBorders/>
      </w:tblPr>
      <w:tcPr>
        <w:shd w:val="clear" w:color="daebcf" w:fill="daebcf" w:themeFill="accent6" w:themeFillTint="40"/>
        <w:tcBorders/>
      </w:tcPr>
    </w:tblStylePr>
    <w:tblStylePr w:type="band1Vert">
      <w:rPr>
        <w:color w:val="404040"/>
        <w:sz w:val="22"/>
      </w:rPr>
      <w:pPr>
        <w:pBdr/>
        <w:spacing/>
        <w:ind/>
      </w:pPr>
      <w:tblPr>
        <w:tblBorders/>
      </w:tblPr>
      <w:tcPr>
        <w:shd w:val="clear" w:color="daebcf" w:fill="daebcf"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sz w:val="22"/>
      </w:rPr>
      <w:pPr>
        <w:pBdr/>
        <w:spacing/>
        <w:ind/>
      </w:pPr>
      <w:tblPr>
        <w:tblBorders/>
      </w:tblPr>
      <w:tcPr>
        <w:tcBorders/>
      </w:tcPr>
    </w:tblStylePr>
    <w:tblStylePr w:type="firstRow">
      <w:rPr>
        <w:b/>
        <w:color w:val="404040"/>
        <w:sz w:val="22"/>
      </w:rPr>
      <w:pPr>
        <w:pBdr/>
        <w:spacing/>
        <w:ind/>
      </w:pPr>
      <w:tblPr>
        <w:tblBorders/>
      </w:tblPr>
      <w:tcPr>
        <w:tcBorders>
          <w:top w:val="single" w:color="70ad47" w:themeColor="accent6" w:sz="4" w:space="0"/>
          <w:left w:val="none" w:color="000000" w:sz="4" w:space="0"/>
          <w:bottom w:val="single" w:color="70ad47" w:themeColor="accent6" w:sz="4" w:space="0"/>
          <w:right w:val="none" w:color="000000" w:sz="4" w:space="0"/>
        </w:tcBorders>
      </w:tcPr>
    </w:tblStylePr>
    <w:tblStylePr w:type="lastCol">
      <w:rPr>
        <w:b/>
        <w:color w:val="404040"/>
        <w:sz w:val="22"/>
      </w:rPr>
      <w:pPr>
        <w:pBdr/>
        <w:spacing/>
        <w:ind/>
      </w:pPr>
      <w:tblPr>
        <w:tblBorders/>
      </w:tblPr>
      <w:tcPr>
        <w:tcBorders/>
      </w:tcPr>
    </w:tblStylePr>
    <w:tblStylePr w:type="lastRow">
      <w:rPr>
        <w:b/>
        <w:color w:val="404040"/>
        <w:sz w:val="22"/>
      </w:rPr>
      <w:pPr>
        <w:pBdr/>
        <w:spacing/>
        <w:ind/>
      </w:pPr>
      <w:tblPr>
        <w:tblBorders/>
      </w:tblPr>
      <w:tcPr>
        <w:tcBorders>
          <w:top w:val="single" w:color="70ad47" w:themeColor="accent6" w:sz="4" w:space="0"/>
          <w:left w:val="none" w:color="000000" w:sz="4" w:space="0"/>
          <w:bottom w:val="single" w:color="70ad47" w:themeColor="accent6"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77" w:customStyle="1">
    <w:name w:val="List Table 3"/>
    <w:basedOn w:val="892"/>
    <w:uiPriority w:val="99"/>
    <w:pPr>
      <w:pBdr/>
      <w:spacing/>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CellMar>
        <w:left w:w="108" w:type="dxa"/>
        <w:top w:w="0" w:type="dxa"/>
        <w:right w:w="108" w:type="dxa"/>
        <w:bottom w:w="0" w:type="dxa"/>
      </w:tblCellMar>
    </w:tblPr>
    <w:tcPr>
      <w:tcBorders/>
    </w:tcPr>
    <w:tblStylePr w:type="band1Horz">
      <w:rPr>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ffffff"/>
        <w:sz w:val="22"/>
      </w:rPr>
      <w:pPr>
        <w:pBdr/>
        <w:spacing/>
        <w:ind/>
      </w:pPr>
      <w:tblPr>
        <w:tblBorders/>
      </w:tblPr>
      <w:tcPr>
        <w:shd w:val="clear" w:color="000000"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78" w:customStyle="1">
    <w:name w:val="List Table 3 - Accent 1"/>
    <w:basedOn w:val="892"/>
    <w:uiPriority w:val="99"/>
    <w:pPr>
      <w:pBdr/>
      <w:spacing/>
      <w:ind/>
    </w:pPr>
    <w:tblPr>
      <w:tblStyleRowBandSize w:val="1"/>
      <w:tblStyleColBandSize w:val="1"/>
      <w:tblInd w:w="0" w:type="dxa"/>
      <w:tblBorders>
        <w:top w:val="single" w:color="4472c4" w:themeColor="accent1" w:sz="4" w:space="0"/>
        <w:left w:val="single" w:color="4472c4" w:themeColor="accent1" w:sz="4" w:space="0"/>
        <w:bottom w:val="single" w:color="4472c4" w:themeColor="accent1" w:sz="4" w:space="0"/>
        <w:right w:val="single" w:color="4472c4" w:themeColor="accent1" w:sz="4" w:space="0"/>
      </w:tblBorders>
      <w:tblCellMar>
        <w:left w:w="108" w:type="dxa"/>
        <w:top w:w="0" w:type="dxa"/>
        <w:right w:w="108" w:type="dxa"/>
        <w:bottom w:w="0" w:type="dxa"/>
      </w:tblCellMar>
    </w:tblPr>
    <w:tcPr>
      <w:tcBorders/>
    </w:tcPr>
    <w:tblStylePr w:type="band1Horz">
      <w:rPr>
        <w:color w:val="404040"/>
        <w:sz w:val="22"/>
      </w:rPr>
      <w:pPr>
        <w:pBdr/>
        <w:spacing/>
        <w:ind/>
      </w:pPr>
      <w:tblPr>
        <w:tblBorders/>
      </w:tblPr>
      <w:tcPr>
        <w:tcBorders>
          <w:top w:val="single" w:color="4472c4" w:themeColor="accent1" w:sz="4" w:space="0"/>
          <w:bottom w:val="single" w:color="4472c4" w:themeColor="accent1" w:sz="4" w:space="0"/>
        </w:tcBorders>
      </w:tcPr>
    </w:tblStylePr>
    <w:tblStylePr w:type="band1Vert">
      <w:rPr>
        <w:color w:val="404040"/>
        <w:sz w:val="22"/>
      </w:rPr>
      <w:pPr>
        <w:pBdr/>
        <w:spacing/>
        <w:ind/>
      </w:pPr>
      <w:tblPr>
        <w:tblBorders/>
      </w:tblPr>
      <w:tcPr>
        <w:tcBorders>
          <w:left w:val="single" w:color="4472c4" w:themeColor="accent1" w:sz="4" w:space="0"/>
          <w:right w:val="single" w:color="4472c4"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ffffff"/>
        <w:sz w:val="22"/>
      </w:rPr>
      <w:pPr>
        <w:pBdr/>
        <w:spacing/>
        <w:ind/>
      </w:pPr>
      <w:tblPr>
        <w:tblBorders/>
      </w:tblPr>
      <w:tcPr>
        <w:shd w:val="clear" w:color="4472c4" w:fill="4472c4"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79" w:customStyle="1">
    <w:name w:val="List Table 3 - Accent 2"/>
    <w:basedOn w:val="892"/>
    <w:uiPriority w:val="99"/>
    <w:pPr>
      <w:pBdr/>
      <w:spacing/>
      <w:ind/>
    </w:pPr>
    <w:tblPr>
      <w:tblStyleRowBandSize w:val="1"/>
      <w:tblStyleColBandSize w:val="1"/>
      <w:tblInd w:w="0" w:type="dxa"/>
      <w:tbl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tblBorders>
      <w:tblCellMar>
        <w:left w:w="108" w:type="dxa"/>
        <w:top w:w="0" w:type="dxa"/>
        <w:right w:w="108" w:type="dxa"/>
        <w:bottom w:w="0" w:type="dxa"/>
      </w:tblCellMar>
    </w:tblPr>
    <w:tcPr>
      <w:tcBorders/>
    </w:tcPr>
    <w:tblStylePr w:type="band1Horz">
      <w:rPr>
        <w:color w:val="404040"/>
        <w:sz w:val="22"/>
      </w:rPr>
      <w:pPr>
        <w:pBdr/>
        <w:spacing/>
        <w:ind/>
      </w:pPr>
      <w:tblPr>
        <w:tblBorders/>
      </w:tblPr>
      <w:tcPr>
        <w:tcBorders>
          <w:top w:val="single" w:color="ed7d31" w:themeColor="accent2" w:sz="4" w:space="0"/>
          <w:bottom w:val="single" w:color="ed7d31" w:themeColor="accent2" w:sz="4" w:space="0"/>
        </w:tcBorders>
      </w:tcPr>
    </w:tblStylePr>
    <w:tblStylePr w:type="band1Vert">
      <w:rPr>
        <w:color w:val="404040"/>
        <w:sz w:val="22"/>
      </w:rPr>
      <w:pPr>
        <w:pBdr/>
        <w:spacing/>
        <w:ind/>
      </w:pPr>
      <w:tblPr>
        <w:tblBorders/>
      </w:tblPr>
      <w:tcPr>
        <w:tcBorders>
          <w:left w:val="single" w:color="ed7d31" w:themeColor="accent2" w:sz="4" w:space="0"/>
          <w:right w:val="single" w:color="ed7d31" w:themeColor="accent2"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ffffff"/>
        <w:sz w:val="22"/>
      </w:rPr>
      <w:pPr>
        <w:pBdr/>
        <w:spacing/>
        <w:ind/>
      </w:pPr>
      <w:tblPr>
        <w:tblBorders/>
      </w:tblPr>
      <w:tcPr>
        <w:shd w:val="clear" w:color="f4b184" w:fill="f4b184"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80" w:customStyle="1">
    <w:name w:val="List Table 3 - Accent 3"/>
    <w:basedOn w:val="892"/>
    <w:uiPriority w:val="99"/>
    <w:pPr>
      <w:pBdr/>
      <w:spacing/>
      <w:ind/>
    </w:pPr>
    <w:tblPr>
      <w:tblStyleRowBandSize w:val="1"/>
      <w:tblStyleColBandSize w:val="1"/>
      <w:tblInd w:w="0" w:type="dxa"/>
      <w:tblBorders>
        <w:top w:val="single" w:color="c9c9c9" w:themeColor="accent3" w:themeTint="98" w:sz="4" w:space="0"/>
        <w:left w:val="single" w:color="c9c9c9" w:themeColor="accent3" w:themeTint="98" w:sz="4" w:space="0"/>
        <w:bottom w:val="single" w:color="c9c9c9" w:themeColor="accent3" w:themeTint="98" w:sz="4" w:space="0"/>
        <w:right w:val="single" w:color="c9c9c9" w:themeColor="accent3" w:themeTint="98" w:sz="4" w:space="0"/>
      </w:tblBorders>
      <w:tblCellMar>
        <w:left w:w="108" w:type="dxa"/>
        <w:top w:w="0" w:type="dxa"/>
        <w:right w:w="108" w:type="dxa"/>
        <w:bottom w:w="0" w:type="dxa"/>
      </w:tblCellMar>
    </w:tblPr>
    <w:tcPr>
      <w:tcBorders/>
    </w:tcPr>
    <w:tblStylePr w:type="band1Horz">
      <w:rPr>
        <w:color w:val="404040"/>
        <w:sz w:val="22"/>
      </w:rPr>
      <w:pPr>
        <w:pBdr/>
        <w:spacing/>
        <w:ind/>
      </w:pPr>
      <w:tblPr>
        <w:tblBorders/>
      </w:tblPr>
      <w:tcPr>
        <w:tcBorders>
          <w:top w:val="single" w:color="a5a5a5" w:themeColor="accent3" w:sz="4" w:space="0"/>
          <w:bottom w:val="single" w:color="a5a5a5" w:themeColor="accent3" w:sz="4" w:space="0"/>
        </w:tcBorders>
      </w:tcPr>
    </w:tblStylePr>
    <w:tblStylePr w:type="band1Vert">
      <w:rPr>
        <w:color w:val="404040"/>
        <w:sz w:val="22"/>
      </w:rPr>
      <w:pPr>
        <w:pBdr/>
        <w:spacing/>
        <w:ind/>
      </w:pPr>
      <w:tblPr>
        <w:tblBorders/>
      </w:tblPr>
      <w:tcPr>
        <w:tcBorders>
          <w:left w:val="single" w:color="a5a5a5" w:themeColor="accent3" w:sz="4" w:space="0"/>
          <w:right w:val="single" w:color="a5a5a5" w:themeColor="accent3"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ffffff"/>
        <w:sz w:val="22"/>
      </w:rPr>
      <w:pPr>
        <w:pBdr/>
        <w:spacing/>
        <w:ind/>
      </w:pPr>
      <w:tblPr>
        <w:tblBorders/>
      </w:tblPr>
      <w:tcPr>
        <w:shd w:val="clear" w:color="c9c9c9" w:fill="c9c9c9"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81" w:customStyle="1">
    <w:name w:val="List Table 3 - Accent 4"/>
    <w:basedOn w:val="892"/>
    <w:uiPriority w:val="99"/>
    <w:pPr>
      <w:pBdr/>
      <w:spacing/>
      <w:ind/>
    </w:pPr>
    <w:tblPr>
      <w:tblStyleRowBandSize w:val="1"/>
      <w:tblStyleColBandSize w:val="1"/>
      <w:tblInd w:w="0" w:type="dxa"/>
      <w:tbl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tblBorders>
      <w:tblCellMar>
        <w:left w:w="108" w:type="dxa"/>
        <w:top w:w="0" w:type="dxa"/>
        <w:right w:w="108" w:type="dxa"/>
        <w:bottom w:w="0" w:type="dxa"/>
      </w:tblCellMar>
    </w:tblPr>
    <w:tcPr>
      <w:tcBorders/>
    </w:tcPr>
    <w:tblStylePr w:type="band1Horz">
      <w:rPr>
        <w:color w:val="404040"/>
        <w:sz w:val="22"/>
      </w:rPr>
      <w:pPr>
        <w:pBdr/>
        <w:spacing/>
        <w:ind/>
      </w:pPr>
      <w:tblPr>
        <w:tblBorders/>
      </w:tblPr>
      <w:tcPr>
        <w:tcBorders>
          <w:top w:val="single" w:color="ffc000" w:themeColor="accent4" w:sz="4" w:space="0"/>
          <w:bottom w:val="single" w:color="ffc000" w:themeColor="accent4" w:sz="4" w:space="0"/>
        </w:tcBorders>
      </w:tcPr>
    </w:tblStylePr>
    <w:tblStylePr w:type="band1Vert">
      <w:rPr>
        <w:color w:val="404040"/>
        <w:sz w:val="22"/>
      </w:rPr>
      <w:pPr>
        <w:pBdr/>
        <w:spacing/>
        <w:ind/>
      </w:pPr>
      <w:tblPr>
        <w:tblBorders/>
      </w:tblPr>
      <w:tcPr>
        <w:tcBorders>
          <w:left w:val="single" w:color="ffc000" w:themeColor="accent4" w:sz="4" w:space="0"/>
          <w:right w:val="single" w:color="ffc000" w:themeColor="accent4"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ffffff"/>
        <w:sz w:val="22"/>
      </w:rPr>
      <w:pPr>
        <w:pBdr/>
        <w:spacing/>
        <w:ind/>
      </w:pPr>
      <w:tblPr>
        <w:tblBorders/>
      </w:tblPr>
      <w:tcPr>
        <w:shd w:val="clear" w:color="ffd865" w:fill="ffd865"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82" w:customStyle="1">
    <w:name w:val="List Table 3 - Accent 5"/>
    <w:basedOn w:val="892"/>
    <w:uiPriority w:val="99"/>
    <w:pPr>
      <w:pBdr/>
      <w:spacing/>
      <w:ind/>
    </w:pPr>
    <w:tblPr>
      <w:tblStyleRowBandSize w:val="1"/>
      <w:tblStyleColBandSize w:val="1"/>
      <w:tblInd w:w="0" w:type="dxa"/>
      <w:tblBorders>
        <w:top w:val="single" w:color="9bc2e5" w:themeColor="accent5" w:themeTint="9A" w:sz="4" w:space="0"/>
        <w:left w:val="single" w:color="9bc2e5" w:themeColor="accent5" w:themeTint="9A" w:sz="4" w:space="0"/>
        <w:bottom w:val="single" w:color="9bc2e5" w:themeColor="accent5" w:themeTint="9A" w:sz="4" w:space="0"/>
        <w:right w:val="single" w:color="9bc2e5" w:themeColor="accent5" w:themeTint="9A" w:sz="4" w:space="0"/>
      </w:tblBorders>
      <w:tblCellMar>
        <w:left w:w="108" w:type="dxa"/>
        <w:top w:w="0" w:type="dxa"/>
        <w:right w:w="108" w:type="dxa"/>
        <w:bottom w:w="0" w:type="dxa"/>
      </w:tblCellMar>
    </w:tblPr>
    <w:tcPr>
      <w:tcBorders/>
    </w:tcPr>
    <w:tblStylePr w:type="band1Horz">
      <w:rPr>
        <w:color w:val="404040"/>
        <w:sz w:val="22"/>
      </w:rPr>
      <w:pPr>
        <w:pBdr/>
        <w:spacing/>
        <w:ind/>
      </w:pPr>
      <w:tblPr>
        <w:tblBorders/>
      </w:tblPr>
      <w:tcPr>
        <w:tcBorders>
          <w:top w:val="single" w:color="5b9bd5" w:themeColor="accent5" w:sz="4" w:space="0"/>
          <w:bottom w:val="single" w:color="5b9bd5" w:themeColor="accent5" w:sz="4" w:space="0"/>
        </w:tcBorders>
      </w:tcPr>
    </w:tblStylePr>
    <w:tblStylePr w:type="band1Vert">
      <w:rPr>
        <w:color w:val="404040"/>
        <w:sz w:val="22"/>
      </w:rPr>
      <w:pPr>
        <w:pBdr/>
        <w:spacing/>
        <w:ind/>
      </w:pPr>
      <w:tblPr>
        <w:tblBorders/>
      </w:tblPr>
      <w:tcPr>
        <w:tcBorders>
          <w:left w:val="single" w:color="5b9bd5" w:themeColor="accent5" w:sz="4" w:space="0"/>
          <w:right w:val="single" w:color="5b9bd5" w:themeColor="accent5"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ffffff"/>
        <w:sz w:val="22"/>
      </w:rPr>
      <w:pPr>
        <w:pBdr/>
        <w:spacing/>
        <w:ind/>
      </w:pPr>
      <w:tblPr>
        <w:tblBorders/>
      </w:tblPr>
      <w:tcPr>
        <w:shd w:val="clear" w:color="9bc2e5" w:fill="9bc2e5"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83" w:customStyle="1">
    <w:name w:val="List Table 3 - Accent 6"/>
    <w:basedOn w:val="892"/>
    <w:uiPriority w:val="99"/>
    <w:pPr>
      <w:pBdr/>
      <w:spacing/>
      <w:ind/>
    </w:pPr>
    <w:tblPr>
      <w:tblStyleRowBandSize w:val="1"/>
      <w:tblStyleColBandSize w:val="1"/>
      <w:tblInd w:w="0" w:type="dxa"/>
      <w:tblBorders>
        <w:top w:val="single" w:color="a9d08e" w:themeColor="accent6" w:themeTint="98" w:sz="4" w:space="0"/>
        <w:left w:val="single" w:color="a9d08e" w:themeColor="accent6" w:themeTint="98" w:sz="4" w:space="0"/>
        <w:bottom w:val="single" w:color="a9d08e" w:themeColor="accent6" w:themeTint="98" w:sz="4" w:space="0"/>
        <w:right w:val="single" w:color="a9d08e" w:themeColor="accent6" w:themeTint="98" w:sz="4" w:space="0"/>
      </w:tblBorders>
      <w:tblCellMar>
        <w:left w:w="108" w:type="dxa"/>
        <w:top w:w="0" w:type="dxa"/>
        <w:right w:w="108" w:type="dxa"/>
        <w:bottom w:w="0" w:type="dxa"/>
      </w:tblCellMar>
    </w:tblPr>
    <w:tcPr>
      <w:tcBorders/>
    </w:tcPr>
    <w:tblStylePr w:type="band1Horz">
      <w:rPr>
        <w:color w:val="404040"/>
        <w:sz w:val="22"/>
      </w:rPr>
      <w:pPr>
        <w:pBdr/>
        <w:spacing/>
        <w:ind/>
      </w:pPr>
      <w:tblPr>
        <w:tblBorders/>
      </w:tblPr>
      <w:tcPr>
        <w:tcBorders>
          <w:top w:val="single" w:color="70ad47" w:themeColor="accent6" w:sz="4" w:space="0"/>
          <w:bottom w:val="single" w:color="70ad47" w:themeColor="accent6" w:sz="4" w:space="0"/>
        </w:tcBorders>
      </w:tcPr>
    </w:tblStylePr>
    <w:tblStylePr w:type="band1Vert">
      <w:rPr>
        <w:color w:val="404040"/>
        <w:sz w:val="22"/>
      </w:rPr>
      <w:pPr>
        <w:pBdr/>
        <w:spacing/>
        <w:ind/>
      </w:pPr>
      <w:tblPr>
        <w:tblBorders/>
      </w:tblPr>
      <w:tcPr>
        <w:tcBorders>
          <w:left w:val="single" w:color="70ad47" w:themeColor="accent6" w:sz="4" w:space="0"/>
          <w:right w:val="single" w:color="70ad47" w:themeColor="accent6"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ffffff"/>
        <w:sz w:val="22"/>
      </w:rPr>
      <w:pPr>
        <w:pBdr/>
        <w:spacing/>
        <w:ind/>
      </w:pPr>
      <w:tblPr>
        <w:tblBorders/>
      </w:tblPr>
      <w:tcPr>
        <w:shd w:val="clear" w:color="a9d08e" w:fill="a9d08e"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84" w:customStyle="1">
    <w:name w:val="List Table 4"/>
    <w:basedOn w:val="892"/>
    <w:uiPriority w:val="99"/>
    <w:pPr>
      <w:pBdr/>
      <w:spacing/>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CellMar>
        <w:left w:w="108" w:type="dxa"/>
        <w:top w:w="0" w:type="dxa"/>
        <w:right w:w="108" w:type="dxa"/>
        <w:bottom w:w="0" w:type="dxa"/>
      </w:tblCellMar>
    </w:tblPr>
    <w:tcPr>
      <w:tcBorders/>
    </w:tcPr>
    <w:tblStylePr w:type="band1Horz">
      <w:rPr>
        <w:color w:val="404040"/>
        <w:sz w:val="22"/>
      </w:rPr>
      <w:pPr>
        <w:pBdr/>
        <w:spacing/>
        <w:ind/>
      </w:pPr>
      <w:tblPr>
        <w:tblBorders/>
      </w:tblPr>
      <w:tcPr>
        <w:shd w:val="clear" w:color="bfbfbf" w:fill="bfbfbf" w:themeFill="text1" w:themeFillTint="40"/>
        <w:tcBorders/>
      </w:tcPr>
    </w:tblStylePr>
    <w:tblStylePr w:type="band1Vert">
      <w:rPr>
        <w:color w:val="404040"/>
        <w:sz w:val="22"/>
      </w:rPr>
      <w:pPr>
        <w:pBdr/>
        <w:spacing/>
        <w:ind/>
      </w:pPr>
      <w:tblPr>
        <w:tblBorders/>
      </w:tblPr>
      <w:tcPr>
        <w:shd w:val="clear" w:color="bfbfbf"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ffffff"/>
        <w:sz w:val="22"/>
      </w:rPr>
      <w:pPr>
        <w:pBdr/>
        <w:spacing/>
        <w:ind/>
      </w:pPr>
      <w:tblPr>
        <w:tblBorders/>
      </w:tblPr>
      <w:tcPr>
        <w:shd w:val="clear" w:color="000000"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85" w:customStyle="1">
    <w:name w:val="List Table 4 - Accent 1"/>
    <w:basedOn w:val="892"/>
    <w:uiPriority w:val="99"/>
    <w:pPr>
      <w:pBdr/>
      <w:spacing/>
      <w:ind/>
    </w:pPr>
    <w:tblPr>
      <w:tblStyleRowBandSize w:val="1"/>
      <w:tblStyleColBandSize w:val="1"/>
      <w:tblInd w:w="0" w:type="dxa"/>
      <w:tblBorders>
        <w:top w:val="single" w:color="95afdd" w:themeColor="accent1" w:themeTint="90" w:sz="4" w:space="0"/>
        <w:left w:val="single" w:color="95afdd" w:themeColor="accent1" w:themeTint="90" w:sz="4" w:space="0"/>
        <w:bottom w:val="single" w:color="95afdd" w:themeColor="accent1" w:themeTint="90" w:sz="4" w:space="0"/>
        <w:right w:val="single" w:color="95afdd" w:themeColor="accent1" w:themeTint="90" w:sz="4" w:space="0"/>
        <w:insideH w:val="single" w:color="95afdd" w:themeColor="accent1" w:themeTint="90" w:sz="4" w:space="0"/>
      </w:tblBorders>
      <w:tblCellMar>
        <w:left w:w="108" w:type="dxa"/>
        <w:top w:w="0" w:type="dxa"/>
        <w:right w:w="108" w:type="dxa"/>
        <w:bottom w:w="0" w:type="dxa"/>
      </w:tblCellMar>
    </w:tblPr>
    <w:tcPr>
      <w:tcBorders/>
    </w:tcPr>
    <w:tblStylePr w:type="band1Horz">
      <w:rPr>
        <w:color w:val="404040"/>
        <w:sz w:val="22"/>
      </w:rPr>
      <w:pPr>
        <w:pBdr/>
        <w:spacing/>
        <w:ind/>
      </w:pPr>
      <w:tblPr>
        <w:tblBorders/>
      </w:tblPr>
      <w:tcPr>
        <w:shd w:val="clear" w:color="cfdbf0" w:fill="cfdbf0" w:themeFill="accent1" w:themeFillTint="40"/>
        <w:tcBorders/>
      </w:tcPr>
    </w:tblStylePr>
    <w:tblStylePr w:type="band1Vert">
      <w:rPr>
        <w:color w:val="404040"/>
        <w:sz w:val="22"/>
      </w:rPr>
      <w:pPr>
        <w:pBdr/>
        <w:spacing/>
        <w:ind/>
      </w:pPr>
      <w:tblPr>
        <w:tblBorders/>
      </w:tblPr>
      <w:tcPr>
        <w:shd w:val="clear" w:color="cfdbf0" w:fill="cfdbf0"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ffffff"/>
        <w:sz w:val="22"/>
      </w:rPr>
      <w:pPr>
        <w:pBdr/>
        <w:spacing/>
        <w:ind/>
      </w:pPr>
      <w:tblPr>
        <w:tblBorders/>
      </w:tblPr>
      <w:tcPr>
        <w:shd w:val="clear" w:color="4472c4" w:fill="4472c4"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86" w:customStyle="1">
    <w:name w:val="List Table 4 - Accent 2"/>
    <w:basedOn w:val="892"/>
    <w:uiPriority w:val="99"/>
    <w:pPr>
      <w:pBdr/>
      <w:spacing/>
      <w:ind/>
    </w:pPr>
    <w:tblPr>
      <w:tblStyleRowBandSize w:val="1"/>
      <w:tblStyleColBandSize w:val="1"/>
      <w:tblInd w:w="0" w:type="dxa"/>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tblBorders>
      <w:tblCellMar>
        <w:left w:w="108" w:type="dxa"/>
        <w:top w:w="0" w:type="dxa"/>
        <w:right w:w="108" w:type="dxa"/>
        <w:bottom w:w="0" w:type="dxa"/>
      </w:tblCellMar>
    </w:tblPr>
    <w:tcPr>
      <w:tcBorders/>
    </w:tcPr>
    <w:tblStylePr w:type="band1Horz">
      <w:rPr>
        <w:color w:val="404040"/>
        <w:sz w:val="22"/>
      </w:rPr>
      <w:pPr>
        <w:pBdr/>
        <w:spacing/>
        <w:ind/>
      </w:pPr>
      <w:tblPr>
        <w:tblBorders/>
      </w:tblPr>
      <w:tcPr>
        <w:shd w:val="clear" w:color="fadecb" w:fill="fadecb" w:themeFill="accent2" w:themeFillTint="40"/>
        <w:tcBorders/>
      </w:tcPr>
    </w:tblStylePr>
    <w:tblStylePr w:type="band1Vert">
      <w:rPr>
        <w:color w:val="404040"/>
        <w:sz w:val="22"/>
      </w:rPr>
      <w:pPr>
        <w:pBdr/>
        <w:spacing/>
        <w:ind/>
      </w:pPr>
      <w:tblPr>
        <w:tblBorders/>
      </w:tblPr>
      <w:tcPr>
        <w:shd w:val="clear" w:color="fadecb"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ffffff"/>
        <w:sz w:val="22"/>
      </w:rPr>
      <w:pPr>
        <w:pBdr/>
        <w:spacing/>
        <w:ind/>
      </w:pPr>
      <w:tblPr>
        <w:tblBorders/>
      </w:tblPr>
      <w:tcPr>
        <w:shd w:val="clear" w:color="ed7d31" w:fill="ed7d31"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87" w:customStyle="1">
    <w:name w:val="List Table 4 - Accent 3"/>
    <w:basedOn w:val="892"/>
    <w:uiPriority w:val="99"/>
    <w:pPr>
      <w:pBdr/>
      <w:spacing/>
      <w:ind/>
    </w:pPr>
    <w:tblPr>
      <w:tblStyleRowBandSize w:val="1"/>
      <w:tblStyleColBandSize w:val="1"/>
      <w:tblInd w:w="0" w:type="dxa"/>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tblBorders>
      <w:tblCellMar>
        <w:left w:w="108" w:type="dxa"/>
        <w:top w:w="0" w:type="dxa"/>
        <w:right w:w="108" w:type="dxa"/>
        <w:bottom w:w="0" w:type="dxa"/>
      </w:tblCellMar>
    </w:tblPr>
    <w:tcPr>
      <w:tcBorders/>
    </w:tcPr>
    <w:tblStylePr w:type="band1Horz">
      <w:rPr>
        <w:color w:val="404040"/>
        <w:sz w:val="22"/>
      </w:rPr>
      <w:pPr>
        <w:pBdr/>
        <w:spacing/>
        <w:ind/>
      </w:pPr>
      <w:tblPr>
        <w:tblBorders/>
      </w:tblPr>
      <w:tcPr>
        <w:shd w:val="clear" w:color="e8e8e8" w:fill="e8e8e8" w:themeFill="accent3" w:themeFillTint="40"/>
        <w:tcBorders/>
      </w:tcPr>
    </w:tblStylePr>
    <w:tblStylePr w:type="band1Vert">
      <w:rPr>
        <w:color w:val="404040"/>
        <w:sz w:val="22"/>
      </w:rPr>
      <w:pPr>
        <w:pBdr/>
        <w:spacing/>
        <w:ind/>
      </w:pPr>
      <w:tblPr>
        <w:tblBorders/>
      </w:tblPr>
      <w:tcPr>
        <w:shd w:val="clear" w:color="e8e8e8"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ffffff"/>
        <w:sz w:val="22"/>
      </w:rPr>
      <w:pPr>
        <w:pBdr/>
        <w:spacing/>
        <w:ind/>
      </w:pPr>
      <w:tblPr>
        <w:tblBorders/>
      </w:tblPr>
      <w:tcPr>
        <w:shd w:val="clear" w:color="a5a5a5" w:fill="a5a5a5"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88" w:customStyle="1">
    <w:name w:val="List Table 4 - Accent 4"/>
    <w:basedOn w:val="892"/>
    <w:uiPriority w:val="99"/>
    <w:pPr>
      <w:pBdr/>
      <w:spacing/>
      <w:ind/>
    </w:pPr>
    <w:tblPr>
      <w:tblStyleRowBandSize w:val="1"/>
      <w:tblStyleColBandSize w:val="1"/>
      <w:tblInd w:w="0" w:type="dxa"/>
      <w:tblBorders>
        <w:top w:val="single" w:color="ffdb6f" w:themeColor="accent4" w:themeTint="90" w:sz="4" w:space="0"/>
        <w:left w:val="single" w:color="ffdb6f" w:themeColor="accent4" w:themeTint="90" w:sz="4" w:space="0"/>
        <w:bottom w:val="single" w:color="ffdb6f" w:themeColor="accent4" w:themeTint="90" w:sz="4" w:space="0"/>
        <w:right w:val="single" w:color="ffdb6f" w:themeColor="accent4" w:themeTint="90" w:sz="4" w:space="0"/>
        <w:insideH w:val="single" w:color="ffdb6f" w:themeColor="accent4" w:themeTint="90" w:sz="4" w:space="0"/>
      </w:tblBorders>
      <w:tblCellMar>
        <w:left w:w="108" w:type="dxa"/>
        <w:top w:w="0" w:type="dxa"/>
        <w:right w:w="108" w:type="dxa"/>
        <w:bottom w:w="0" w:type="dxa"/>
      </w:tblCellMar>
    </w:tblPr>
    <w:tcPr>
      <w:tcBorders/>
    </w:tcPr>
    <w:tblStylePr w:type="band1Horz">
      <w:rPr>
        <w:color w:val="404040"/>
        <w:sz w:val="22"/>
      </w:rPr>
      <w:pPr>
        <w:pBdr/>
        <w:spacing/>
        <w:ind/>
      </w:pPr>
      <w:tblPr>
        <w:tblBorders/>
      </w:tblPr>
      <w:tcPr>
        <w:shd w:val="clear" w:color="ffefbf" w:fill="ffefbf" w:themeFill="accent4" w:themeFillTint="40"/>
        <w:tcBorders/>
      </w:tcPr>
    </w:tblStylePr>
    <w:tblStylePr w:type="band1Vert">
      <w:rPr>
        <w:color w:val="404040"/>
        <w:sz w:val="22"/>
      </w:rPr>
      <w:pPr>
        <w:pBdr/>
        <w:spacing/>
        <w:ind/>
      </w:pPr>
      <w:tblPr>
        <w:tblBorders/>
      </w:tblPr>
      <w:tcPr>
        <w:shd w:val="clear" w:color="ffefbf"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ffffff"/>
        <w:sz w:val="22"/>
      </w:rPr>
      <w:pPr>
        <w:pBdr/>
        <w:spacing/>
        <w:ind/>
      </w:pPr>
      <w:tblPr>
        <w:tblBorders/>
      </w:tblPr>
      <w:tcPr>
        <w:shd w:val="clear" w:color="ffc000" w:fill="ffc000"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89" w:customStyle="1">
    <w:name w:val="List Table 4 - Accent 5"/>
    <w:basedOn w:val="892"/>
    <w:uiPriority w:val="99"/>
    <w:pPr>
      <w:pBdr/>
      <w:spacing/>
      <w:ind/>
    </w:pPr>
    <w:tblPr>
      <w:tblStyleRowBandSize w:val="1"/>
      <w:tblStyleColBandSize w:val="1"/>
      <w:tblInd w:w="0" w:type="dxa"/>
      <w:tblBorders>
        <w:top w:val="single" w:color="a2c6e7" w:themeColor="accent5" w:themeTint="90" w:sz="4" w:space="0"/>
        <w:left w:val="single" w:color="a2c6e7" w:themeColor="accent5" w:themeTint="90" w:sz="4" w:space="0"/>
        <w:bottom w:val="single" w:color="a2c6e7" w:themeColor="accent5" w:themeTint="90" w:sz="4" w:space="0"/>
        <w:right w:val="single" w:color="a2c6e7" w:themeColor="accent5" w:themeTint="90" w:sz="4" w:space="0"/>
        <w:insideH w:val="single" w:color="a2c6e7" w:themeColor="accent5" w:themeTint="90" w:sz="4" w:space="0"/>
      </w:tblBorders>
      <w:tblCellMar>
        <w:left w:w="108" w:type="dxa"/>
        <w:top w:w="0" w:type="dxa"/>
        <w:right w:w="108" w:type="dxa"/>
        <w:bottom w:w="0" w:type="dxa"/>
      </w:tblCellMar>
    </w:tblPr>
    <w:tcPr>
      <w:tcBorders/>
    </w:tcPr>
    <w:tblStylePr w:type="band1Horz">
      <w:rPr>
        <w:color w:val="404040"/>
        <w:sz w:val="22"/>
      </w:rPr>
      <w:pPr>
        <w:pBdr/>
        <w:spacing/>
        <w:ind/>
      </w:pPr>
      <w:tblPr>
        <w:tblBorders/>
      </w:tblPr>
      <w:tcPr>
        <w:shd w:val="clear" w:color="d5e5f4" w:fill="d5e5f4" w:themeFill="accent5" w:themeFillTint="40"/>
        <w:tcBorders/>
      </w:tcPr>
    </w:tblStylePr>
    <w:tblStylePr w:type="band1Vert">
      <w:rPr>
        <w:color w:val="404040"/>
        <w:sz w:val="22"/>
      </w:rPr>
      <w:pPr>
        <w:pBdr/>
        <w:spacing/>
        <w:ind/>
      </w:pPr>
      <w:tblPr>
        <w:tblBorders/>
      </w:tblPr>
      <w:tcPr>
        <w:shd w:val="clear" w:color="d5e5f4" w:fill="d5e5f4"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ffffff"/>
        <w:sz w:val="22"/>
      </w:rPr>
      <w:pPr>
        <w:pBdr/>
        <w:spacing/>
        <w:ind/>
      </w:pPr>
      <w:tblPr>
        <w:tblBorders/>
      </w:tblPr>
      <w:tcPr>
        <w:shd w:val="clear" w:color="5b9bd5" w:fill="5b9bd5"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90" w:customStyle="1">
    <w:name w:val="List Table 4 - Accent 6"/>
    <w:basedOn w:val="892"/>
    <w:uiPriority w:val="99"/>
    <w:pPr>
      <w:pBdr/>
      <w:spacing/>
      <w:ind/>
    </w:pPr>
    <w:tblPr>
      <w:tblStyleRowBandSize w:val="1"/>
      <w:tblStyleColBandSize w:val="1"/>
      <w:tblInd w:w="0" w:type="dxa"/>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tblBorders>
      <w:tblCellMar>
        <w:left w:w="108" w:type="dxa"/>
        <w:top w:w="0" w:type="dxa"/>
        <w:right w:w="108" w:type="dxa"/>
        <w:bottom w:w="0" w:type="dxa"/>
      </w:tblCellMar>
    </w:tblPr>
    <w:tcPr>
      <w:tcBorders/>
    </w:tcPr>
    <w:tblStylePr w:type="band1Horz">
      <w:rPr>
        <w:color w:val="404040"/>
        <w:sz w:val="22"/>
      </w:rPr>
      <w:pPr>
        <w:pBdr/>
        <w:spacing/>
        <w:ind/>
      </w:pPr>
      <w:tblPr>
        <w:tblBorders/>
      </w:tblPr>
      <w:tcPr>
        <w:shd w:val="clear" w:color="daebcf" w:fill="daebcf" w:themeFill="accent6" w:themeFillTint="40"/>
        <w:tcBorders/>
      </w:tcPr>
    </w:tblStylePr>
    <w:tblStylePr w:type="band1Vert">
      <w:rPr>
        <w:color w:val="404040"/>
        <w:sz w:val="22"/>
      </w:rPr>
      <w:pPr>
        <w:pBdr/>
        <w:spacing/>
        <w:ind/>
      </w:pPr>
      <w:tblPr>
        <w:tblBorders/>
      </w:tblPr>
      <w:tcPr>
        <w:shd w:val="clear" w:color="daebcf" w:fill="daebcf"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ffffff"/>
        <w:sz w:val="22"/>
      </w:rPr>
      <w:pPr>
        <w:pBdr/>
        <w:spacing/>
        <w:ind/>
      </w:pPr>
      <w:tblPr>
        <w:tblBorders/>
      </w:tblPr>
      <w:tcPr>
        <w:shd w:val="clear" w:color="70ad47" w:fill="70ad47"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91" w:customStyle="1">
    <w:name w:val="List Table 5 Dark"/>
    <w:basedOn w:val="892"/>
    <w:uiPriority w:val="99"/>
    <w:pPr>
      <w:pBdr/>
      <w:spacing/>
      <w:ind/>
    </w:pPr>
    <w:tblPr>
      <w:tblStyleRowBandSize w:val="1"/>
      <w:tblStyleColBandSize w:val="1"/>
      <w:tblInd w:w="0" w:type="dxa"/>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tblCellMar>
        <w:left w:w="108" w:type="dxa"/>
        <w:top w:w="0" w:type="dxa"/>
        <w:right w:w="108" w:type="dxa"/>
        <w:bottom w:w="0" w:type="dxa"/>
      </w:tblCellMar>
    </w:tblPr>
    <w:tcPr>
      <w:tcBorders/>
    </w:tcPr>
    <w:tblStylePr w:type="band1Horz">
      <w:pPr>
        <w:pBdr/>
        <w:spacing/>
        <w:ind/>
      </w:pPr>
      <w:tblPr>
        <w:tblBorders/>
      </w:tblPr>
      <w:tcPr>
        <w:shd w:val="clear" w:color="7f7f7f" w:fill="7f7f7f" w:themeFill="text1" w:themeFillTint="80"/>
        <w:tcBorders>
          <w:top w:val="single" w:color="ffffff" w:themeColor="light1" w:sz="4" w:space="0"/>
          <w:bottom w:val="single" w:color="ffffff" w:themeColor="light1" w:sz="4" w:space="0"/>
        </w:tcBorders>
      </w:tcPr>
    </w:tblStylePr>
    <w:tblStylePr w:type="band1Vert">
      <w:pPr>
        <w:pBdr/>
        <w:spacing/>
        <w:ind/>
      </w:pPr>
      <w:tblPr>
        <w:tblBorders/>
      </w:tblPr>
      <w:tcPr>
        <w:shd w:val="clear" w:color="7f7f7f" w:fill="7f7f7f" w:themeFill="text1" w:themeFillTint="80"/>
        <w:tcBorders>
          <w:left w:val="single" w:color="ffffff" w:themeColor="light1" w:sz="4" w:space="0"/>
          <w:right w:val="single" w:color="ffffff" w:themeColor="light1" w:sz="4" w:space="0"/>
        </w:tcBorders>
      </w:tcPr>
    </w:tblStylePr>
    <w:tblStylePr w:type="band2Horz">
      <w:pPr>
        <w:pBdr/>
        <w:spacing/>
        <w:ind/>
      </w:pPr>
      <w:tblPr>
        <w:tblBorders/>
      </w:tblPr>
      <w:tcPr>
        <w:shd w:val="clear" w:color="7f7f7f" w:fill="7f7f7f" w:themeFill="text1" w:themeFillTint="80"/>
        <w:tcBorders>
          <w:top w:val="single" w:color="ffffff" w:themeColor="light1" w:sz="4" w:space="0"/>
          <w:bottom w:val="single" w:color="ffffff" w:themeColor="light1" w:sz="4" w:space="0"/>
        </w:tcBorders>
      </w:tcPr>
    </w:tblStylePr>
    <w:tblStylePr w:type="band2Vert">
      <w:pPr>
        <w:pBdr/>
        <w:spacing/>
        <w:ind/>
      </w:pPr>
      <w:tblPr>
        <w:tblBorders/>
      </w:tblPr>
      <w:tcPr>
        <w:tcBorders>
          <w:left w:val="single" w:color="ffffff" w:themeColor="light1" w:sz="4" w:space="0"/>
          <w:right w:val="single" w:color="ffffff" w:themeColor="light1" w:sz="4" w:space="0"/>
        </w:tcBorders>
      </w:tcPr>
    </w:tblStylePr>
    <w:tblStylePr w:type="firstCol">
      <w:rPr>
        <w:b/>
        <w:color w:val="ffffff" w:themeColor="light1"/>
        <w:sz w:val="22"/>
      </w:rPr>
      <w:pPr>
        <w:pBdr/>
        <w:spacing/>
        <w:ind/>
      </w:pPr>
      <w:tblPr>
        <w:tblBorders/>
      </w:tblPr>
      <w:tcPr>
        <w:tcBorders>
          <w:left w:val="single" w:color="000000" w:themeColor="text1" w:sz="32" w:space="0"/>
          <w:right w:val="single" w:color="ffffff" w:themeColor="light1" w:sz="4" w:space="0"/>
        </w:tcBorders>
      </w:tcPr>
    </w:tblStylePr>
    <w:tblStylePr w:type="firstRow">
      <w:rPr>
        <w:b/>
        <w:color w:val="ffffff" w:themeColor="light1"/>
        <w:sz w:val="22"/>
      </w:rPr>
      <w:pPr>
        <w:pBdr/>
        <w:spacing/>
        <w:ind/>
      </w:pPr>
      <w:tblPr>
        <w:tblBorders/>
      </w:tblPr>
      <w:tcPr>
        <w:shd w:val="clear" w:color="7f7f7f" w:fill="7f7f7f" w:themeFill="text1" w:themeFillTint="80"/>
        <w:tcBorders>
          <w:top w:val="single" w:color="000000" w:themeColor="text1" w:sz="32" w:space="0"/>
          <w:bottom w:val="single" w:color="ffffff" w:themeColor="light1" w:sz="12" w:space="0"/>
        </w:tcBorders>
      </w:tcPr>
    </w:tblStylePr>
    <w:tblStylePr w:type="lastCol">
      <w:pPr>
        <w:pBdr/>
        <w:spacing/>
        <w:ind/>
      </w:pPr>
      <w:tblPr>
        <w:tblBorders/>
      </w:tblPr>
      <w:tcPr>
        <w:tcBorders>
          <w:left w:val="single" w:color="ffffff" w:themeColor="light1" w:sz="4" w:space="0"/>
          <w:right w:val="single" w:color="000000" w:themeColor="text1" w:sz="32" w:space="0"/>
        </w:tcBorders>
      </w:tcPr>
    </w:tblStylePr>
    <w:tblStylePr w:type="lastRow">
      <w:rPr>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92" w:customStyle="1">
    <w:name w:val="List Table 5 Dark - Accent 1"/>
    <w:basedOn w:val="892"/>
    <w:uiPriority w:val="99"/>
    <w:pPr>
      <w:pBdr/>
      <w:spacing/>
      <w:ind/>
    </w:pPr>
    <w:tblPr>
      <w:tblStyleRowBandSize w:val="1"/>
      <w:tblStyleColBandSize w:val="1"/>
      <w:tblInd w:w="0" w:type="dxa"/>
      <w:tblBorders>
        <w:top w:val="single" w:color="4472c4" w:themeColor="accent1" w:sz="32" w:space="0"/>
        <w:left w:val="single" w:color="4472c4" w:themeColor="accent1" w:sz="32" w:space="0"/>
        <w:bottom w:val="single" w:color="4472c4" w:themeColor="accent1" w:sz="32" w:space="0"/>
        <w:right w:val="single" w:color="4472c4" w:themeColor="accent1" w:sz="32" w:space="0"/>
      </w:tblBorders>
      <w:tblCellMar>
        <w:left w:w="108" w:type="dxa"/>
        <w:top w:w="0" w:type="dxa"/>
        <w:right w:w="108" w:type="dxa"/>
        <w:bottom w:w="0" w:type="dxa"/>
      </w:tblCellMar>
    </w:tblPr>
    <w:tcPr>
      <w:tcBorders/>
    </w:tcPr>
    <w:tblStylePr w:type="band1Horz">
      <w:pPr>
        <w:pBdr/>
        <w:spacing/>
        <w:ind/>
      </w:pPr>
      <w:tblPr>
        <w:tblBorders/>
      </w:tblPr>
      <w:tcPr>
        <w:shd w:val="clear" w:color="4472c4" w:fill="4472c4" w:themeFill="accent1"/>
        <w:tcBorders>
          <w:top w:val="single" w:color="ffffff" w:themeColor="light1" w:sz="4" w:space="0"/>
          <w:bottom w:val="single" w:color="ffffff" w:themeColor="light1" w:sz="4" w:space="0"/>
        </w:tcBorders>
      </w:tcPr>
    </w:tblStylePr>
    <w:tblStylePr w:type="band1Vert">
      <w:pPr>
        <w:pBdr/>
        <w:spacing/>
        <w:ind/>
      </w:pPr>
      <w:tblPr>
        <w:tblBorders/>
      </w:tblPr>
      <w:tcPr>
        <w:shd w:val="clear" w:color="4472c4" w:fill="4472c4" w:themeFill="accent1"/>
        <w:tcBorders>
          <w:left w:val="single" w:color="ffffff" w:themeColor="light1" w:sz="4" w:space="0"/>
          <w:right w:val="single" w:color="ffffff" w:themeColor="light1" w:sz="4" w:space="0"/>
        </w:tcBorders>
      </w:tcPr>
    </w:tblStylePr>
    <w:tblStylePr w:type="band2Horz">
      <w:pPr>
        <w:pBdr/>
        <w:spacing/>
        <w:ind/>
      </w:pPr>
      <w:tblPr>
        <w:tblBorders/>
      </w:tblPr>
      <w:tcPr>
        <w:shd w:val="clear" w:color="4472c4" w:fill="4472c4" w:themeFill="accent1"/>
        <w:tcBorders>
          <w:top w:val="single" w:color="ffffff" w:themeColor="light1" w:sz="4" w:space="0"/>
          <w:bottom w:val="single" w:color="ffffff" w:themeColor="light1" w:sz="4" w:space="0"/>
        </w:tcBorders>
      </w:tcPr>
    </w:tblStylePr>
    <w:tblStylePr w:type="band2Vert">
      <w:pPr>
        <w:pBdr/>
        <w:spacing/>
        <w:ind/>
      </w:pPr>
      <w:tblPr>
        <w:tblBorders/>
      </w:tblPr>
      <w:tcPr>
        <w:tcBorders>
          <w:left w:val="single" w:color="ffffff" w:themeColor="light1" w:sz="4" w:space="0"/>
          <w:right w:val="single" w:color="ffffff" w:themeColor="light1" w:sz="4" w:space="0"/>
        </w:tcBorders>
      </w:tcPr>
    </w:tblStylePr>
    <w:tblStylePr w:type="firstCol">
      <w:rPr>
        <w:b/>
        <w:color w:val="ffffff" w:themeColor="light1"/>
        <w:sz w:val="22"/>
      </w:rPr>
      <w:pPr>
        <w:pBdr/>
        <w:spacing/>
        <w:ind/>
      </w:pPr>
      <w:tblPr>
        <w:tblBorders/>
      </w:tblPr>
      <w:tcPr>
        <w:tcBorders>
          <w:left w:val="single" w:color="4472c4" w:themeColor="accent1" w:sz="32" w:space="0"/>
          <w:right w:val="single" w:color="ffffff" w:themeColor="light1" w:sz="4" w:space="0"/>
        </w:tcBorders>
      </w:tcPr>
    </w:tblStylePr>
    <w:tblStylePr w:type="firstRow">
      <w:rPr>
        <w:b/>
        <w:color w:val="ffffff" w:themeColor="light1"/>
        <w:sz w:val="22"/>
      </w:rPr>
      <w:pPr>
        <w:pBdr/>
        <w:spacing/>
        <w:ind/>
      </w:pPr>
      <w:tblPr>
        <w:tblBorders/>
      </w:tblPr>
      <w:tcPr>
        <w:shd w:val="clear" w:color="4472c4" w:fill="4472c4" w:themeFill="accent1"/>
        <w:tcBorders>
          <w:top w:val="single" w:color="4472c4" w:themeColor="accent1" w:sz="32" w:space="0"/>
          <w:bottom w:val="single" w:color="ffffff" w:themeColor="light1" w:sz="12" w:space="0"/>
        </w:tcBorders>
      </w:tcPr>
    </w:tblStylePr>
    <w:tblStylePr w:type="lastCol">
      <w:pPr>
        <w:pBdr/>
        <w:spacing/>
        <w:ind/>
      </w:pPr>
      <w:tblPr>
        <w:tblBorders/>
      </w:tblPr>
      <w:tcPr>
        <w:tcBorders>
          <w:left w:val="single" w:color="ffffff" w:themeColor="light1" w:sz="4" w:space="0"/>
          <w:right w:val="single" w:color="4472c4" w:themeColor="accent1" w:sz="32" w:space="0"/>
        </w:tcBorders>
      </w:tcPr>
    </w:tblStylePr>
    <w:tblStylePr w:type="lastRow">
      <w:rPr>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93" w:customStyle="1">
    <w:name w:val="List Table 5 Dark - Accent 2"/>
    <w:basedOn w:val="892"/>
    <w:uiPriority w:val="99"/>
    <w:pPr>
      <w:pBdr/>
      <w:spacing/>
      <w:ind/>
    </w:pPr>
    <w:tblPr>
      <w:tblStyleRowBandSize w:val="1"/>
      <w:tblStyleColBandSize w:val="1"/>
      <w:tblInd w:w="0" w:type="dxa"/>
      <w:tblBorders>
        <w:top w:val="single" w:color="f4b184" w:themeColor="accent2" w:themeTint="97" w:sz="32" w:space="0"/>
        <w:left w:val="single" w:color="f4b184" w:themeColor="accent2" w:themeTint="97" w:sz="32" w:space="0"/>
        <w:bottom w:val="single" w:color="f4b184" w:themeColor="accent2" w:themeTint="97" w:sz="32" w:space="0"/>
        <w:right w:val="single" w:color="f4b184" w:themeColor="accent2" w:themeTint="97" w:sz="32" w:space="0"/>
      </w:tblBorders>
      <w:tblCellMar>
        <w:left w:w="108" w:type="dxa"/>
        <w:top w:w="0" w:type="dxa"/>
        <w:right w:w="108" w:type="dxa"/>
        <w:bottom w:w="0" w:type="dxa"/>
      </w:tblCellMar>
    </w:tblPr>
    <w:tcPr>
      <w:tcBorders/>
    </w:tcPr>
    <w:tblStylePr w:type="band1Horz">
      <w:pPr>
        <w:pBdr/>
        <w:spacing/>
        <w:ind/>
      </w:pPr>
      <w:tblPr>
        <w:tblBorders/>
      </w:tblPr>
      <w:tcPr>
        <w:shd w:val="clear" w:color="f4b184" w:fill="f4b184" w:themeFill="accent2" w:themeFillTint="97"/>
        <w:tcBorders>
          <w:top w:val="single" w:color="ffffff" w:themeColor="light1" w:sz="4" w:space="0"/>
          <w:bottom w:val="single" w:color="ffffff" w:themeColor="light1" w:sz="4" w:space="0"/>
        </w:tcBorders>
      </w:tcPr>
    </w:tblStylePr>
    <w:tblStylePr w:type="band1Vert">
      <w:pPr>
        <w:pBdr/>
        <w:spacing/>
        <w:ind/>
      </w:pPr>
      <w:tblPr>
        <w:tblBorders/>
      </w:tblPr>
      <w:tcPr>
        <w:shd w:val="clear" w:color="f4b184" w:fill="f4b184" w:themeFill="accent2" w:themeFillTint="97"/>
        <w:tcBorders>
          <w:left w:val="single" w:color="ffffff" w:themeColor="light1" w:sz="4" w:space="0"/>
          <w:right w:val="single" w:color="ffffff" w:themeColor="light1" w:sz="4" w:space="0"/>
        </w:tcBorders>
      </w:tcPr>
    </w:tblStylePr>
    <w:tblStylePr w:type="band2Horz">
      <w:pPr>
        <w:pBdr/>
        <w:spacing/>
        <w:ind/>
      </w:pPr>
      <w:tblPr>
        <w:tblBorders/>
      </w:tblPr>
      <w:tcPr>
        <w:shd w:val="clear" w:color="f4b184" w:fill="f4b184" w:themeFill="accent2" w:themeFillTint="97"/>
        <w:tcBorders>
          <w:top w:val="single" w:color="ffffff" w:themeColor="light1" w:sz="4" w:space="0"/>
          <w:bottom w:val="single" w:color="ffffff" w:themeColor="light1" w:sz="4" w:space="0"/>
        </w:tcBorders>
      </w:tcPr>
    </w:tblStylePr>
    <w:tblStylePr w:type="band2Vert">
      <w:pPr>
        <w:pBdr/>
        <w:spacing/>
        <w:ind/>
      </w:pPr>
      <w:tblPr>
        <w:tblBorders/>
      </w:tblPr>
      <w:tcPr>
        <w:tcBorders>
          <w:left w:val="single" w:color="ffffff" w:themeColor="light1" w:sz="4" w:space="0"/>
          <w:right w:val="single" w:color="ffffff" w:themeColor="light1" w:sz="4" w:space="0"/>
        </w:tcBorders>
      </w:tcPr>
    </w:tblStylePr>
    <w:tblStylePr w:type="firstCol">
      <w:rPr>
        <w:b/>
        <w:color w:val="ffffff" w:themeColor="light1"/>
        <w:sz w:val="22"/>
      </w:rPr>
      <w:pPr>
        <w:pBdr/>
        <w:spacing/>
        <w:ind/>
      </w:pPr>
      <w:tblPr>
        <w:tblBorders/>
      </w:tblPr>
      <w:tcPr>
        <w:tcBorders>
          <w:left w:val="single" w:color="ed7d31" w:themeColor="accent2" w:sz="32" w:space="0"/>
          <w:right w:val="single" w:color="ffffff" w:themeColor="light1" w:sz="4" w:space="0"/>
        </w:tcBorders>
      </w:tcPr>
    </w:tblStylePr>
    <w:tblStylePr w:type="firstRow">
      <w:rPr>
        <w:b/>
        <w:color w:val="ffffff" w:themeColor="light1"/>
        <w:sz w:val="22"/>
      </w:rPr>
      <w:pPr>
        <w:pBdr/>
        <w:spacing/>
        <w:ind/>
      </w:pPr>
      <w:tblPr>
        <w:tblBorders/>
      </w:tblPr>
      <w:tcPr>
        <w:shd w:val="clear" w:color="f4b184" w:fill="f4b184" w:themeFill="accent2" w:themeFillTint="97"/>
        <w:tcBorders>
          <w:top w:val="single" w:color="ed7d31" w:themeColor="accent2" w:sz="32" w:space="0"/>
          <w:bottom w:val="single" w:color="ffffff" w:themeColor="light1" w:sz="12" w:space="0"/>
        </w:tcBorders>
      </w:tcPr>
    </w:tblStylePr>
    <w:tblStylePr w:type="lastCol">
      <w:pPr>
        <w:pBdr/>
        <w:spacing/>
        <w:ind/>
      </w:pPr>
      <w:tblPr>
        <w:tblBorders/>
      </w:tblPr>
      <w:tcPr>
        <w:tcBorders>
          <w:left w:val="single" w:color="ffffff" w:themeColor="light1" w:sz="4" w:space="0"/>
          <w:right w:val="single" w:color="ed7d31" w:themeColor="accent2" w:sz="32" w:space="0"/>
        </w:tcBorders>
      </w:tcPr>
    </w:tblStylePr>
    <w:tblStylePr w:type="lastRow">
      <w:rPr>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94" w:customStyle="1">
    <w:name w:val="List Table 5 Dark - Accent 3"/>
    <w:basedOn w:val="892"/>
    <w:uiPriority w:val="99"/>
    <w:pPr>
      <w:pBdr/>
      <w:spacing/>
      <w:ind/>
    </w:pPr>
    <w:tblPr>
      <w:tblStyleRowBandSize w:val="1"/>
      <w:tblStyleColBandSize w:val="1"/>
      <w:tblInd w:w="0" w:type="dxa"/>
      <w:tblBorders>
        <w:top w:val="single" w:color="c9c9c9" w:themeColor="accent3" w:themeTint="98" w:sz="32" w:space="0"/>
        <w:left w:val="single" w:color="c9c9c9" w:themeColor="accent3" w:themeTint="98" w:sz="32" w:space="0"/>
        <w:bottom w:val="single" w:color="c9c9c9" w:themeColor="accent3" w:themeTint="98" w:sz="32" w:space="0"/>
        <w:right w:val="single" w:color="c9c9c9" w:themeColor="accent3" w:themeTint="98" w:sz="32" w:space="0"/>
      </w:tblBorders>
      <w:tblCellMar>
        <w:left w:w="108" w:type="dxa"/>
        <w:top w:w="0" w:type="dxa"/>
        <w:right w:w="108" w:type="dxa"/>
        <w:bottom w:w="0" w:type="dxa"/>
      </w:tblCellMar>
    </w:tblPr>
    <w:tcPr>
      <w:tcBorders/>
    </w:tcPr>
    <w:tblStylePr w:type="band1Horz">
      <w:pPr>
        <w:pBdr/>
        <w:spacing/>
        <w:ind/>
      </w:pPr>
      <w:tblPr>
        <w:tblBorders/>
      </w:tblPr>
      <w:tcPr>
        <w:shd w:val="clear" w:color="c9c9c9" w:fill="c9c9c9" w:themeFill="accent3" w:themeFillTint="98"/>
        <w:tcBorders>
          <w:top w:val="single" w:color="ffffff" w:themeColor="light1" w:sz="4" w:space="0"/>
          <w:bottom w:val="single" w:color="ffffff" w:themeColor="light1" w:sz="4" w:space="0"/>
        </w:tcBorders>
      </w:tcPr>
    </w:tblStylePr>
    <w:tblStylePr w:type="band1Vert">
      <w:pPr>
        <w:pBdr/>
        <w:spacing/>
        <w:ind/>
      </w:pPr>
      <w:tblPr>
        <w:tblBorders/>
      </w:tblPr>
      <w:tcPr>
        <w:shd w:val="clear" w:color="c9c9c9" w:fill="c9c9c9" w:themeFill="accent3" w:themeFillTint="98"/>
        <w:tcBorders>
          <w:left w:val="single" w:color="ffffff" w:themeColor="light1" w:sz="4" w:space="0"/>
          <w:right w:val="single" w:color="ffffff" w:themeColor="light1" w:sz="4" w:space="0"/>
        </w:tcBorders>
      </w:tcPr>
    </w:tblStylePr>
    <w:tblStylePr w:type="band2Horz">
      <w:pPr>
        <w:pBdr/>
        <w:spacing/>
        <w:ind/>
      </w:pPr>
      <w:tblPr>
        <w:tblBorders/>
      </w:tblPr>
      <w:tcPr>
        <w:shd w:val="clear" w:color="c9c9c9" w:fill="c9c9c9" w:themeFill="accent3" w:themeFillTint="98"/>
        <w:tcBorders>
          <w:top w:val="single" w:color="ffffff" w:themeColor="light1" w:sz="4" w:space="0"/>
          <w:bottom w:val="single" w:color="ffffff" w:themeColor="light1" w:sz="4" w:space="0"/>
        </w:tcBorders>
      </w:tcPr>
    </w:tblStylePr>
    <w:tblStylePr w:type="band2Vert">
      <w:pPr>
        <w:pBdr/>
        <w:spacing/>
        <w:ind/>
      </w:pPr>
      <w:tblPr>
        <w:tblBorders/>
      </w:tblPr>
      <w:tcPr>
        <w:tcBorders>
          <w:left w:val="single" w:color="ffffff" w:themeColor="light1" w:sz="4" w:space="0"/>
          <w:right w:val="single" w:color="ffffff" w:themeColor="light1" w:sz="4" w:space="0"/>
        </w:tcBorders>
      </w:tcPr>
    </w:tblStylePr>
    <w:tblStylePr w:type="firstCol">
      <w:rPr>
        <w:b/>
        <w:color w:val="ffffff" w:themeColor="light1"/>
        <w:sz w:val="22"/>
      </w:rPr>
      <w:pPr>
        <w:pBdr/>
        <w:spacing/>
        <w:ind/>
      </w:pPr>
      <w:tblPr>
        <w:tblBorders/>
      </w:tblPr>
      <w:tcPr>
        <w:tcBorders>
          <w:left w:val="single" w:color="a5a5a5" w:themeColor="accent3" w:sz="32" w:space="0"/>
          <w:right w:val="single" w:color="ffffff" w:themeColor="light1" w:sz="4" w:space="0"/>
        </w:tcBorders>
      </w:tcPr>
    </w:tblStylePr>
    <w:tblStylePr w:type="firstRow">
      <w:rPr>
        <w:b/>
        <w:color w:val="ffffff" w:themeColor="light1"/>
        <w:sz w:val="22"/>
      </w:rPr>
      <w:pPr>
        <w:pBdr/>
        <w:spacing/>
        <w:ind/>
      </w:pPr>
      <w:tblPr>
        <w:tblBorders/>
      </w:tblPr>
      <w:tcPr>
        <w:shd w:val="clear" w:color="c9c9c9" w:fill="c9c9c9" w:themeFill="accent3" w:themeFillTint="98"/>
        <w:tcBorders>
          <w:top w:val="single" w:color="a5a5a5" w:themeColor="accent3" w:sz="32" w:space="0"/>
          <w:bottom w:val="single" w:color="ffffff" w:themeColor="light1" w:sz="12" w:space="0"/>
        </w:tcBorders>
      </w:tcPr>
    </w:tblStylePr>
    <w:tblStylePr w:type="lastCol">
      <w:pPr>
        <w:pBdr/>
        <w:spacing/>
        <w:ind/>
      </w:pPr>
      <w:tblPr>
        <w:tblBorders/>
      </w:tblPr>
      <w:tcPr>
        <w:tcBorders>
          <w:left w:val="single" w:color="ffffff" w:themeColor="light1" w:sz="4" w:space="0"/>
          <w:right w:val="single" w:color="a5a5a5" w:themeColor="accent3" w:sz="32" w:space="0"/>
        </w:tcBorders>
      </w:tcPr>
    </w:tblStylePr>
    <w:tblStylePr w:type="lastRow">
      <w:rPr>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95" w:customStyle="1">
    <w:name w:val="List Table 5 Dark - Accent 4"/>
    <w:basedOn w:val="892"/>
    <w:uiPriority w:val="99"/>
    <w:pPr>
      <w:pBdr/>
      <w:spacing/>
      <w:ind/>
    </w:pPr>
    <w:tblPr>
      <w:tblStyleRowBandSize w:val="1"/>
      <w:tblStyleColBandSize w:val="1"/>
      <w:tblInd w:w="0" w:type="dxa"/>
      <w:tblBorders>
        <w:top w:val="single" w:color="ffd865" w:themeColor="accent4" w:themeTint="9A" w:sz="32" w:space="0"/>
        <w:left w:val="single" w:color="ffd865" w:themeColor="accent4" w:themeTint="9A" w:sz="32" w:space="0"/>
        <w:bottom w:val="single" w:color="ffd865" w:themeColor="accent4" w:themeTint="9A" w:sz="32" w:space="0"/>
        <w:right w:val="single" w:color="ffd865" w:themeColor="accent4" w:themeTint="9A" w:sz="32" w:space="0"/>
      </w:tblBorders>
      <w:tblCellMar>
        <w:left w:w="108" w:type="dxa"/>
        <w:top w:w="0" w:type="dxa"/>
        <w:right w:w="108" w:type="dxa"/>
        <w:bottom w:w="0" w:type="dxa"/>
      </w:tblCellMar>
    </w:tblPr>
    <w:tcPr>
      <w:tcBorders/>
    </w:tcPr>
    <w:tblStylePr w:type="band1Horz">
      <w:pPr>
        <w:pBdr/>
        <w:spacing/>
        <w:ind/>
      </w:pPr>
      <w:tblPr>
        <w:tblBorders/>
      </w:tblPr>
      <w:tcPr>
        <w:shd w:val="clear" w:color="ffd865" w:fill="ffd865" w:themeFill="accent4" w:themeFillTint="9A"/>
        <w:tcBorders>
          <w:top w:val="single" w:color="ffffff" w:themeColor="light1" w:sz="4" w:space="0"/>
          <w:bottom w:val="single" w:color="ffffff" w:themeColor="light1" w:sz="4" w:space="0"/>
        </w:tcBorders>
      </w:tcPr>
    </w:tblStylePr>
    <w:tblStylePr w:type="band1Vert">
      <w:pPr>
        <w:pBdr/>
        <w:spacing/>
        <w:ind/>
      </w:pPr>
      <w:tblPr>
        <w:tblBorders/>
      </w:tblPr>
      <w:tcPr>
        <w:shd w:val="clear" w:color="ffd865" w:fill="ffd865" w:themeFill="accent4" w:themeFillTint="9A"/>
        <w:tcBorders>
          <w:left w:val="single" w:color="ffffff" w:themeColor="light1" w:sz="4" w:space="0"/>
          <w:right w:val="single" w:color="ffffff" w:themeColor="light1" w:sz="4" w:space="0"/>
        </w:tcBorders>
      </w:tcPr>
    </w:tblStylePr>
    <w:tblStylePr w:type="band2Horz">
      <w:pPr>
        <w:pBdr/>
        <w:spacing/>
        <w:ind/>
      </w:pPr>
      <w:tblPr>
        <w:tblBorders/>
      </w:tblPr>
      <w:tcPr>
        <w:shd w:val="clear" w:color="ffd865" w:fill="ffd865" w:themeFill="accent4" w:themeFillTint="9A"/>
        <w:tcBorders>
          <w:top w:val="single" w:color="ffffff" w:themeColor="light1" w:sz="4" w:space="0"/>
          <w:bottom w:val="single" w:color="ffffff" w:themeColor="light1" w:sz="4" w:space="0"/>
        </w:tcBorders>
      </w:tcPr>
    </w:tblStylePr>
    <w:tblStylePr w:type="band2Vert">
      <w:pPr>
        <w:pBdr/>
        <w:spacing/>
        <w:ind/>
      </w:pPr>
      <w:tblPr>
        <w:tblBorders/>
      </w:tblPr>
      <w:tcPr>
        <w:tcBorders>
          <w:left w:val="single" w:color="ffffff" w:themeColor="light1" w:sz="4" w:space="0"/>
          <w:right w:val="single" w:color="ffffff" w:themeColor="light1" w:sz="4" w:space="0"/>
        </w:tcBorders>
      </w:tcPr>
    </w:tblStylePr>
    <w:tblStylePr w:type="firstCol">
      <w:rPr>
        <w:b/>
        <w:color w:val="ffffff" w:themeColor="light1"/>
        <w:sz w:val="22"/>
      </w:rPr>
      <w:pPr>
        <w:pBdr/>
        <w:spacing/>
        <w:ind/>
      </w:pPr>
      <w:tblPr>
        <w:tblBorders/>
      </w:tblPr>
      <w:tcPr>
        <w:tcBorders>
          <w:left w:val="single" w:color="ffc000" w:themeColor="accent4" w:sz="32" w:space="0"/>
          <w:right w:val="single" w:color="ffffff" w:themeColor="light1" w:sz="4" w:space="0"/>
        </w:tcBorders>
      </w:tcPr>
    </w:tblStylePr>
    <w:tblStylePr w:type="firstRow">
      <w:rPr>
        <w:b/>
        <w:color w:val="ffffff" w:themeColor="light1"/>
        <w:sz w:val="22"/>
      </w:rPr>
      <w:pPr>
        <w:pBdr/>
        <w:spacing/>
        <w:ind/>
      </w:pPr>
      <w:tblPr>
        <w:tblBorders/>
      </w:tblPr>
      <w:tcPr>
        <w:shd w:val="clear" w:color="ffd865" w:fill="ffd865" w:themeFill="accent4" w:themeFillTint="9A"/>
        <w:tcBorders>
          <w:top w:val="single" w:color="ffc000" w:themeColor="accent4" w:sz="32" w:space="0"/>
          <w:bottom w:val="single" w:color="ffffff" w:themeColor="light1" w:sz="12" w:space="0"/>
        </w:tcBorders>
      </w:tcPr>
    </w:tblStylePr>
    <w:tblStylePr w:type="lastCol">
      <w:pPr>
        <w:pBdr/>
        <w:spacing/>
        <w:ind/>
      </w:pPr>
      <w:tblPr>
        <w:tblBorders/>
      </w:tblPr>
      <w:tcPr>
        <w:tcBorders>
          <w:left w:val="single" w:color="ffffff" w:themeColor="light1" w:sz="4" w:space="0"/>
          <w:right w:val="single" w:color="ffc000" w:themeColor="accent4" w:sz="32" w:space="0"/>
        </w:tcBorders>
      </w:tcPr>
    </w:tblStylePr>
    <w:tblStylePr w:type="lastRow">
      <w:rPr>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96" w:customStyle="1">
    <w:name w:val="List Table 5 Dark - Accent 5"/>
    <w:basedOn w:val="892"/>
    <w:uiPriority w:val="99"/>
    <w:pPr>
      <w:pBdr/>
      <w:spacing/>
      <w:ind/>
    </w:pPr>
    <w:tblPr>
      <w:tblStyleRowBandSize w:val="1"/>
      <w:tblStyleColBandSize w:val="1"/>
      <w:tblInd w:w="0" w:type="dxa"/>
      <w:tblBorders>
        <w:top w:val="single" w:color="9bc2e5" w:themeColor="accent5" w:themeTint="9A" w:sz="32" w:space="0"/>
        <w:left w:val="single" w:color="9bc2e5" w:themeColor="accent5" w:themeTint="9A" w:sz="32" w:space="0"/>
        <w:bottom w:val="single" w:color="9bc2e5" w:themeColor="accent5" w:themeTint="9A" w:sz="32" w:space="0"/>
        <w:right w:val="single" w:color="9bc2e5" w:themeColor="accent5" w:themeTint="9A" w:sz="32" w:space="0"/>
      </w:tblBorders>
      <w:tblCellMar>
        <w:left w:w="108" w:type="dxa"/>
        <w:top w:w="0" w:type="dxa"/>
        <w:right w:w="108" w:type="dxa"/>
        <w:bottom w:w="0" w:type="dxa"/>
      </w:tblCellMar>
    </w:tblPr>
    <w:tcPr>
      <w:tcBorders/>
    </w:tcPr>
    <w:tblStylePr w:type="band1Horz">
      <w:pPr>
        <w:pBdr/>
        <w:spacing/>
        <w:ind/>
      </w:pPr>
      <w:tblPr>
        <w:tblBorders/>
      </w:tblPr>
      <w:tcPr>
        <w:shd w:val="clear" w:color="9bc2e5" w:fill="9bc2e5" w:themeFill="accent5" w:themeFillTint="9A"/>
        <w:tcBorders>
          <w:top w:val="single" w:color="ffffff" w:themeColor="light1" w:sz="4" w:space="0"/>
          <w:bottom w:val="single" w:color="ffffff" w:themeColor="light1" w:sz="4" w:space="0"/>
        </w:tcBorders>
      </w:tcPr>
    </w:tblStylePr>
    <w:tblStylePr w:type="band1Vert">
      <w:pPr>
        <w:pBdr/>
        <w:spacing/>
        <w:ind/>
      </w:pPr>
      <w:tblPr>
        <w:tblBorders/>
      </w:tblPr>
      <w:tcPr>
        <w:shd w:val="clear" w:color="9bc2e5" w:fill="9bc2e5" w:themeFill="accent5" w:themeFillTint="9A"/>
        <w:tcBorders>
          <w:left w:val="single" w:color="ffffff" w:themeColor="light1" w:sz="4" w:space="0"/>
          <w:right w:val="single" w:color="ffffff" w:themeColor="light1" w:sz="4" w:space="0"/>
        </w:tcBorders>
      </w:tcPr>
    </w:tblStylePr>
    <w:tblStylePr w:type="band2Horz">
      <w:pPr>
        <w:pBdr/>
        <w:spacing/>
        <w:ind/>
      </w:pPr>
      <w:tblPr>
        <w:tblBorders/>
      </w:tblPr>
      <w:tcPr>
        <w:shd w:val="clear" w:color="9bc2e5" w:fill="9bc2e5" w:themeFill="accent5" w:themeFillTint="9A"/>
        <w:tcBorders>
          <w:top w:val="single" w:color="ffffff" w:themeColor="light1" w:sz="4" w:space="0"/>
          <w:bottom w:val="single" w:color="ffffff" w:themeColor="light1" w:sz="4" w:space="0"/>
        </w:tcBorders>
      </w:tcPr>
    </w:tblStylePr>
    <w:tblStylePr w:type="band2Vert">
      <w:pPr>
        <w:pBdr/>
        <w:spacing/>
        <w:ind/>
      </w:pPr>
      <w:tblPr>
        <w:tblBorders/>
      </w:tblPr>
      <w:tcPr>
        <w:tcBorders>
          <w:left w:val="single" w:color="ffffff" w:themeColor="light1" w:sz="4" w:space="0"/>
          <w:right w:val="single" w:color="ffffff" w:themeColor="light1" w:sz="4" w:space="0"/>
        </w:tcBorders>
      </w:tcPr>
    </w:tblStylePr>
    <w:tblStylePr w:type="firstCol">
      <w:rPr>
        <w:b/>
        <w:color w:val="ffffff" w:themeColor="light1"/>
        <w:sz w:val="22"/>
      </w:rPr>
      <w:pPr>
        <w:pBdr/>
        <w:spacing/>
        <w:ind/>
      </w:pPr>
      <w:tblPr>
        <w:tblBorders/>
      </w:tblPr>
      <w:tcPr>
        <w:tcBorders>
          <w:left w:val="single" w:color="5b9bd5" w:themeColor="accent5" w:sz="32" w:space="0"/>
          <w:right w:val="single" w:color="ffffff" w:themeColor="light1" w:sz="4" w:space="0"/>
        </w:tcBorders>
      </w:tcPr>
    </w:tblStylePr>
    <w:tblStylePr w:type="firstRow">
      <w:rPr>
        <w:b/>
        <w:color w:val="ffffff" w:themeColor="light1"/>
        <w:sz w:val="22"/>
      </w:rPr>
      <w:pPr>
        <w:pBdr/>
        <w:spacing/>
        <w:ind/>
      </w:pPr>
      <w:tblPr>
        <w:tblBorders/>
      </w:tblPr>
      <w:tcPr>
        <w:shd w:val="clear" w:color="9bc2e5" w:fill="9bc2e5" w:themeFill="accent5" w:themeFillTint="9A"/>
        <w:tcBorders>
          <w:top w:val="single" w:color="5b9bd5" w:themeColor="accent5" w:sz="32" w:space="0"/>
          <w:bottom w:val="single" w:color="ffffff" w:themeColor="light1" w:sz="12" w:space="0"/>
        </w:tcBorders>
      </w:tcPr>
    </w:tblStylePr>
    <w:tblStylePr w:type="lastCol">
      <w:pPr>
        <w:pBdr/>
        <w:spacing/>
        <w:ind/>
      </w:pPr>
      <w:tblPr>
        <w:tblBorders/>
      </w:tblPr>
      <w:tcPr>
        <w:tcBorders>
          <w:left w:val="single" w:color="ffffff" w:themeColor="light1" w:sz="4" w:space="0"/>
          <w:right w:val="single" w:color="5b9bd5" w:themeColor="accent5" w:sz="32" w:space="0"/>
        </w:tcBorders>
      </w:tcPr>
    </w:tblStylePr>
    <w:tblStylePr w:type="lastRow">
      <w:rPr>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97" w:customStyle="1">
    <w:name w:val="List Table 5 Dark - Accent 6"/>
    <w:basedOn w:val="892"/>
    <w:uiPriority w:val="99"/>
    <w:pPr>
      <w:pBdr/>
      <w:spacing/>
      <w:ind/>
    </w:pPr>
    <w:tblPr>
      <w:tblStyleRowBandSize w:val="1"/>
      <w:tblStyleColBandSize w:val="1"/>
      <w:tblInd w:w="0" w:type="dxa"/>
      <w:tblBorders>
        <w:top w:val="single" w:color="a9d08e" w:themeColor="accent6" w:themeTint="98" w:sz="32" w:space="0"/>
        <w:left w:val="single" w:color="a9d08e" w:themeColor="accent6" w:themeTint="98" w:sz="32" w:space="0"/>
        <w:bottom w:val="single" w:color="a9d08e" w:themeColor="accent6" w:themeTint="98" w:sz="32" w:space="0"/>
        <w:right w:val="single" w:color="a9d08e" w:themeColor="accent6" w:themeTint="98" w:sz="32" w:space="0"/>
      </w:tblBorders>
      <w:tblCellMar>
        <w:left w:w="108" w:type="dxa"/>
        <w:top w:w="0" w:type="dxa"/>
        <w:right w:w="108" w:type="dxa"/>
        <w:bottom w:w="0" w:type="dxa"/>
      </w:tblCellMar>
    </w:tblPr>
    <w:tcPr>
      <w:tcBorders/>
    </w:tcPr>
    <w:tblStylePr w:type="band1Horz">
      <w:pPr>
        <w:pBdr/>
        <w:spacing/>
        <w:ind/>
      </w:pPr>
      <w:tblPr>
        <w:tblBorders/>
      </w:tblPr>
      <w:tcPr>
        <w:shd w:val="clear" w:color="a9d08e" w:fill="a9d08e" w:themeFill="accent6" w:themeFillTint="98"/>
        <w:tcBorders>
          <w:top w:val="single" w:color="ffffff" w:themeColor="light1" w:sz="4" w:space="0"/>
          <w:bottom w:val="single" w:color="ffffff" w:themeColor="light1" w:sz="4" w:space="0"/>
        </w:tcBorders>
      </w:tcPr>
    </w:tblStylePr>
    <w:tblStylePr w:type="band1Vert">
      <w:pPr>
        <w:pBdr/>
        <w:spacing/>
        <w:ind/>
      </w:pPr>
      <w:tblPr>
        <w:tblBorders/>
      </w:tblPr>
      <w:tcPr>
        <w:shd w:val="clear" w:color="a9d08e" w:fill="a9d08e" w:themeFill="accent6" w:themeFillTint="98"/>
        <w:tcBorders>
          <w:left w:val="single" w:color="ffffff" w:themeColor="light1" w:sz="4" w:space="0"/>
          <w:right w:val="single" w:color="ffffff" w:themeColor="light1" w:sz="4" w:space="0"/>
        </w:tcBorders>
      </w:tcPr>
    </w:tblStylePr>
    <w:tblStylePr w:type="band2Horz">
      <w:pPr>
        <w:pBdr/>
        <w:spacing/>
        <w:ind/>
      </w:pPr>
      <w:tblPr>
        <w:tblBorders/>
      </w:tblPr>
      <w:tcPr>
        <w:shd w:val="clear" w:color="a9d08e" w:fill="a9d08e" w:themeFill="accent6" w:themeFillTint="98"/>
        <w:tcBorders>
          <w:top w:val="single" w:color="ffffff" w:themeColor="light1" w:sz="4" w:space="0"/>
          <w:bottom w:val="single" w:color="ffffff" w:themeColor="light1" w:sz="4" w:space="0"/>
        </w:tcBorders>
      </w:tcPr>
    </w:tblStylePr>
    <w:tblStylePr w:type="band2Vert">
      <w:pPr>
        <w:pBdr/>
        <w:spacing/>
        <w:ind/>
      </w:pPr>
      <w:tblPr>
        <w:tblBorders/>
      </w:tblPr>
      <w:tcPr>
        <w:tcBorders>
          <w:left w:val="single" w:color="ffffff" w:themeColor="light1" w:sz="4" w:space="0"/>
          <w:right w:val="single" w:color="ffffff" w:themeColor="light1" w:sz="4" w:space="0"/>
        </w:tcBorders>
      </w:tcPr>
    </w:tblStylePr>
    <w:tblStylePr w:type="firstCol">
      <w:rPr>
        <w:b/>
        <w:color w:val="ffffff" w:themeColor="light1"/>
        <w:sz w:val="22"/>
      </w:rPr>
      <w:pPr>
        <w:pBdr/>
        <w:spacing/>
        <w:ind/>
      </w:pPr>
      <w:tblPr>
        <w:tblBorders/>
      </w:tblPr>
      <w:tcPr>
        <w:tcBorders>
          <w:left w:val="single" w:color="70ad47" w:themeColor="accent6" w:sz="32" w:space="0"/>
          <w:right w:val="single" w:color="ffffff" w:themeColor="light1" w:sz="4" w:space="0"/>
        </w:tcBorders>
      </w:tcPr>
    </w:tblStylePr>
    <w:tblStylePr w:type="firstRow">
      <w:rPr>
        <w:b/>
        <w:color w:val="ffffff" w:themeColor="light1"/>
        <w:sz w:val="22"/>
      </w:rPr>
      <w:pPr>
        <w:pBdr/>
        <w:spacing/>
        <w:ind/>
      </w:pPr>
      <w:tblPr>
        <w:tblBorders/>
      </w:tblPr>
      <w:tcPr>
        <w:shd w:val="clear" w:color="a9d08e" w:fill="a9d08e" w:themeFill="accent6" w:themeFillTint="98"/>
        <w:tcBorders>
          <w:top w:val="single" w:color="70ad47" w:themeColor="accent6" w:sz="32" w:space="0"/>
          <w:bottom w:val="single" w:color="ffffff" w:themeColor="light1" w:sz="12" w:space="0"/>
        </w:tcBorders>
      </w:tcPr>
    </w:tblStylePr>
    <w:tblStylePr w:type="lastCol">
      <w:pPr>
        <w:pBdr/>
        <w:spacing/>
        <w:ind/>
      </w:pPr>
      <w:tblPr>
        <w:tblBorders/>
      </w:tblPr>
      <w:tcPr>
        <w:tcBorders>
          <w:left w:val="single" w:color="ffffff" w:themeColor="light1" w:sz="4" w:space="0"/>
          <w:right w:val="single" w:color="70ad47" w:themeColor="accent6" w:sz="32" w:space="0"/>
        </w:tcBorders>
      </w:tcPr>
    </w:tblStylePr>
    <w:tblStylePr w:type="lastRow">
      <w:rPr>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98" w:customStyle="1">
    <w:name w:val="List Table 6 Colorful"/>
    <w:basedOn w:val="892"/>
    <w:uiPriority w:val="99"/>
    <w:pPr>
      <w:pBdr/>
      <w:spacing/>
      <w:ind/>
    </w:pPr>
    <w:tblPr>
      <w:tblStyleRowBandSize w:val="1"/>
      <w:tblStyleColBandSize w:val="1"/>
      <w:tblInd w:w="0" w:type="dxa"/>
      <w:tblBorders>
        <w:top w:val="single" w:color="7f7f7f" w:themeColor="text1" w:themeTint="80" w:sz="4" w:space="0"/>
        <w:bottom w:val="single" w:color="7f7f7f" w:themeColor="text1" w:themeTint="80" w:sz="4" w:space="0"/>
      </w:tblBorders>
      <w:tblCellMar>
        <w:left w:w="108" w:type="dxa"/>
        <w:top w:w="0" w:type="dxa"/>
        <w:right w:w="108" w:type="dxa"/>
        <w:bottom w:w="0" w:type="dxa"/>
      </w:tblCellMar>
    </w:tblPr>
    <w:tcPr>
      <w:tcBorders/>
    </w:tcPr>
    <w:tblStylePr w:type="band1Horz">
      <w:rPr>
        <w:color w:val="000000" w:themeColor="text1"/>
        <w:sz w:val="22"/>
      </w:rPr>
      <w:pPr>
        <w:pBdr/>
        <w:spacing/>
        <w:ind/>
      </w:pPr>
      <w:tblPr>
        <w:tblBorders/>
      </w:tblPr>
      <w:tcPr>
        <w:shd w:val="clear" w:color="bfbfbf" w:fill="bfbfbf" w:themeFill="text1" w:themeFillTint="40"/>
        <w:tcBorders/>
      </w:tcPr>
    </w:tblStylePr>
    <w:tblStylePr w:type="band1Vert">
      <w:pPr>
        <w:pBdr/>
        <w:spacing/>
        <w:ind/>
      </w:pPr>
      <w:tblPr>
        <w:tblBorders/>
      </w:tblPr>
      <w:tcPr>
        <w:shd w:val="clear" w:color="bfbfbf" w:fill="bfbfbf" w:themeFill="text1" w:themeFillTint="40"/>
        <w:tcBorders/>
      </w:tcPr>
    </w:tblStylePr>
    <w:tblStylePr w:type="band2Horz">
      <w:rPr>
        <w:color w:val="00000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99" w:customStyle="1">
    <w:name w:val="List Table 6 Colorful - Accent 1"/>
    <w:basedOn w:val="892"/>
    <w:uiPriority w:val="99"/>
    <w:pPr>
      <w:pBdr/>
      <w:spacing/>
      <w:ind/>
    </w:pPr>
    <w:tblPr>
      <w:tblStyleRowBandSize w:val="1"/>
      <w:tblStyleColBandSize w:val="1"/>
      <w:tblInd w:w="0" w:type="dxa"/>
      <w:tblBorders>
        <w:top w:val="single" w:color="4472c4" w:themeColor="accent1" w:sz="4" w:space="0"/>
        <w:bottom w:val="single" w:color="4472c4" w:themeColor="accent1" w:sz="4" w:space="0"/>
      </w:tblBorders>
      <w:tblCellMar>
        <w:left w:w="108" w:type="dxa"/>
        <w:top w:w="0" w:type="dxa"/>
        <w:right w:w="108" w:type="dxa"/>
        <w:bottom w:w="0" w:type="dxa"/>
      </w:tblCellMar>
    </w:tblPr>
    <w:tcPr>
      <w:tcBorders/>
    </w:tcPr>
    <w:tblStylePr w:type="band1Horz">
      <w:rPr>
        <w:color w:val="254175" w:themeColor="accent1" w:themeShade="95"/>
        <w:sz w:val="22"/>
      </w:rPr>
      <w:pPr>
        <w:pBdr/>
        <w:spacing/>
        <w:ind/>
      </w:pPr>
      <w:tblPr>
        <w:tblBorders/>
      </w:tblPr>
      <w:tcPr>
        <w:shd w:val="clear" w:color="cfdbf0" w:fill="cfdbf0" w:themeFill="accent1" w:themeFillTint="40"/>
        <w:tcBorders/>
      </w:tcPr>
    </w:tblStylePr>
    <w:tblStylePr w:type="band1Vert">
      <w:pPr>
        <w:pBdr/>
        <w:spacing/>
        <w:ind/>
      </w:pPr>
      <w:tblPr>
        <w:tblBorders/>
      </w:tblPr>
      <w:tcPr>
        <w:shd w:val="clear" w:color="cfdbf0" w:fill="cfdbf0" w:themeFill="accent1" w:themeFillTint="40"/>
        <w:tcBorders/>
      </w:tcPr>
    </w:tblStylePr>
    <w:tblStylePr w:type="band2Horz">
      <w:rPr>
        <w:color w:val="254175"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54175" w:themeColor="accent1" w:themeShade="95"/>
      </w:rPr>
      <w:pPr>
        <w:pBdr/>
        <w:spacing/>
        <w:ind/>
      </w:pPr>
      <w:tblPr>
        <w:tblBorders/>
      </w:tblPr>
      <w:tcPr>
        <w:tcBorders/>
      </w:tcPr>
    </w:tblStylePr>
    <w:tblStylePr w:type="firstRow">
      <w:rPr>
        <w:b/>
        <w:color w:val="254175" w:themeColor="accent1" w:themeShade="95"/>
      </w:rPr>
      <w:pPr>
        <w:pBdr/>
        <w:spacing/>
        <w:ind/>
      </w:pPr>
      <w:tblPr>
        <w:tblBorders/>
      </w:tblPr>
      <w:tcPr>
        <w:tcBorders>
          <w:bottom w:val="single" w:color="4472c4" w:themeColor="accent1" w:sz="4" w:space="0"/>
        </w:tcBorders>
      </w:tcPr>
    </w:tblStylePr>
    <w:tblStylePr w:type="lastCol">
      <w:rPr>
        <w:b/>
        <w:color w:val="254175" w:themeColor="accent1" w:themeShade="95"/>
      </w:rPr>
      <w:pPr>
        <w:pBdr/>
        <w:spacing/>
        <w:ind/>
      </w:pPr>
      <w:tblPr>
        <w:tblBorders/>
      </w:tblPr>
      <w:tcPr>
        <w:tcBorders/>
      </w:tcPr>
    </w:tblStylePr>
    <w:tblStylePr w:type="lastRow">
      <w:rPr>
        <w:b/>
        <w:color w:val="254175" w:themeColor="accent1" w:themeShade="95"/>
      </w:rPr>
      <w:pPr>
        <w:pBdr/>
        <w:spacing/>
        <w:ind/>
      </w:pPr>
      <w:tblPr>
        <w:tblBorders/>
      </w:tblPr>
      <w:tcPr>
        <w:tcBorders>
          <w:top w:val="single" w:color="4472c4"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00" w:customStyle="1">
    <w:name w:val="List Table 6 Colorful - Accent 2"/>
    <w:basedOn w:val="892"/>
    <w:uiPriority w:val="99"/>
    <w:pPr>
      <w:pBdr/>
      <w:spacing/>
      <w:ind/>
    </w:pPr>
    <w:tblPr>
      <w:tblStyleRowBandSize w:val="1"/>
      <w:tblStyleColBandSize w:val="1"/>
      <w:tblInd w:w="0" w:type="dxa"/>
      <w:tblBorders>
        <w:top w:val="single" w:color="f4b184" w:themeColor="accent2" w:themeTint="97" w:sz="4" w:space="0"/>
        <w:bottom w:val="single" w:color="f4b184" w:themeColor="accent2" w:themeTint="97" w:sz="4" w:space="0"/>
      </w:tblBorders>
      <w:tblCellMar>
        <w:left w:w="108" w:type="dxa"/>
        <w:top w:w="0" w:type="dxa"/>
        <w:right w:w="108" w:type="dxa"/>
        <w:bottom w:w="0" w:type="dxa"/>
      </w:tblCellMar>
    </w:tblPr>
    <w:tcPr>
      <w:tcBorders/>
    </w:tcPr>
    <w:tblStylePr w:type="band1Horz">
      <w:rPr>
        <w:color w:val="f4b184" w:themeColor="accent2" w:themeTint="97" w:themeShade="95"/>
        <w:sz w:val="22"/>
      </w:rPr>
      <w:pPr>
        <w:pBdr/>
        <w:spacing/>
        <w:ind/>
      </w:pPr>
      <w:tblPr>
        <w:tblBorders/>
      </w:tblPr>
      <w:tcPr>
        <w:shd w:val="clear" w:color="fadecb" w:fill="fadecb" w:themeFill="accent2" w:themeFillTint="40"/>
        <w:tcBorders/>
      </w:tcPr>
    </w:tblStylePr>
    <w:tblStylePr w:type="band1Vert">
      <w:pPr>
        <w:pBdr/>
        <w:spacing/>
        <w:ind/>
      </w:pPr>
      <w:tblPr>
        <w:tblBorders/>
      </w:tblPr>
      <w:tcPr>
        <w:shd w:val="clear" w:color="fadecb" w:fill="fadecb" w:themeFill="accent2" w:themeFillTint="40"/>
        <w:tcBorders/>
      </w:tcPr>
    </w:tblStylePr>
    <w:tblStylePr w:type="band2Horz">
      <w:rPr>
        <w:color w:val="f4b184"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f4b184" w:themeColor="accent2" w:themeTint="97" w:themeShade="95"/>
      </w:rPr>
      <w:pPr>
        <w:pBdr/>
        <w:spacing/>
        <w:ind/>
      </w:pPr>
      <w:tblPr>
        <w:tblBorders/>
      </w:tblPr>
      <w:tcPr>
        <w:tcBorders/>
      </w:tcPr>
    </w:tblStylePr>
    <w:tblStylePr w:type="firstRow">
      <w:rPr>
        <w:b/>
        <w:color w:val="f4b184" w:themeColor="accent2" w:themeTint="97" w:themeShade="95"/>
      </w:rPr>
      <w:pPr>
        <w:pBdr/>
        <w:spacing/>
        <w:ind/>
      </w:pPr>
      <w:tblPr>
        <w:tblBorders/>
      </w:tblPr>
      <w:tcPr>
        <w:tcBorders>
          <w:bottom w:val="single" w:color="ed7d31" w:themeColor="accent2" w:sz="4" w:space="0"/>
        </w:tcBorders>
      </w:tcPr>
    </w:tblStylePr>
    <w:tblStylePr w:type="lastCol">
      <w:rPr>
        <w:b/>
        <w:color w:val="f4b184" w:themeColor="accent2" w:themeTint="97" w:themeShade="95"/>
      </w:rPr>
      <w:pPr>
        <w:pBdr/>
        <w:spacing/>
        <w:ind/>
      </w:pPr>
      <w:tblPr>
        <w:tblBorders/>
      </w:tblPr>
      <w:tcPr>
        <w:tcBorders/>
      </w:tcPr>
    </w:tblStylePr>
    <w:tblStylePr w:type="lastRow">
      <w:rPr>
        <w:b/>
        <w:color w:val="f4b184" w:themeColor="accent2" w:themeTint="97" w:themeShade="95"/>
      </w:rPr>
      <w:pPr>
        <w:pBdr/>
        <w:spacing/>
        <w:ind/>
      </w:pPr>
      <w:tblPr>
        <w:tblBorders/>
      </w:tblPr>
      <w:tcPr>
        <w:tcBorders>
          <w:top w:val="single" w:color="ed7d31" w:themeColor="accent2"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01" w:customStyle="1">
    <w:name w:val="List Table 6 Colorful - Accent 3"/>
    <w:basedOn w:val="892"/>
    <w:uiPriority w:val="99"/>
    <w:pPr>
      <w:pBdr/>
      <w:spacing/>
      <w:ind/>
    </w:pPr>
    <w:tblPr>
      <w:tblStyleRowBandSize w:val="1"/>
      <w:tblStyleColBandSize w:val="1"/>
      <w:tblInd w:w="0" w:type="dxa"/>
      <w:tblBorders>
        <w:top w:val="single" w:color="c9c9c9" w:themeColor="accent3" w:themeTint="98" w:sz="4" w:space="0"/>
        <w:bottom w:val="single" w:color="c9c9c9" w:themeColor="accent3" w:themeTint="98" w:sz="4" w:space="0"/>
      </w:tblBorders>
      <w:tblCellMar>
        <w:left w:w="108" w:type="dxa"/>
        <w:top w:w="0" w:type="dxa"/>
        <w:right w:w="108" w:type="dxa"/>
        <w:bottom w:w="0" w:type="dxa"/>
      </w:tblCellMar>
    </w:tblPr>
    <w:tcPr>
      <w:tcBorders/>
    </w:tcPr>
    <w:tblStylePr w:type="band1Horz">
      <w:rPr>
        <w:color w:val="c9c9c9" w:themeColor="accent3" w:themeTint="98" w:themeShade="95"/>
        <w:sz w:val="22"/>
      </w:rPr>
      <w:pPr>
        <w:pBdr/>
        <w:spacing/>
        <w:ind/>
      </w:pPr>
      <w:tblPr>
        <w:tblBorders/>
      </w:tblPr>
      <w:tcPr>
        <w:shd w:val="clear" w:color="e8e8e8" w:fill="e8e8e8" w:themeFill="accent3" w:themeFillTint="40"/>
        <w:tcBorders/>
      </w:tcPr>
    </w:tblStylePr>
    <w:tblStylePr w:type="band1Vert">
      <w:pPr>
        <w:pBdr/>
        <w:spacing/>
        <w:ind/>
      </w:pPr>
      <w:tblPr>
        <w:tblBorders/>
      </w:tblPr>
      <w:tcPr>
        <w:shd w:val="clear" w:color="e8e8e8" w:fill="e8e8e8" w:themeFill="accent3" w:themeFillTint="40"/>
        <w:tcBorders/>
      </w:tcPr>
    </w:tblStylePr>
    <w:tblStylePr w:type="band2Horz">
      <w:rPr>
        <w:color w:val="c9c9c9"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9c9c9" w:themeColor="accent3" w:themeTint="98" w:themeShade="95"/>
      </w:rPr>
      <w:pPr>
        <w:pBdr/>
        <w:spacing/>
        <w:ind/>
      </w:pPr>
      <w:tblPr>
        <w:tblBorders/>
      </w:tblPr>
      <w:tcPr>
        <w:tcBorders/>
      </w:tcPr>
    </w:tblStylePr>
    <w:tblStylePr w:type="firstRow">
      <w:rPr>
        <w:b/>
        <w:color w:val="c9c9c9" w:themeColor="accent3" w:themeTint="98" w:themeShade="95"/>
      </w:rPr>
      <w:pPr>
        <w:pBdr/>
        <w:spacing/>
        <w:ind/>
      </w:pPr>
      <w:tblPr>
        <w:tblBorders/>
      </w:tblPr>
      <w:tcPr>
        <w:tcBorders>
          <w:bottom w:val="single" w:color="a5a5a5" w:themeColor="accent3" w:sz="4" w:space="0"/>
        </w:tcBorders>
      </w:tcPr>
    </w:tblStylePr>
    <w:tblStylePr w:type="lastCol">
      <w:rPr>
        <w:b/>
        <w:color w:val="c9c9c9" w:themeColor="accent3" w:themeTint="98" w:themeShade="95"/>
      </w:rPr>
      <w:pPr>
        <w:pBdr/>
        <w:spacing/>
        <w:ind/>
      </w:pPr>
      <w:tblPr>
        <w:tblBorders/>
      </w:tblPr>
      <w:tcPr>
        <w:tcBorders/>
      </w:tcPr>
    </w:tblStylePr>
    <w:tblStylePr w:type="lastRow">
      <w:rPr>
        <w:b/>
        <w:color w:val="c9c9c9" w:themeColor="accent3" w:themeTint="98" w:themeShade="95"/>
      </w:rPr>
      <w:pPr>
        <w:pBdr/>
        <w:spacing/>
        <w:ind/>
      </w:pPr>
      <w:tblPr>
        <w:tblBorders/>
      </w:tblPr>
      <w:tcPr>
        <w:tcBorders>
          <w:top w:val="single" w:color="a5a5a5" w:themeColor="accent3"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02" w:customStyle="1">
    <w:name w:val="List Table 6 Colorful - Accent 4"/>
    <w:basedOn w:val="892"/>
    <w:uiPriority w:val="99"/>
    <w:pPr>
      <w:pBdr/>
      <w:spacing/>
      <w:ind/>
    </w:pPr>
    <w:tblPr>
      <w:tblStyleRowBandSize w:val="1"/>
      <w:tblStyleColBandSize w:val="1"/>
      <w:tblInd w:w="0" w:type="dxa"/>
      <w:tblBorders>
        <w:top w:val="single" w:color="ffd865" w:themeColor="accent4" w:themeTint="9A" w:sz="4" w:space="0"/>
        <w:bottom w:val="single" w:color="ffd865" w:themeColor="accent4" w:themeTint="9A" w:sz="4" w:space="0"/>
      </w:tblBorders>
      <w:tblCellMar>
        <w:left w:w="108" w:type="dxa"/>
        <w:top w:w="0" w:type="dxa"/>
        <w:right w:w="108" w:type="dxa"/>
        <w:bottom w:w="0" w:type="dxa"/>
      </w:tblCellMar>
    </w:tblPr>
    <w:tcPr>
      <w:tcBorders/>
    </w:tcPr>
    <w:tblStylePr w:type="band1Horz">
      <w:rPr>
        <w:color w:val="ffd865" w:themeColor="accent4" w:themeTint="9A" w:themeShade="95"/>
        <w:sz w:val="22"/>
      </w:rPr>
      <w:pPr>
        <w:pBdr/>
        <w:spacing/>
        <w:ind/>
      </w:pPr>
      <w:tblPr>
        <w:tblBorders/>
      </w:tblPr>
      <w:tcPr>
        <w:shd w:val="clear" w:color="ffefbf" w:fill="ffefbf" w:themeFill="accent4" w:themeFillTint="40"/>
        <w:tcBorders/>
      </w:tcPr>
    </w:tblStylePr>
    <w:tblStylePr w:type="band1Vert">
      <w:pPr>
        <w:pBdr/>
        <w:spacing/>
        <w:ind/>
      </w:pPr>
      <w:tblPr>
        <w:tblBorders/>
      </w:tblPr>
      <w:tcPr>
        <w:shd w:val="clear" w:color="ffefbf" w:fill="ffefbf" w:themeFill="accent4" w:themeFillTint="40"/>
        <w:tcBorders/>
      </w:tcPr>
    </w:tblStylePr>
    <w:tblStylePr w:type="band2Horz">
      <w:rPr>
        <w:color w:val="ffd865"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ffd865" w:themeColor="accent4" w:themeTint="9A" w:themeShade="95"/>
      </w:rPr>
      <w:pPr>
        <w:pBdr/>
        <w:spacing/>
        <w:ind/>
      </w:pPr>
      <w:tblPr>
        <w:tblBorders/>
      </w:tblPr>
      <w:tcPr>
        <w:tcBorders/>
      </w:tcPr>
    </w:tblStylePr>
    <w:tblStylePr w:type="firstRow">
      <w:rPr>
        <w:b/>
        <w:color w:val="ffd865" w:themeColor="accent4" w:themeTint="9A" w:themeShade="95"/>
      </w:rPr>
      <w:pPr>
        <w:pBdr/>
        <w:spacing/>
        <w:ind/>
      </w:pPr>
      <w:tblPr>
        <w:tblBorders/>
      </w:tblPr>
      <w:tcPr>
        <w:tcBorders>
          <w:bottom w:val="single" w:color="ffc000" w:themeColor="accent4" w:sz="4" w:space="0"/>
        </w:tcBorders>
      </w:tcPr>
    </w:tblStylePr>
    <w:tblStylePr w:type="lastCol">
      <w:rPr>
        <w:b/>
        <w:color w:val="ffd865" w:themeColor="accent4" w:themeTint="9A" w:themeShade="95"/>
      </w:rPr>
      <w:pPr>
        <w:pBdr/>
        <w:spacing/>
        <w:ind/>
      </w:pPr>
      <w:tblPr>
        <w:tblBorders/>
      </w:tblPr>
      <w:tcPr>
        <w:tcBorders/>
      </w:tcPr>
    </w:tblStylePr>
    <w:tblStylePr w:type="lastRow">
      <w:rPr>
        <w:b/>
        <w:color w:val="ffd865" w:themeColor="accent4" w:themeTint="9A" w:themeShade="95"/>
      </w:rPr>
      <w:pPr>
        <w:pBdr/>
        <w:spacing/>
        <w:ind/>
      </w:pPr>
      <w:tblPr>
        <w:tblBorders/>
      </w:tblPr>
      <w:tcPr>
        <w:tcBorders>
          <w:top w:val="single" w:color="ffc000" w:themeColor="accent4"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03" w:customStyle="1">
    <w:name w:val="List Table 6 Colorful - Accent 5"/>
    <w:basedOn w:val="892"/>
    <w:uiPriority w:val="99"/>
    <w:pPr>
      <w:pBdr/>
      <w:spacing/>
      <w:ind/>
    </w:pPr>
    <w:tblPr>
      <w:tblStyleRowBandSize w:val="1"/>
      <w:tblStyleColBandSize w:val="1"/>
      <w:tblInd w:w="0" w:type="dxa"/>
      <w:tblBorders>
        <w:top w:val="single" w:color="9bc2e5" w:themeColor="accent5" w:themeTint="9A" w:sz="4" w:space="0"/>
        <w:bottom w:val="single" w:color="9bc2e5" w:themeColor="accent5" w:themeTint="9A" w:sz="4" w:space="0"/>
      </w:tblBorders>
      <w:tblCellMar>
        <w:left w:w="108" w:type="dxa"/>
        <w:top w:w="0" w:type="dxa"/>
        <w:right w:w="108" w:type="dxa"/>
        <w:bottom w:w="0" w:type="dxa"/>
      </w:tblCellMar>
    </w:tblPr>
    <w:tcPr>
      <w:tcBorders/>
    </w:tcPr>
    <w:tblStylePr w:type="band1Horz">
      <w:rPr>
        <w:color w:val="9bc2e5" w:themeColor="accent5" w:themeTint="9A" w:themeShade="95"/>
        <w:sz w:val="22"/>
      </w:rPr>
      <w:pPr>
        <w:pBdr/>
        <w:spacing/>
        <w:ind/>
      </w:pPr>
      <w:tblPr>
        <w:tblBorders/>
      </w:tblPr>
      <w:tcPr>
        <w:shd w:val="clear" w:color="d5e5f4" w:fill="d5e5f4" w:themeFill="accent5" w:themeFillTint="40"/>
        <w:tcBorders/>
      </w:tcPr>
    </w:tblStylePr>
    <w:tblStylePr w:type="band1Vert">
      <w:pPr>
        <w:pBdr/>
        <w:spacing/>
        <w:ind/>
      </w:pPr>
      <w:tblPr>
        <w:tblBorders/>
      </w:tblPr>
      <w:tcPr>
        <w:shd w:val="clear" w:color="d5e5f4" w:fill="d5e5f4" w:themeFill="accent5" w:themeFillTint="40"/>
        <w:tcBorders/>
      </w:tcPr>
    </w:tblStylePr>
    <w:tblStylePr w:type="band2Horz">
      <w:rPr>
        <w:color w:val="9bc2e5"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bc2e5" w:themeColor="accent5" w:themeTint="9A" w:themeShade="95"/>
      </w:rPr>
      <w:pPr>
        <w:pBdr/>
        <w:spacing/>
        <w:ind/>
      </w:pPr>
      <w:tblPr>
        <w:tblBorders/>
      </w:tblPr>
      <w:tcPr>
        <w:tcBorders/>
      </w:tcPr>
    </w:tblStylePr>
    <w:tblStylePr w:type="firstRow">
      <w:rPr>
        <w:b/>
        <w:color w:val="9bc2e5" w:themeColor="accent5" w:themeTint="9A" w:themeShade="95"/>
      </w:rPr>
      <w:pPr>
        <w:pBdr/>
        <w:spacing/>
        <w:ind/>
      </w:pPr>
      <w:tblPr>
        <w:tblBorders/>
      </w:tblPr>
      <w:tcPr>
        <w:tcBorders>
          <w:bottom w:val="single" w:color="5b9bd5" w:themeColor="accent5" w:sz="4" w:space="0"/>
        </w:tcBorders>
      </w:tcPr>
    </w:tblStylePr>
    <w:tblStylePr w:type="lastCol">
      <w:rPr>
        <w:b/>
        <w:color w:val="9bc2e5" w:themeColor="accent5" w:themeTint="9A" w:themeShade="95"/>
      </w:rPr>
      <w:pPr>
        <w:pBdr/>
        <w:spacing/>
        <w:ind/>
      </w:pPr>
      <w:tblPr>
        <w:tblBorders/>
      </w:tblPr>
      <w:tcPr>
        <w:tcBorders/>
      </w:tcPr>
    </w:tblStylePr>
    <w:tblStylePr w:type="lastRow">
      <w:rPr>
        <w:b/>
        <w:color w:val="9bc2e5" w:themeColor="accent5" w:themeTint="9A" w:themeShade="95"/>
      </w:rPr>
      <w:pPr>
        <w:pBdr/>
        <w:spacing/>
        <w:ind/>
      </w:pPr>
      <w:tblPr>
        <w:tblBorders/>
      </w:tblPr>
      <w:tcPr>
        <w:tcBorders>
          <w:top w:val="single" w:color="5b9bd5"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04" w:customStyle="1">
    <w:name w:val="List Table 6 Colorful - Accent 6"/>
    <w:basedOn w:val="892"/>
    <w:uiPriority w:val="99"/>
    <w:pPr>
      <w:pBdr/>
      <w:spacing/>
      <w:ind/>
    </w:pPr>
    <w:tblPr>
      <w:tblStyleRowBandSize w:val="1"/>
      <w:tblStyleColBandSize w:val="1"/>
      <w:tblInd w:w="0" w:type="dxa"/>
      <w:tblBorders>
        <w:top w:val="single" w:color="a9d08e" w:themeColor="accent6" w:themeTint="98" w:sz="4" w:space="0"/>
        <w:bottom w:val="single" w:color="a9d08e" w:themeColor="accent6" w:themeTint="98" w:sz="4" w:space="0"/>
      </w:tblBorders>
      <w:tblCellMar>
        <w:left w:w="108" w:type="dxa"/>
        <w:top w:w="0" w:type="dxa"/>
        <w:right w:w="108" w:type="dxa"/>
        <w:bottom w:w="0" w:type="dxa"/>
      </w:tblCellMar>
    </w:tblPr>
    <w:tcPr>
      <w:tcBorders/>
    </w:tcPr>
    <w:tblStylePr w:type="band1Horz">
      <w:rPr>
        <w:color w:val="a9d08e" w:themeColor="accent6" w:themeTint="98" w:themeShade="95"/>
        <w:sz w:val="22"/>
      </w:rPr>
      <w:pPr>
        <w:pBdr/>
        <w:spacing/>
        <w:ind/>
      </w:pPr>
      <w:tblPr>
        <w:tblBorders/>
      </w:tblPr>
      <w:tcPr>
        <w:shd w:val="clear" w:color="daebcf" w:fill="daebcf" w:themeFill="accent6" w:themeFillTint="40"/>
        <w:tcBorders/>
      </w:tcPr>
    </w:tblStylePr>
    <w:tblStylePr w:type="band1Vert">
      <w:pPr>
        <w:pBdr/>
        <w:spacing/>
        <w:ind/>
      </w:pPr>
      <w:tblPr>
        <w:tblBorders/>
      </w:tblPr>
      <w:tcPr>
        <w:shd w:val="clear" w:color="daebcf" w:fill="daebcf" w:themeFill="accent6" w:themeFillTint="40"/>
        <w:tcBorders/>
      </w:tcPr>
    </w:tblStylePr>
    <w:tblStylePr w:type="band2Horz">
      <w:rPr>
        <w:color w:val="a9d08e"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a9d08e" w:themeColor="accent6" w:themeTint="98" w:themeShade="95"/>
      </w:rPr>
      <w:pPr>
        <w:pBdr/>
        <w:spacing/>
        <w:ind/>
      </w:pPr>
      <w:tblPr>
        <w:tblBorders/>
      </w:tblPr>
      <w:tcPr>
        <w:tcBorders/>
      </w:tcPr>
    </w:tblStylePr>
    <w:tblStylePr w:type="firstRow">
      <w:rPr>
        <w:b/>
        <w:color w:val="a9d08e" w:themeColor="accent6" w:themeTint="98" w:themeShade="95"/>
      </w:rPr>
      <w:pPr>
        <w:pBdr/>
        <w:spacing/>
        <w:ind/>
      </w:pPr>
      <w:tblPr>
        <w:tblBorders/>
      </w:tblPr>
      <w:tcPr>
        <w:tcBorders>
          <w:bottom w:val="single" w:color="70ad47" w:themeColor="accent6" w:sz="4" w:space="0"/>
        </w:tcBorders>
      </w:tcPr>
    </w:tblStylePr>
    <w:tblStylePr w:type="lastCol">
      <w:rPr>
        <w:b/>
        <w:color w:val="a9d08e" w:themeColor="accent6" w:themeTint="98" w:themeShade="95"/>
      </w:rPr>
      <w:pPr>
        <w:pBdr/>
        <w:spacing/>
        <w:ind/>
      </w:pPr>
      <w:tblPr>
        <w:tblBorders/>
      </w:tblPr>
      <w:tcPr>
        <w:tcBorders/>
      </w:tcPr>
    </w:tblStylePr>
    <w:tblStylePr w:type="lastRow">
      <w:rPr>
        <w:b/>
        <w:color w:val="a9d08e" w:themeColor="accent6" w:themeTint="98" w:themeShade="95"/>
      </w:rPr>
      <w:pPr>
        <w:pBdr/>
        <w:spacing/>
        <w:ind/>
      </w:pPr>
      <w:tblPr>
        <w:tblBorders/>
      </w:tblPr>
      <w:tcPr>
        <w:tcBorders>
          <w:top w:val="single" w:color="70ad47"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05" w:customStyle="1">
    <w:name w:val="List Table 7 Colorful"/>
    <w:basedOn w:val="892"/>
    <w:uiPriority w:val="99"/>
    <w:pPr>
      <w:pBdr/>
      <w:spacing/>
      <w:ind/>
    </w:pPr>
    <w:tblPr>
      <w:tblStyleRowBandSize w:val="1"/>
      <w:tblStyleColBandSize w:val="1"/>
      <w:tblInd w:w="0" w:type="dxa"/>
      <w:tblBorders>
        <w:right w:val="single" w:color="7f7f7f" w:themeColor="text1" w:themeTint="80" w:sz="4" w:space="0"/>
      </w:tblBorders>
      <w:tblCellMar>
        <w:left w:w="108" w:type="dxa"/>
        <w:top w:w="0" w:type="dxa"/>
        <w:right w:w="108" w:type="dxa"/>
        <w:bottom w:w="0" w:type="dxa"/>
      </w:tblCellMar>
    </w:tblPr>
    <w:tcPr>
      <w:tcBorders/>
    </w:tcPr>
    <w:tblStylePr w:type="band1Horz">
      <w:rPr>
        <w:color w:val="7f7f7f" w:themeColor="text1" w:themeTint="80" w:themeShade="95"/>
        <w:sz w:val="22"/>
      </w:rPr>
      <w:pPr>
        <w:pBdr/>
        <w:spacing/>
        <w:ind/>
      </w:pPr>
      <w:tblPr>
        <w:tblBorders/>
      </w:tblPr>
      <w:tcPr>
        <w:shd w:val="clear" w:color="bfbfbf" w:fill="bfbfbf" w:themeFill="text1" w:themeFillTint="40"/>
        <w:tcBorders/>
      </w:tcPr>
    </w:tblStylePr>
    <w:tblStylePr w:type="band1Vert">
      <w:pPr>
        <w:pBdr/>
        <w:spacing/>
        <w:ind/>
      </w:pPr>
      <w:tblPr>
        <w:tblBorders/>
      </w:tblPr>
      <w:tcPr>
        <w:shd w:val="clear" w:color="bfbfbf" w:fill="bfbfbf" w:themeFill="text1" w:themeFillTint="40"/>
        <w:tcBorders/>
      </w:tcPr>
    </w:tblStylePr>
    <w:tblStylePr w:type="band2Horz">
      <w:rPr>
        <w:color w:val="7f7f7f"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i/>
        <w:color w:val="7f7f7f" w:themeColor="text1" w:themeTint="80" w:themeShade="95"/>
        <w:sz w:val="22"/>
      </w:rPr>
      <w:pPr>
        <w:pBdr/>
        <w:spacing/>
        <w:ind/>
        <w:jc w:val="right"/>
      </w:pPr>
      <w:tblPr>
        <w:tblBorders/>
      </w:tblPr>
      <w:tcPr>
        <w:shd w:val="clear" w:color="ffffff" w:fill="auto"/>
        <w:tcBorders>
          <w:top w:val="none" w:color="000000" w:sz="0" w:space="0"/>
          <w:left w:val="none" w:color="000000" w:sz="0" w:space="0"/>
          <w:bottom w:val="none" w:color="000000" w:sz="0" w:space="0"/>
          <w:right w:val="single" w:color="000000" w:themeColor="text1" w:sz="4" w:space="0"/>
        </w:tcBorders>
      </w:tcPr>
    </w:tblStylePr>
    <w:tblStylePr w:type="firstRow">
      <w:rPr>
        <w:i/>
        <w:color w:val="7f7f7f" w:themeColor="text1" w:themeTint="80" w:themeShade="95"/>
        <w:sz w:val="22"/>
      </w:rPr>
      <w:pPr>
        <w:pBdr/>
        <w:spacing/>
        <w:ind/>
      </w:pPr>
      <w:tblPr>
        <w:tblBorders/>
      </w:tblPr>
      <w:tcPr>
        <w:shd w:val="clear" w:color="ffffff" w:fill="ffffff" w:themeFill="light1"/>
        <w:tcBorders>
          <w:top w:val="none" w:color="000000" w:sz="0" w:space="0"/>
          <w:left w:val="none" w:color="000000" w:sz="0" w:space="0"/>
          <w:bottom w:val="single" w:color="000000" w:themeColor="text1" w:sz="4" w:space="0"/>
          <w:right w:val="none" w:color="000000" w:sz="0" w:space="0"/>
        </w:tcBorders>
      </w:tcPr>
    </w:tblStylePr>
    <w:tblStylePr w:type="lastCol">
      <w:rPr>
        <w:i/>
        <w:color w:val="7f7f7f" w:themeColor="text1" w:themeTint="80" w:themeShade="95"/>
        <w:sz w:val="22"/>
      </w:rPr>
      <w:pPr>
        <w:pBdr/>
        <w:spacing/>
        <w:ind/>
      </w:pPr>
      <w:tblPr>
        <w:tblBorders/>
      </w:tblPr>
      <w:tcPr>
        <w:shd w:val="clear" w:color="ffffff" w:fill="auto"/>
        <w:tcBorders>
          <w:top w:val="none" w:color="000000" w:sz="0" w:space="0"/>
          <w:left w:val="single" w:color="000000" w:themeColor="text1" w:sz="4" w:space="0"/>
          <w:bottom w:val="none" w:color="000000" w:sz="0" w:space="0"/>
          <w:right w:val="none" w:color="000000" w:sz="0" w:space="0"/>
        </w:tcBorders>
      </w:tcPr>
    </w:tblStylePr>
    <w:tblStylePr w:type="lastRow">
      <w:rPr>
        <w:i/>
        <w:color w:val="7f7f7f" w:themeColor="text1" w:themeTint="80" w:themeShade="95"/>
        <w:sz w:val="22"/>
      </w:rPr>
      <w:pPr>
        <w:pBdr/>
        <w:spacing/>
        <w:ind/>
      </w:pPr>
      <w:tblPr>
        <w:tblBorders/>
      </w:tblPr>
      <w:tcPr>
        <w:shd w:val="clear" w:color="ffffff" w:fill="ffffff" w:themeFill="light1"/>
        <w:tcBorders>
          <w:top w:val="single" w:color="000000" w:themeColor="text1" w:sz="4" w:space="0"/>
          <w:left w:val="none" w:color="000000" w:sz="0" w:space="0"/>
          <w:bottom w:val="none" w:color="000000" w:sz="0" w:space="0"/>
          <w:right w:val="none" w:color="000000" w:sz="0"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06" w:customStyle="1">
    <w:name w:val="List Table 7 Colorful - Accent 1"/>
    <w:basedOn w:val="892"/>
    <w:uiPriority w:val="99"/>
    <w:pPr>
      <w:pBdr/>
      <w:spacing/>
      <w:ind/>
    </w:pPr>
    <w:tblPr>
      <w:tblStyleRowBandSize w:val="1"/>
      <w:tblStyleColBandSize w:val="1"/>
      <w:tblInd w:w="0" w:type="dxa"/>
      <w:tblBorders>
        <w:right w:val="single" w:color="4472c4" w:themeColor="accent1" w:sz="4" w:space="0"/>
      </w:tblBorders>
      <w:tblCellMar>
        <w:left w:w="108" w:type="dxa"/>
        <w:top w:w="0" w:type="dxa"/>
        <w:right w:w="108" w:type="dxa"/>
        <w:bottom w:w="0" w:type="dxa"/>
      </w:tblCellMar>
    </w:tblPr>
    <w:tcPr>
      <w:tcBorders/>
    </w:tcPr>
    <w:tblStylePr w:type="band1Horz">
      <w:rPr>
        <w:color w:val="254175" w:themeColor="accent1" w:themeShade="95"/>
        <w:sz w:val="22"/>
      </w:rPr>
      <w:pPr>
        <w:pBdr/>
        <w:spacing/>
        <w:ind/>
      </w:pPr>
      <w:tblPr>
        <w:tblBorders/>
      </w:tblPr>
      <w:tcPr>
        <w:shd w:val="clear" w:color="cfdbf0" w:fill="cfdbf0" w:themeFill="accent1" w:themeFillTint="40"/>
        <w:tcBorders/>
      </w:tcPr>
    </w:tblStylePr>
    <w:tblStylePr w:type="band1Vert">
      <w:pPr>
        <w:pBdr/>
        <w:spacing/>
        <w:ind/>
      </w:pPr>
      <w:tblPr>
        <w:tblBorders/>
      </w:tblPr>
      <w:tcPr>
        <w:shd w:val="clear" w:color="cfdbf0" w:fill="cfdbf0" w:themeFill="accent1" w:themeFillTint="40"/>
        <w:tcBorders/>
      </w:tcPr>
    </w:tblStylePr>
    <w:tblStylePr w:type="band2Horz">
      <w:rPr>
        <w:color w:val="254175"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i/>
        <w:color w:val="254175" w:themeColor="accent1" w:themeShade="95"/>
        <w:sz w:val="22"/>
      </w:rPr>
      <w:pPr>
        <w:pBdr/>
        <w:spacing/>
        <w:ind/>
        <w:jc w:val="right"/>
      </w:pPr>
      <w:tblPr>
        <w:tblBorders/>
      </w:tblPr>
      <w:tcPr>
        <w:shd w:val="clear" w:color="ffffff" w:fill="auto"/>
        <w:tcBorders>
          <w:top w:val="none" w:color="000000" w:sz="0" w:space="0"/>
          <w:left w:val="none" w:color="000000" w:sz="0" w:space="0"/>
          <w:bottom w:val="none" w:color="000000" w:sz="0" w:space="0"/>
          <w:right w:val="single" w:color="4472c4" w:themeColor="accent1" w:sz="4" w:space="0"/>
        </w:tcBorders>
      </w:tcPr>
    </w:tblStylePr>
    <w:tblStylePr w:type="firstRow">
      <w:rPr>
        <w:i/>
        <w:color w:val="254175" w:themeColor="accent1" w:themeShade="95"/>
        <w:sz w:val="22"/>
      </w:rPr>
      <w:pPr>
        <w:pBdr/>
        <w:spacing/>
        <w:ind/>
      </w:pPr>
      <w:tblPr>
        <w:tblBorders/>
      </w:tblPr>
      <w:tcPr>
        <w:shd w:val="clear" w:color="ffffff" w:fill="ffffff" w:themeFill="light1"/>
        <w:tcBorders>
          <w:top w:val="none" w:color="000000" w:sz="0" w:space="0"/>
          <w:left w:val="none" w:color="000000" w:sz="0" w:space="0"/>
          <w:bottom w:val="single" w:color="4472c4" w:themeColor="accent1" w:sz="4" w:space="0"/>
          <w:right w:val="none" w:color="000000" w:sz="0" w:space="0"/>
        </w:tcBorders>
      </w:tcPr>
    </w:tblStylePr>
    <w:tblStylePr w:type="lastCol">
      <w:rPr>
        <w:i/>
        <w:color w:val="254175" w:themeColor="accent1" w:themeShade="95"/>
        <w:sz w:val="22"/>
      </w:rPr>
      <w:pPr>
        <w:pBdr/>
        <w:spacing/>
        <w:ind/>
      </w:pPr>
      <w:tblPr>
        <w:tblBorders/>
      </w:tblPr>
      <w:tcPr>
        <w:shd w:val="clear" w:color="ffffff" w:fill="auto"/>
        <w:tcBorders>
          <w:top w:val="none" w:color="000000" w:sz="0" w:space="0"/>
          <w:left w:val="single" w:color="4472c4" w:themeColor="accent1" w:sz="4" w:space="0"/>
          <w:bottom w:val="none" w:color="000000" w:sz="0" w:space="0"/>
          <w:right w:val="none" w:color="000000" w:sz="0" w:space="0"/>
        </w:tcBorders>
      </w:tcPr>
    </w:tblStylePr>
    <w:tblStylePr w:type="lastRow">
      <w:rPr>
        <w:i/>
        <w:color w:val="254175" w:themeColor="accent1" w:themeShade="95"/>
        <w:sz w:val="22"/>
      </w:rPr>
      <w:pPr>
        <w:pBdr/>
        <w:spacing/>
        <w:ind/>
      </w:pPr>
      <w:tblPr>
        <w:tblBorders/>
      </w:tblPr>
      <w:tcPr>
        <w:shd w:val="clear" w:color="ffffff" w:fill="ffffff" w:themeFill="light1"/>
        <w:tcBorders>
          <w:top w:val="single" w:color="4472c4" w:themeColor="accent1" w:sz="4" w:space="0"/>
          <w:left w:val="none" w:color="000000" w:sz="0" w:space="0"/>
          <w:bottom w:val="none" w:color="000000" w:sz="0" w:space="0"/>
          <w:right w:val="none" w:color="000000" w:sz="0"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07" w:customStyle="1">
    <w:name w:val="List Table 7 Colorful - Accent 2"/>
    <w:basedOn w:val="892"/>
    <w:uiPriority w:val="99"/>
    <w:pPr>
      <w:pBdr/>
      <w:spacing/>
      <w:ind/>
    </w:pPr>
    <w:tblPr>
      <w:tblStyleRowBandSize w:val="1"/>
      <w:tblStyleColBandSize w:val="1"/>
      <w:tblInd w:w="0" w:type="dxa"/>
      <w:tblBorders>
        <w:right w:val="single" w:color="f4b184" w:themeColor="accent2" w:themeTint="97" w:sz="4" w:space="0"/>
      </w:tblBorders>
      <w:tblCellMar>
        <w:left w:w="108" w:type="dxa"/>
        <w:top w:w="0" w:type="dxa"/>
        <w:right w:w="108" w:type="dxa"/>
        <w:bottom w:w="0" w:type="dxa"/>
      </w:tblCellMar>
    </w:tblPr>
    <w:tcPr>
      <w:tcBorders/>
    </w:tcPr>
    <w:tblStylePr w:type="band1Horz">
      <w:rPr>
        <w:color w:val="f4b184" w:themeColor="accent2" w:themeTint="97" w:themeShade="95"/>
        <w:sz w:val="22"/>
      </w:rPr>
      <w:pPr>
        <w:pBdr/>
        <w:spacing/>
        <w:ind/>
      </w:pPr>
      <w:tblPr>
        <w:tblBorders/>
      </w:tblPr>
      <w:tcPr>
        <w:shd w:val="clear" w:color="fadecb" w:fill="fadecb" w:themeFill="accent2" w:themeFillTint="40"/>
        <w:tcBorders/>
      </w:tcPr>
    </w:tblStylePr>
    <w:tblStylePr w:type="band1Vert">
      <w:pPr>
        <w:pBdr/>
        <w:spacing/>
        <w:ind/>
      </w:pPr>
      <w:tblPr>
        <w:tblBorders/>
      </w:tblPr>
      <w:tcPr>
        <w:shd w:val="clear" w:color="fadecb" w:fill="fadecb" w:themeFill="accent2" w:themeFillTint="40"/>
        <w:tcBorders/>
      </w:tcPr>
    </w:tblStylePr>
    <w:tblStylePr w:type="band2Horz">
      <w:rPr>
        <w:color w:val="f4b184"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i/>
        <w:color w:val="f4b184" w:themeColor="accent2" w:themeTint="97" w:themeShade="95"/>
        <w:sz w:val="22"/>
      </w:rPr>
      <w:pPr>
        <w:pBdr/>
        <w:spacing/>
        <w:ind/>
        <w:jc w:val="right"/>
      </w:pPr>
      <w:tblPr>
        <w:tblBorders/>
      </w:tblPr>
      <w:tcPr>
        <w:shd w:val="clear" w:color="ffffff" w:fill="auto"/>
        <w:tcBorders>
          <w:top w:val="none" w:color="000000" w:sz="0" w:space="0"/>
          <w:left w:val="none" w:color="000000" w:sz="0" w:space="0"/>
          <w:bottom w:val="none" w:color="000000" w:sz="0" w:space="0"/>
          <w:right w:val="single" w:color="ed7d31" w:themeColor="accent2" w:sz="4" w:space="0"/>
        </w:tcBorders>
      </w:tcPr>
    </w:tblStylePr>
    <w:tblStylePr w:type="firstRow">
      <w:rPr>
        <w:i/>
        <w:color w:val="f4b184" w:themeColor="accent2" w:themeTint="97" w:themeShade="95"/>
        <w:sz w:val="22"/>
      </w:rPr>
      <w:pPr>
        <w:pBdr/>
        <w:spacing/>
        <w:ind/>
      </w:pPr>
      <w:tblPr>
        <w:tblBorders/>
      </w:tblPr>
      <w:tcPr>
        <w:shd w:val="clear" w:color="ffffff" w:fill="ffffff" w:themeFill="light1"/>
        <w:tcBorders>
          <w:top w:val="none" w:color="000000" w:sz="0" w:space="0"/>
          <w:left w:val="none" w:color="000000" w:sz="0" w:space="0"/>
          <w:bottom w:val="single" w:color="ed7d31" w:themeColor="accent2" w:sz="4" w:space="0"/>
          <w:right w:val="none" w:color="000000" w:sz="0" w:space="0"/>
        </w:tcBorders>
      </w:tcPr>
    </w:tblStylePr>
    <w:tblStylePr w:type="lastCol">
      <w:rPr>
        <w:i/>
        <w:color w:val="f4b184" w:themeColor="accent2" w:themeTint="97" w:themeShade="95"/>
        <w:sz w:val="22"/>
      </w:rPr>
      <w:pPr>
        <w:pBdr/>
        <w:spacing/>
        <w:ind/>
      </w:pPr>
      <w:tblPr>
        <w:tblBorders/>
      </w:tblPr>
      <w:tcPr>
        <w:shd w:val="clear" w:color="ffffff" w:fill="auto"/>
        <w:tcBorders>
          <w:top w:val="none" w:color="000000" w:sz="0" w:space="0"/>
          <w:left w:val="single" w:color="ed7d31" w:themeColor="accent2" w:sz="4" w:space="0"/>
          <w:bottom w:val="none" w:color="000000" w:sz="0" w:space="0"/>
          <w:right w:val="none" w:color="000000" w:sz="0" w:space="0"/>
        </w:tcBorders>
      </w:tcPr>
    </w:tblStylePr>
    <w:tblStylePr w:type="lastRow">
      <w:rPr>
        <w:i/>
        <w:color w:val="f4b184" w:themeColor="accent2" w:themeTint="97" w:themeShade="95"/>
        <w:sz w:val="22"/>
      </w:rPr>
      <w:pPr>
        <w:pBdr/>
        <w:spacing/>
        <w:ind/>
      </w:pPr>
      <w:tblPr>
        <w:tblBorders/>
      </w:tblPr>
      <w:tcPr>
        <w:shd w:val="clear" w:color="ffffff" w:fill="ffffff" w:themeFill="light1"/>
        <w:tcBorders>
          <w:top w:val="single" w:color="ed7d31" w:themeColor="accent2" w:sz="4" w:space="0"/>
          <w:left w:val="none" w:color="000000" w:sz="0" w:space="0"/>
          <w:bottom w:val="none" w:color="000000" w:sz="0" w:space="0"/>
          <w:right w:val="none" w:color="000000" w:sz="0"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08" w:customStyle="1">
    <w:name w:val="List Table 7 Colorful - Accent 3"/>
    <w:basedOn w:val="892"/>
    <w:uiPriority w:val="99"/>
    <w:pPr>
      <w:pBdr/>
      <w:spacing/>
      <w:ind/>
    </w:pPr>
    <w:tblPr>
      <w:tblStyleRowBandSize w:val="1"/>
      <w:tblStyleColBandSize w:val="1"/>
      <w:tblInd w:w="0" w:type="dxa"/>
      <w:tblBorders>
        <w:right w:val="single" w:color="c9c9c9" w:themeColor="accent3" w:themeTint="98" w:sz="4" w:space="0"/>
      </w:tblBorders>
      <w:tblCellMar>
        <w:left w:w="108" w:type="dxa"/>
        <w:top w:w="0" w:type="dxa"/>
        <w:right w:w="108" w:type="dxa"/>
        <w:bottom w:w="0" w:type="dxa"/>
      </w:tblCellMar>
    </w:tblPr>
    <w:tcPr>
      <w:tcBorders/>
    </w:tcPr>
    <w:tblStylePr w:type="band1Horz">
      <w:rPr>
        <w:color w:val="c9c9c9" w:themeColor="accent3" w:themeTint="98" w:themeShade="95"/>
        <w:sz w:val="22"/>
      </w:rPr>
      <w:pPr>
        <w:pBdr/>
        <w:spacing/>
        <w:ind/>
      </w:pPr>
      <w:tblPr>
        <w:tblBorders/>
      </w:tblPr>
      <w:tcPr>
        <w:shd w:val="clear" w:color="e8e8e8" w:fill="e8e8e8" w:themeFill="accent3" w:themeFillTint="40"/>
        <w:tcBorders/>
      </w:tcPr>
    </w:tblStylePr>
    <w:tblStylePr w:type="band1Vert">
      <w:pPr>
        <w:pBdr/>
        <w:spacing/>
        <w:ind/>
      </w:pPr>
      <w:tblPr>
        <w:tblBorders/>
      </w:tblPr>
      <w:tcPr>
        <w:shd w:val="clear" w:color="e8e8e8" w:fill="e8e8e8" w:themeFill="accent3" w:themeFillTint="40"/>
        <w:tcBorders/>
      </w:tcPr>
    </w:tblStylePr>
    <w:tblStylePr w:type="band2Horz">
      <w:rPr>
        <w:color w:val="c9c9c9"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i/>
        <w:color w:val="c9c9c9" w:themeColor="accent3" w:themeTint="98" w:themeShade="95"/>
        <w:sz w:val="22"/>
      </w:rPr>
      <w:pPr>
        <w:pBdr/>
        <w:spacing/>
        <w:ind/>
        <w:jc w:val="right"/>
      </w:pPr>
      <w:tblPr>
        <w:tblBorders/>
      </w:tblPr>
      <w:tcPr>
        <w:shd w:val="clear" w:color="ffffff" w:fill="auto"/>
        <w:tcBorders>
          <w:top w:val="none" w:color="000000" w:sz="0" w:space="0"/>
          <w:left w:val="none" w:color="000000" w:sz="0" w:space="0"/>
          <w:bottom w:val="none" w:color="000000" w:sz="0" w:space="0"/>
          <w:right w:val="single" w:color="a5a5a5" w:themeColor="accent3" w:sz="4" w:space="0"/>
        </w:tcBorders>
      </w:tcPr>
    </w:tblStylePr>
    <w:tblStylePr w:type="firstRow">
      <w:rPr>
        <w:i/>
        <w:color w:val="c9c9c9" w:themeColor="accent3" w:themeTint="98" w:themeShade="95"/>
        <w:sz w:val="22"/>
      </w:rPr>
      <w:pPr>
        <w:pBdr/>
        <w:spacing/>
        <w:ind/>
      </w:pPr>
      <w:tblPr>
        <w:tblBorders/>
      </w:tblPr>
      <w:tcPr>
        <w:shd w:val="clear" w:color="ffffff" w:fill="ffffff" w:themeFill="light1"/>
        <w:tcBorders>
          <w:top w:val="none" w:color="000000" w:sz="0" w:space="0"/>
          <w:left w:val="none" w:color="000000" w:sz="0" w:space="0"/>
          <w:bottom w:val="single" w:color="a5a5a5" w:themeColor="accent3" w:sz="4" w:space="0"/>
          <w:right w:val="none" w:color="000000" w:sz="0" w:space="0"/>
        </w:tcBorders>
      </w:tcPr>
    </w:tblStylePr>
    <w:tblStylePr w:type="lastCol">
      <w:rPr>
        <w:i/>
        <w:color w:val="c9c9c9" w:themeColor="accent3" w:themeTint="98" w:themeShade="95"/>
        <w:sz w:val="22"/>
      </w:rPr>
      <w:pPr>
        <w:pBdr/>
        <w:spacing/>
        <w:ind/>
      </w:pPr>
      <w:tblPr>
        <w:tblBorders/>
      </w:tblPr>
      <w:tcPr>
        <w:shd w:val="clear" w:color="ffffff" w:fill="auto"/>
        <w:tcBorders>
          <w:top w:val="none" w:color="000000" w:sz="0" w:space="0"/>
          <w:left w:val="single" w:color="a5a5a5" w:themeColor="accent3" w:sz="4" w:space="0"/>
          <w:bottom w:val="none" w:color="000000" w:sz="0" w:space="0"/>
          <w:right w:val="none" w:color="000000" w:sz="0" w:space="0"/>
        </w:tcBorders>
      </w:tcPr>
    </w:tblStylePr>
    <w:tblStylePr w:type="lastRow">
      <w:rPr>
        <w:i/>
        <w:color w:val="c9c9c9" w:themeColor="accent3" w:themeTint="98" w:themeShade="95"/>
        <w:sz w:val="22"/>
      </w:rPr>
      <w:pPr>
        <w:pBdr/>
        <w:spacing/>
        <w:ind/>
      </w:pPr>
      <w:tblPr>
        <w:tblBorders/>
      </w:tblPr>
      <w:tcPr>
        <w:shd w:val="clear" w:color="ffffff" w:fill="ffffff" w:themeFill="light1"/>
        <w:tcBorders>
          <w:top w:val="single" w:color="a5a5a5" w:themeColor="accent3" w:sz="4" w:space="0"/>
          <w:left w:val="none" w:color="000000" w:sz="0" w:space="0"/>
          <w:bottom w:val="none" w:color="000000" w:sz="0" w:space="0"/>
          <w:right w:val="none" w:color="000000" w:sz="0"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09" w:customStyle="1">
    <w:name w:val="List Table 7 Colorful - Accent 4"/>
    <w:basedOn w:val="892"/>
    <w:uiPriority w:val="99"/>
    <w:pPr>
      <w:pBdr/>
      <w:spacing/>
      <w:ind/>
    </w:pPr>
    <w:tblPr>
      <w:tblStyleRowBandSize w:val="1"/>
      <w:tblStyleColBandSize w:val="1"/>
      <w:tblInd w:w="0" w:type="dxa"/>
      <w:tblBorders>
        <w:right w:val="single" w:color="ffd865" w:themeColor="accent4" w:themeTint="9A" w:sz="4" w:space="0"/>
      </w:tblBorders>
      <w:tblCellMar>
        <w:left w:w="108" w:type="dxa"/>
        <w:top w:w="0" w:type="dxa"/>
        <w:right w:w="108" w:type="dxa"/>
        <w:bottom w:w="0" w:type="dxa"/>
      </w:tblCellMar>
    </w:tblPr>
    <w:tcPr>
      <w:tcBorders/>
    </w:tcPr>
    <w:tblStylePr w:type="band1Horz">
      <w:rPr>
        <w:color w:val="ffd865" w:themeColor="accent4" w:themeTint="9A" w:themeShade="95"/>
        <w:sz w:val="22"/>
      </w:rPr>
      <w:pPr>
        <w:pBdr/>
        <w:spacing/>
        <w:ind/>
      </w:pPr>
      <w:tblPr>
        <w:tblBorders/>
      </w:tblPr>
      <w:tcPr>
        <w:shd w:val="clear" w:color="ffefbf" w:fill="ffefbf" w:themeFill="accent4" w:themeFillTint="40"/>
        <w:tcBorders/>
      </w:tcPr>
    </w:tblStylePr>
    <w:tblStylePr w:type="band1Vert">
      <w:pPr>
        <w:pBdr/>
        <w:spacing/>
        <w:ind/>
      </w:pPr>
      <w:tblPr>
        <w:tblBorders/>
      </w:tblPr>
      <w:tcPr>
        <w:shd w:val="clear" w:color="ffefbf" w:fill="ffefbf" w:themeFill="accent4" w:themeFillTint="40"/>
        <w:tcBorders/>
      </w:tcPr>
    </w:tblStylePr>
    <w:tblStylePr w:type="band2Horz">
      <w:rPr>
        <w:color w:val="ffd865"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i/>
        <w:color w:val="ffd865" w:themeColor="accent4" w:themeTint="9A" w:themeShade="95"/>
        <w:sz w:val="22"/>
      </w:rPr>
      <w:pPr>
        <w:pBdr/>
        <w:spacing/>
        <w:ind/>
        <w:jc w:val="right"/>
      </w:pPr>
      <w:tblPr>
        <w:tblBorders/>
      </w:tblPr>
      <w:tcPr>
        <w:shd w:val="clear" w:color="ffffff" w:fill="auto"/>
        <w:tcBorders>
          <w:top w:val="none" w:color="000000" w:sz="0" w:space="0"/>
          <w:left w:val="none" w:color="000000" w:sz="0" w:space="0"/>
          <w:bottom w:val="none" w:color="000000" w:sz="0" w:space="0"/>
          <w:right w:val="single" w:color="ffc000" w:themeColor="accent4" w:sz="4" w:space="0"/>
        </w:tcBorders>
      </w:tcPr>
    </w:tblStylePr>
    <w:tblStylePr w:type="firstRow">
      <w:rPr>
        <w:i/>
        <w:color w:val="ffd865" w:themeColor="accent4" w:themeTint="9A" w:themeShade="95"/>
        <w:sz w:val="22"/>
      </w:rPr>
      <w:pPr>
        <w:pBdr/>
        <w:spacing/>
        <w:ind/>
      </w:pPr>
      <w:tblPr>
        <w:tblBorders/>
      </w:tblPr>
      <w:tcPr>
        <w:shd w:val="clear" w:color="ffffff" w:fill="ffffff" w:themeFill="light1"/>
        <w:tcBorders>
          <w:top w:val="none" w:color="000000" w:sz="0" w:space="0"/>
          <w:left w:val="none" w:color="000000" w:sz="0" w:space="0"/>
          <w:bottom w:val="single" w:color="ffc000" w:themeColor="accent4" w:sz="4" w:space="0"/>
          <w:right w:val="none" w:color="000000" w:sz="0" w:space="0"/>
        </w:tcBorders>
      </w:tcPr>
    </w:tblStylePr>
    <w:tblStylePr w:type="lastCol">
      <w:rPr>
        <w:i/>
        <w:color w:val="ffd865" w:themeColor="accent4" w:themeTint="9A" w:themeShade="95"/>
        <w:sz w:val="22"/>
      </w:rPr>
      <w:pPr>
        <w:pBdr/>
        <w:spacing/>
        <w:ind/>
      </w:pPr>
      <w:tblPr>
        <w:tblBorders/>
      </w:tblPr>
      <w:tcPr>
        <w:shd w:val="clear" w:color="ffffff" w:fill="auto"/>
        <w:tcBorders>
          <w:top w:val="none" w:color="000000" w:sz="0" w:space="0"/>
          <w:left w:val="single" w:color="ffc000" w:themeColor="accent4" w:sz="4" w:space="0"/>
          <w:bottom w:val="none" w:color="000000" w:sz="0" w:space="0"/>
          <w:right w:val="none" w:color="000000" w:sz="0" w:space="0"/>
        </w:tcBorders>
      </w:tcPr>
    </w:tblStylePr>
    <w:tblStylePr w:type="lastRow">
      <w:rPr>
        <w:i/>
        <w:color w:val="ffd865" w:themeColor="accent4" w:themeTint="9A" w:themeShade="95"/>
        <w:sz w:val="22"/>
      </w:rPr>
      <w:pPr>
        <w:pBdr/>
        <w:spacing/>
        <w:ind/>
      </w:pPr>
      <w:tblPr>
        <w:tblBorders/>
      </w:tblPr>
      <w:tcPr>
        <w:shd w:val="clear" w:color="ffffff" w:fill="ffffff" w:themeFill="light1"/>
        <w:tcBorders>
          <w:top w:val="single" w:color="ffc000" w:themeColor="accent4" w:sz="4" w:space="0"/>
          <w:left w:val="none" w:color="000000" w:sz="0" w:space="0"/>
          <w:bottom w:val="none" w:color="000000" w:sz="0" w:space="0"/>
          <w:right w:val="none" w:color="000000" w:sz="0"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10" w:customStyle="1">
    <w:name w:val="List Table 7 Colorful - Accent 5"/>
    <w:basedOn w:val="892"/>
    <w:uiPriority w:val="99"/>
    <w:pPr>
      <w:pBdr/>
      <w:spacing/>
      <w:ind/>
    </w:pPr>
    <w:tblPr>
      <w:tblStyleRowBandSize w:val="1"/>
      <w:tblStyleColBandSize w:val="1"/>
      <w:tblInd w:w="0" w:type="dxa"/>
      <w:tblBorders>
        <w:right w:val="single" w:color="9bc2e5" w:themeColor="accent5" w:themeTint="9A" w:sz="4" w:space="0"/>
      </w:tblBorders>
      <w:tblCellMar>
        <w:left w:w="108" w:type="dxa"/>
        <w:top w:w="0" w:type="dxa"/>
        <w:right w:w="108" w:type="dxa"/>
        <w:bottom w:w="0" w:type="dxa"/>
      </w:tblCellMar>
    </w:tblPr>
    <w:tcPr>
      <w:tcBorders/>
    </w:tcPr>
    <w:tblStylePr w:type="band1Horz">
      <w:rPr>
        <w:color w:val="9bc2e5" w:themeColor="accent5" w:themeTint="9A" w:themeShade="95"/>
        <w:sz w:val="22"/>
      </w:rPr>
      <w:pPr>
        <w:pBdr/>
        <w:spacing/>
        <w:ind/>
      </w:pPr>
      <w:tblPr>
        <w:tblBorders/>
      </w:tblPr>
      <w:tcPr>
        <w:shd w:val="clear" w:color="d5e5f4" w:fill="d5e5f4" w:themeFill="accent5" w:themeFillTint="40"/>
        <w:tcBorders/>
      </w:tcPr>
    </w:tblStylePr>
    <w:tblStylePr w:type="band1Vert">
      <w:pPr>
        <w:pBdr/>
        <w:spacing/>
        <w:ind/>
      </w:pPr>
      <w:tblPr>
        <w:tblBorders/>
      </w:tblPr>
      <w:tcPr>
        <w:shd w:val="clear" w:color="d5e5f4" w:fill="d5e5f4" w:themeFill="accent5" w:themeFillTint="40"/>
        <w:tcBorders/>
      </w:tcPr>
    </w:tblStylePr>
    <w:tblStylePr w:type="band2Horz">
      <w:rPr>
        <w:color w:val="9bc2e5"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i/>
        <w:color w:val="9bc2e5" w:themeColor="accent5" w:themeTint="9A" w:themeShade="95"/>
        <w:sz w:val="22"/>
      </w:rPr>
      <w:pPr>
        <w:pBdr/>
        <w:spacing/>
        <w:ind/>
        <w:jc w:val="right"/>
      </w:pPr>
      <w:tblPr>
        <w:tblBorders/>
      </w:tblPr>
      <w:tcPr>
        <w:shd w:val="clear" w:color="ffffff" w:fill="auto"/>
        <w:tcBorders>
          <w:top w:val="none" w:color="000000" w:sz="0" w:space="0"/>
          <w:left w:val="none" w:color="000000" w:sz="0" w:space="0"/>
          <w:bottom w:val="none" w:color="000000" w:sz="0" w:space="0"/>
          <w:right w:val="single" w:color="5b9bd5" w:themeColor="accent5" w:sz="4" w:space="0"/>
        </w:tcBorders>
      </w:tcPr>
    </w:tblStylePr>
    <w:tblStylePr w:type="firstRow">
      <w:rPr>
        <w:i/>
        <w:color w:val="9bc2e5" w:themeColor="accent5" w:themeTint="9A" w:themeShade="95"/>
        <w:sz w:val="22"/>
      </w:rPr>
      <w:pPr>
        <w:pBdr/>
        <w:spacing/>
        <w:ind/>
      </w:pPr>
      <w:tblPr>
        <w:tblBorders/>
      </w:tblPr>
      <w:tcPr>
        <w:shd w:val="clear" w:color="ffffff" w:fill="ffffff" w:themeFill="light1"/>
        <w:tcBorders>
          <w:top w:val="none" w:color="000000" w:sz="0" w:space="0"/>
          <w:left w:val="none" w:color="000000" w:sz="0" w:space="0"/>
          <w:bottom w:val="single" w:color="5b9bd5" w:themeColor="accent5" w:sz="4" w:space="0"/>
          <w:right w:val="none" w:color="000000" w:sz="0" w:space="0"/>
        </w:tcBorders>
      </w:tcPr>
    </w:tblStylePr>
    <w:tblStylePr w:type="lastCol">
      <w:rPr>
        <w:i/>
        <w:color w:val="9bc2e5" w:themeColor="accent5" w:themeTint="9A" w:themeShade="95"/>
        <w:sz w:val="22"/>
      </w:rPr>
      <w:pPr>
        <w:pBdr/>
        <w:spacing/>
        <w:ind/>
      </w:pPr>
      <w:tblPr>
        <w:tblBorders/>
      </w:tblPr>
      <w:tcPr>
        <w:shd w:val="clear" w:color="ffffff" w:fill="auto"/>
        <w:tcBorders>
          <w:top w:val="none" w:color="000000" w:sz="0" w:space="0"/>
          <w:left w:val="single" w:color="5b9bd5" w:themeColor="accent5" w:sz="4" w:space="0"/>
          <w:bottom w:val="none" w:color="000000" w:sz="0" w:space="0"/>
          <w:right w:val="none" w:color="000000" w:sz="0" w:space="0"/>
        </w:tcBorders>
      </w:tcPr>
    </w:tblStylePr>
    <w:tblStylePr w:type="lastRow">
      <w:rPr>
        <w:i/>
        <w:color w:val="9bc2e5" w:themeColor="accent5" w:themeTint="9A" w:themeShade="95"/>
        <w:sz w:val="22"/>
      </w:rPr>
      <w:pPr>
        <w:pBdr/>
        <w:spacing/>
        <w:ind/>
      </w:pPr>
      <w:tblPr>
        <w:tblBorders/>
      </w:tblPr>
      <w:tcPr>
        <w:shd w:val="clear" w:color="ffffff" w:fill="ffffff" w:themeFill="light1"/>
        <w:tcBorders>
          <w:top w:val="single" w:color="5b9bd5" w:themeColor="accent5" w:sz="4" w:space="0"/>
          <w:left w:val="none" w:color="000000" w:sz="0" w:space="0"/>
          <w:bottom w:val="none" w:color="000000" w:sz="0" w:space="0"/>
          <w:right w:val="none" w:color="000000" w:sz="0"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11" w:customStyle="1">
    <w:name w:val="List Table 7 Colorful - Accent 6"/>
    <w:basedOn w:val="892"/>
    <w:uiPriority w:val="99"/>
    <w:pPr>
      <w:pBdr/>
      <w:spacing/>
      <w:ind/>
    </w:pPr>
    <w:tblPr>
      <w:tblStyleRowBandSize w:val="1"/>
      <w:tblStyleColBandSize w:val="1"/>
      <w:tblInd w:w="0" w:type="dxa"/>
      <w:tblBorders>
        <w:right w:val="single" w:color="a9d08e" w:themeColor="accent6" w:themeTint="98" w:sz="4" w:space="0"/>
      </w:tblBorders>
      <w:tblCellMar>
        <w:left w:w="108" w:type="dxa"/>
        <w:top w:w="0" w:type="dxa"/>
        <w:right w:w="108" w:type="dxa"/>
        <w:bottom w:w="0" w:type="dxa"/>
      </w:tblCellMar>
    </w:tblPr>
    <w:tcPr>
      <w:tcBorders/>
    </w:tcPr>
    <w:tblStylePr w:type="band1Horz">
      <w:rPr>
        <w:color w:val="a9d08e" w:themeColor="accent6" w:themeTint="98" w:themeShade="95"/>
        <w:sz w:val="22"/>
      </w:rPr>
      <w:pPr>
        <w:pBdr/>
        <w:spacing/>
        <w:ind/>
      </w:pPr>
      <w:tblPr>
        <w:tblBorders/>
      </w:tblPr>
      <w:tcPr>
        <w:shd w:val="clear" w:color="daebcf" w:fill="daebcf" w:themeFill="accent6" w:themeFillTint="40"/>
        <w:tcBorders/>
      </w:tcPr>
    </w:tblStylePr>
    <w:tblStylePr w:type="band1Vert">
      <w:pPr>
        <w:pBdr/>
        <w:spacing/>
        <w:ind/>
      </w:pPr>
      <w:tblPr>
        <w:tblBorders/>
      </w:tblPr>
      <w:tcPr>
        <w:shd w:val="clear" w:color="daebcf" w:fill="daebcf" w:themeFill="accent6" w:themeFillTint="40"/>
        <w:tcBorders/>
      </w:tcPr>
    </w:tblStylePr>
    <w:tblStylePr w:type="band2Horz">
      <w:rPr>
        <w:color w:val="a9d08e"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i/>
        <w:color w:val="a9d08e" w:themeColor="accent6" w:themeTint="98" w:themeShade="95"/>
        <w:sz w:val="22"/>
      </w:rPr>
      <w:pPr>
        <w:pBdr/>
        <w:spacing/>
        <w:ind/>
        <w:jc w:val="right"/>
      </w:pPr>
      <w:tblPr>
        <w:tblBorders/>
      </w:tblPr>
      <w:tcPr>
        <w:shd w:val="clear" w:color="ffffff" w:fill="auto"/>
        <w:tcBorders>
          <w:top w:val="none" w:color="000000" w:sz="0" w:space="0"/>
          <w:left w:val="none" w:color="000000" w:sz="0" w:space="0"/>
          <w:bottom w:val="none" w:color="000000" w:sz="0" w:space="0"/>
          <w:right w:val="single" w:color="70ad47" w:themeColor="accent6" w:sz="4" w:space="0"/>
        </w:tcBorders>
      </w:tcPr>
    </w:tblStylePr>
    <w:tblStylePr w:type="firstRow">
      <w:rPr>
        <w:i/>
        <w:color w:val="a9d08e" w:themeColor="accent6" w:themeTint="98" w:themeShade="95"/>
        <w:sz w:val="22"/>
      </w:rPr>
      <w:pPr>
        <w:pBdr/>
        <w:spacing/>
        <w:ind/>
      </w:pPr>
      <w:tblPr>
        <w:tblBorders/>
      </w:tblPr>
      <w:tcPr>
        <w:shd w:val="clear" w:color="ffffff" w:fill="ffffff" w:themeFill="light1"/>
        <w:tcBorders>
          <w:top w:val="none" w:color="000000" w:sz="0" w:space="0"/>
          <w:left w:val="none" w:color="000000" w:sz="0" w:space="0"/>
          <w:bottom w:val="single" w:color="70ad47" w:themeColor="accent6" w:sz="4" w:space="0"/>
          <w:right w:val="none" w:color="000000" w:sz="0" w:space="0"/>
        </w:tcBorders>
      </w:tcPr>
    </w:tblStylePr>
    <w:tblStylePr w:type="lastCol">
      <w:rPr>
        <w:i/>
        <w:color w:val="a9d08e" w:themeColor="accent6" w:themeTint="98" w:themeShade="95"/>
        <w:sz w:val="22"/>
      </w:rPr>
      <w:pPr>
        <w:pBdr/>
        <w:spacing/>
        <w:ind/>
      </w:pPr>
      <w:tblPr>
        <w:tblBorders/>
      </w:tblPr>
      <w:tcPr>
        <w:shd w:val="clear" w:color="ffffff" w:fill="auto"/>
        <w:tcBorders>
          <w:top w:val="none" w:color="000000" w:sz="0" w:space="0"/>
          <w:left w:val="single" w:color="70ad47" w:themeColor="accent6" w:sz="4" w:space="0"/>
          <w:bottom w:val="none" w:color="000000" w:sz="0" w:space="0"/>
          <w:right w:val="none" w:color="000000" w:sz="0" w:space="0"/>
        </w:tcBorders>
      </w:tcPr>
    </w:tblStylePr>
    <w:tblStylePr w:type="lastRow">
      <w:rPr>
        <w:i/>
        <w:color w:val="a9d08e" w:themeColor="accent6" w:themeTint="98" w:themeShade="95"/>
        <w:sz w:val="22"/>
      </w:rPr>
      <w:pPr>
        <w:pBdr/>
        <w:spacing/>
        <w:ind/>
      </w:pPr>
      <w:tblPr>
        <w:tblBorders/>
      </w:tblPr>
      <w:tcPr>
        <w:shd w:val="clear" w:color="ffffff" w:fill="ffffff" w:themeFill="light1"/>
        <w:tcBorders>
          <w:top w:val="single" w:color="70ad47" w:themeColor="accent6" w:sz="4" w:space="0"/>
          <w:left w:val="none" w:color="000000" w:sz="0" w:space="0"/>
          <w:bottom w:val="none" w:color="000000" w:sz="0" w:space="0"/>
          <w:right w:val="none" w:color="000000" w:sz="0"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12" w:customStyle="1">
    <w:name w:val="Lined - Accent"/>
    <w:basedOn w:val="892"/>
    <w:uiPriority w:val="99"/>
    <w:pPr>
      <w:pBdr/>
      <w:spacing/>
      <w:ind/>
    </w:pPr>
    <w:rPr>
      <w:color w:val="404040"/>
      <w:lang w:val="en-US" w:eastAsia="en-US"/>
    </w:rPr>
    <w:tblPr>
      <w:tblStyleRowBandSize w:val="1"/>
      <w:tblStyleColBandSize w:val="1"/>
      <w:tblInd w:w="0" w:type="dxa"/>
      <w:tblBorders/>
      <w:tblCellMar>
        <w:left w:w="108" w:type="dxa"/>
        <w:top w:w="0" w:type="dxa"/>
        <w:right w:w="108" w:type="dxa"/>
        <w:bottom w:w="0" w:type="dxa"/>
      </w:tblCellMar>
    </w:tblPr>
    <w:tcPr>
      <w:tcBorders/>
    </w:tcPr>
    <w:tblStylePr w:type="band1Horz">
      <w:rPr>
        <w:color w:val="404040"/>
        <w:sz w:val="22"/>
      </w:rPr>
      <w:pPr>
        <w:pBdr/>
        <w:spacing/>
        <w:ind/>
      </w:pPr>
      <w:tblPr>
        <w:tblBorders/>
      </w:tblPr>
      <w:tcPr>
        <w:tcBorders/>
      </w:tcPr>
    </w:tblStylePr>
    <w:tblStylePr w:type="band1Vert">
      <w:rPr>
        <w:color w:val="404040"/>
        <w:sz w:val="22"/>
      </w:rPr>
      <w:pPr>
        <w:pBdr/>
        <w:spacing/>
        <w:ind/>
      </w:pPr>
      <w:tblPr>
        <w:tblBorders/>
      </w:tblPr>
      <w:tcPr>
        <w:tcBorders/>
      </w:tcPr>
    </w:tblStylePr>
    <w:tblStylePr w:type="band2Horz">
      <w:rPr>
        <w:color w:val="404040"/>
        <w:sz w:val="22"/>
      </w:rPr>
      <w:pPr>
        <w:pBdr/>
        <w:spacing/>
        <w:ind/>
      </w:pPr>
      <w:tblPr>
        <w:tblBorders/>
      </w:tblPr>
      <w:tcPr>
        <w:shd w:val="clear" w:color="f2f2f2" w:fill="ffffff" w:themeFill="text1" w:themeFillTint="00"/>
        <w:tcBorders/>
      </w:tcPr>
    </w:tblStylePr>
    <w:tblStylePr w:type="band2Vert">
      <w:rPr>
        <w:color w:val="404040"/>
        <w:sz w:val="22"/>
      </w:rPr>
      <w:pPr>
        <w:pBdr/>
        <w:spacing/>
        <w:ind/>
      </w:pPr>
      <w:tblPr>
        <w:tblBorders/>
      </w:tblPr>
      <w:tcPr>
        <w:shd w:val="clear" w:color="f2f2f2" w:fill="ffffff" w:themeFill="text1" w:themeFillTint="00"/>
        <w:tcBorders/>
      </w:tcPr>
    </w:tblStylePr>
    <w:tblStylePr w:type="firstCol">
      <w:rPr>
        <w:color w:val="f2f2f2"/>
        <w:sz w:val="22"/>
      </w:rPr>
      <w:pPr>
        <w:pBdr/>
        <w:spacing/>
        <w:ind/>
      </w:pPr>
      <w:tblPr>
        <w:tblBorders/>
      </w:tblPr>
      <w:tcPr>
        <w:shd w:val="clear" w:color="7f7f7f" w:fill="7f7f7f" w:themeFill="text1" w:themeFillTint="80"/>
        <w:tcBorders/>
      </w:tcPr>
    </w:tblStylePr>
    <w:tblStylePr w:type="firstRow">
      <w:rPr>
        <w:color w:val="f2f2f2"/>
        <w:sz w:val="22"/>
      </w:rPr>
      <w:pPr>
        <w:pBdr/>
        <w:spacing/>
        <w:ind/>
      </w:pPr>
      <w:tblPr>
        <w:tblBorders/>
      </w:tblPr>
      <w:tcPr>
        <w:shd w:val="clear" w:color="7f7f7f" w:fill="7f7f7f" w:themeFill="text1" w:themeFillTint="80"/>
        <w:tcBorders/>
      </w:tcPr>
    </w:tblStylePr>
    <w:tblStylePr w:type="lastCol">
      <w:rPr>
        <w:color w:val="f2f2f2"/>
        <w:sz w:val="22"/>
      </w:rPr>
      <w:pPr>
        <w:pBdr/>
        <w:spacing/>
        <w:ind/>
      </w:pPr>
      <w:tblPr>
        <w:tblBorders/>
      </w:tblPr>
      <w:tcPr>
        <w:shd w:val="clear" w:color="7f7f7f" w:fill="7f7f7f" w:themeFill="text1" w:themeFillTint="80"/>
        <w:tcBorders/>
      </w:tcPr>
    </w:tblStylePr>
    <w:tblStylePr w:type="lastRow">
      <w:rPr>
        <w:color w:val="f2f2f2"/>
        <w:sz w:val="22"/>
      </w:rPr>
      <w:pPr>
        <w:pBdr/>
        <w:spacing/>
        <w:ind/>
      </w:pPr>
      <w:tblPr>
        <w:tblBorders/>
      </w:tblPr>
      <w:tcPr>
        <w:shd w:val="clear" w:color="7f7f7f"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13" w:customStyle="1">
    <w:name w:val="Lined - Accent 1"/>
    <w:basedOn w:val="892"/>
    <w:uiPriority w:val="99"/>
    <w:pPr>
      <w:pBdr/>
      <w:spacing/>
      <w:ind/>
    </w:pPr>
    <w:rPr>
      <w:color w:val="404040"/>
      <w:lang w:val="en-US" w:eastAsia="en-US"/>
    </w:rPr>
    <w:tblPr>
      <w:tblStyleRowBandSize w:val="1"/>
      <w:tblStyleColBandSize w:val="1"/>
      <w:tblInd w:w="0" w:type="dxa"/>
      <w:tblBorders/>
      <w:tblCellMar>
        <w:left w:w="108" w:type="dxa"/>
        <w:top w:w="0" w:type="dxa"/>
        <w:right w:w="108" w:type="dxa"/>
        <w:bottom w:w="0" w:type="dxa"/>
      </w:tblCellMar>
    </w:tblPr>
    <w:tcPr>
      <w:tcBorders/>
    </w:tcPr>
    <w:tblStylePr w:type="band1Horz">
      <w:rPr>
        <w:color w:val="404040"/>
        <w:sz w:val="22"/>
      </w:rPr>
      <w:pPr>
        <w:pBdr/>
        <w:spacing/>
        <w:ind/>
      </w:pPr>
      <w:tblPr>
        <w:tblBorders/>
      </w:tblPr>
      <w:tcPr>
        <w:tcBorders/>
      </w:tcPr>
    </w:tblStylePr>
    <w:tblStylePr w:type="band1Vert">
      <w:rPr>
        <w:color w:val="404040"/>
        <w:sz w:val="22"/>
      </w:rPr>
      <w:pPr>
        <w:pBdr/>
        <w:spacing/>
        <w:ind/>
      </w:pPr>
      <w:tblPr>
        <w:tblBorders/>
      </w:tblPr>
      <w:tcPr>
        <w:tcBorders/>
      </w:tcPr>
    </w:tblStylePr>
    <w:tblStylePr w:type="band2Horz">
      <w:rPr>
        <w:color w:val="404040"/>
        <w:sz w:val="22"/>
      </w:rPr>
      <w:pPr>
        <w:pBdr/>
        <w:spacing/>
        <w:ind/>
      </w:pPr>
      <w:tblPr>
        <w:tblBorders/>
      </w:tblPr>
      <w:tcPr>
        <w:shd w:val="clear" w:color="c4d2ec" w:fill="c4d2ec" w:themeFill="accent1" w:themeFillTint="50"/>
        <w:tcBorders/>
      </w:tcPr>
    </w:tblStylePr>
    <w:tblStylePr w:type="band2Vert">
      <w:rPr>
        <w:color w:val="404040"/>
        <w:sz w:val="22"/>
      </w:rPr>
      <w:pPr>
        <w:pBdr/>
        <w:spacing/>
        <w:ind/>
      </w:pPr>
      <w:tblPr>
        <w:tblBorders/>
      </w:tblPr>
      <w:tcPr>
        <w:shd w:val="clear" w:color="c4d2ec" w:fill="c4d2ec" w:themeFill="accent1" w:themeFillTint="50"/>
        <w:tcBorders/>
      </w:tcPr>
    </w:tblStylePr>
    <w:tblStylePr w:type="firstCol">
      <w:rPr>
        <w:color w:val="f2f2f2"/>
        <w:sz w:val="22"/>
      </w:rPr>
      <w:pPr>
        <w:pBdr/>
        <w:spacing/>
        <w:ind/>
      </w:pPr>
      <w:tblPr>
        <w:tblBorders/>
      </w:tblPr>
      <w:tcPr>
        <w:shd w:val="clear" w:color="537dc8" w:fill="537dc8" w:themeFill="accent1" w:themeFillTint="EA"/>
        <w:tcBorders/>
      </w:tcPr>
    </w:tblStylePr>
    <w:tblStylePr w:type="firstRow">
      <w:rPr>
        <w:color w:val="f2f2f2"/>
        <w:sz w:val="22"/>
      </w:rPr>
      <w:pPr>
        <w:pBdr/>
        <w:spacing/>
        <w:ind/>
      </w:pPr>
      <w:tblPr>
        <w:tblBorders/>
      </w:tblPr>
      <w:tcPr>
        <w:shd w:val="clear" w:color="537dc8" w:fill="537dc8" w:themeFill="accent1" w:themeFillTint="EA"/>
        <w:tcBorders/>
      </w:tcPr>
    </w:tblStylePr>
    <w:tblStylePr w:type="lastCol">
      <w:rPr>
        <w:color w:val="f2f2f2"/>
        <w:sz w:val="22"/>
      </w:rPr>
      <w:pPr>
        <w:pBdr/>
        <w:spacing/>
        <w:ind/>
      </w:pPr>
      <w:tblPr>
        <w:tblBorders/>
      </w:tblPr>
      <w:tcPr>
        <w:shd w:val="clear" w:color="537dc8" w:fill="537dc8" w:themeFill="accent1" w:themeFillTint="EA"/>
        <w:tcBorders/>
      </w:tcPr>
    </w:tblStylePr>
    <w:tblStylePr w:type="lastRow">
      <w:rPr>
        <w:color w:val="f2f2f2"/>
        <w:sz w:val="22"/>
      </w:rPr>
      <w:pPr>
        <w:pBdr/>
        <w:spacing/>
        <w:ind/>
      </w:pPr>
      <w:tblPr>
        <w:tblBorders/>
      </w:tblPr>
      <w:tcPr>
        <w:shd w:val="clear" w:color="537dc8" w:fill="537dc8"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14" w:customStyle="1">
    <w:name w:val="Lined - Accent 2"/>
    <w:basedOn w:val="892"/>
    <w:uiPriority w:val="99"/>
    <w:pPr>
      <w:pBdr/>
      <w:spacing/>
      <w:ind/>
    </w:pPr>
    <w:rPr>
      <w:color w:val="404040"/>
      <w:lang w:val="en-US" w:eastAsia="en-US"/>
    </w:rPr>
    <w:tblPr>
      <w:tblStyleRowBandSize w:val="1"/>
      <w:tblStyleColBandSize w:val="1"/>
      <w:tblInd w:w="0" w:type="dxa"/>
      <w:tblBorders/>
      <w:tblCellMar>
        <w:left w:w="108" w:type="dxa"/>
        <w:top w:w="0" w:type="dxa"/>
        <w:right w:w="108" w:type="dxa"/>
        <w:bottom w:w="0" w:type="dxa"/>
      </w:tblCellMar>
    </w:tblPr>
    <w:tcPr>
      <w:tcBorders/>
    </w:tcPr>
    <w:tblStylePr w:type="band1Horz">
      <w:rPr>
        <w:color w:val="404040"/>
        <w:sz w:val="22"/>
      </w:rPr>
      <w:pPr>
        <w:pBdr/>
        <w:spacing/>
        <w:ind/>
      </w:pPr>
      <w:tblPr>
        <w:tblBorders/>
      </w:tblPr>
      <w:tcPr>
        <w:tcBorders/>
      </w:tcPr>
    </w:tblStylePr>
    <w:tblStylePr w:type="band1Vert">
      <w:rPr>
        <w:color w:val="404040"/>
        <w:sz w:val="22"/>
      </w:rPr>
      <w:pPr>
        <w:pBdr/>
        <w:spacing/>
        <w:ind/>
      </w:pPr>
      <w:tblPr>
        <w:tblBorders/>
      </w:tblPr>
      <w:tcPr>
        <w:tcBorders/>
      </w:tcPr>
    </w:tblStylePr>
    <w:tblStylePr w:type="band2Horz">
      <w:rPr>
        <w:color w:val="404040"/>
        <w:sz w:val="22"/>
      </w:rPr>
      <w:pPr>
        <w:pBdr/>
        <w:spacing/>
        <w:ind/>
      </w:pPr>
      <w:tblPr>
        <w:tblBorders/>
      </w:tblPr>
      <w:tcPr>
        <w:shd w:val="clear" w:color="fbe5d6" w:fill="fbe5d6" w:themeFill="accent2" w:themeFillTint="32"/>
        <w:tcBorders/>
      </w:tcPr>
    </w:tblStylePr>
    <w:tblStylePr w:type="band2Vert">
      <w:rPr>
        <w:color w:val="404040"/>
        <w:sz w:val="22"/>
      </w:rPr>
      <w:pPr>
        <w:pBdr/>
        <w:spacing/>
        <w:ind/>
      </w:pPr>
      <w:tblPr>
        <w:tblBorders/>
      </w:tblPr>
      <w:tcPr>
        <w:shd w:val="clear" w:color="fbe5d6" w:fill="fbe5d6" w:themeFill="accent2" w:themeFillTint="32"/>
        <w:tcBorders/>
      </w:tcPr>
    </w:tblStylePr>
    <w:tblStylePr w:type="firstCol">
      <w:rPr>
        <w:color w:val="f2f2f2"/>
        <w:sz w:val="22"/>
      </w:rPr>
      <w:pPr>
        <w:pBdr/>
        <w:spacing/>
        <w:ind/>
      </w:pPr>
      <w:tblPr>
        <w:tblBorders/>
      </w:tblPr>
      <w:tcPr>
        <w:shd w:val="clear" w:color="f4b184" w:fill="f4b184" w:themeFill="accent2" w:themeFillTint="97"/>
        <w:tcBorders/>
      </w:tcPr>
    </w:tblStylePr>
    <w:tblStylePr w:type="firstRow">
      <w:rPr>
        <w:color w:val="f2f2f2"/>
        <w:sz w:val="22"/>
      </w:rPr>
      <w:pPr>
        <w:pBdr/>
        <w:spacing/>
        <w:ind/>
      </w:pPr>
      <w:tblPr>
        <w:tblBorders/>
      </w:tblPr>
      <w:tcPr>
        <w:shd w:val="clear" w:color="f4b184" w:fill="f4b184" w:themeFill="accent2" w:themeFillTint="97"/>
        <w:tcBorders/>
      </w:tcPr>
    </w:tblStylePr>
    <w:tblStylePr w:type="lastCol">
      <w:rPr>
        <w:color w:val="f2f2f2"/>
        <w:sz w:val="22"/>
      </w:rPr>
      <w:pPr>
        <w:pBdr/>
        <w:spacing/>
        <w:ind/>
      </w:pPr>
      <w:tblPr>
        <w:tblBorders/>
      </w:tblPr>
      <w:tcPr>
        <w:shd w:val="clear" w:color="f4b184" w:fill="f4b184" w:themeFill="accent2" w:themeFillTint="97"/>
        <w:tcBorders/>
      </w:tcPr>
    </w:tblStylePr>
    <w:tblStylePr w:type="lastRow">
      <w:rPr>
        <w:color w:val="f2f2f2"/>
        <w:sz w:val="22"/>
      </w:rPr>
      <w:pPr>
        <w:pBdr/>
        <w:spacing/>
        <w:ind/>
      </w:pPr>
      <w:tblPr>
        <w:tblBorders/>
      </w:tblPr>
      <w:tcPr>
        <w:shd w:val="clear" w:color="f4b184" w:fill="f4b184"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15" w:customStyle="1">
    <w:name w:val="Lined - Accent 3"/>
    <w:basedOn w:val="892"/>
    <w:uiPriority w:val="99"/>
    <w:pPr>
      <w:pBdr/>
      <w:spacing/>
      <w:ind/>
    </w:pPr>
    <w:rPr>
      <w:color w:val="404040"/>
      <w:lang w:val="en-US" w:eastAsia="en-US"/>
    </w:rPr>
    <w:tblPr>
      <w:tblStyleRowBandSize w:val="1"/>
      <w:tblStyleColBandSize w:val="1"/>
      <w:tblInd w:w="0" w:type="dxa"/>
      <w:tblBorders/>
      <w:tblCellMar>
        <w:left w:w="108" w:type="dxa"/>
        <w:top w:w="0" w:type="dxa"/>
        <w:right w:w="108" w:type="dxa"/>
        <w:bottom w:w="0" w:type="dxa"/>
      </w:tblCellMar>
    </w:tblPr>
    <w:tcPr>
      <w:tcBorders/>
    </w:tcPr>
    <w:tblStylePr w:type="band1Horz">
      <w:rPr>
        <w:color w:val="404040"/>
        <w:sz w:val="22"/>
      </w:rPr>
      <w:pPr>
        <w:pBdr/>
        <w:spacing/>
        <w:ind/>
      </w:pPr>
      <w:tblPr>
        <w:tblBorders/>
      </w:tblPr>
      <w:tcPr>
        <w:tcBorders/>
      </w:tcPr>
    </w:tblStylePr>
    <w:tblStylePr w:type="band1Vert">
      <w:rPr>
        <w:color w:val="404040"/>
        <w:sz w:val="22"/>
      </w:rPr>
      <w:pPr>
        <w:pBdr/>
        <w:spacing/>
        <w:ind/>
      </w:pPr>
      <w:tblPr>
        <w:tblBorders/>
      </w:tblPr>
      <w:tcPr>
        <w:tcBorders/>
      </w:tcPr>
    </w:tblStylePr>
    <w:tblStylePr w:type="band2Horz">
      <w:rPr>
        <w:color w:val="404040"/>
        <w:sz w:val="22"/>
      </w:rPr>
      <w:pPr>
        <w:pBdr/>
        <w:spacing/>
        <w:ind/>
      </w:pPr>
      <w:tblPr>
        <w:tblBorders/>
      </w:tblPr>
      <w:tcPr>
        <w:shd w:val="clear" w:color="ececec" w:fill="ececec" w:themeFill="accent3" w:themeFillTint="34"/>
        <w:tcBorders/>
      </w:tcPr>
    </w:tblStylePr>
    <w:tblStylePr w:type="band2Vert">
      <w:rPr>
        <w:color w:val="404040"/>
        <w:sz w:val="22"/>
      </w:rPr>
      <w:pPr>
        <w:pBdr/>
        <w:spacing/>
        <w:ind/>
      </w:pPr>
      <w:tblPr>
        <w:tblBorders/>
      </w:tblPr>
      <w:tcPr>
        <w:shd w:val="clear" w:color="ececec" w:fill="ececec" w:themeFill="accent3" w:themeFillTint="34"/>
        <w:tcBorders/>
      </w:tcPr>
    </w:tblStylePr>
    <w:tblStylePr w:type="firstCol">
      <w:rPr>
        <w:color w:val="f2f2f2"/>
        <w:sz w:val="22"/>
      </w:rPr>
      <w:pPr>
        <w:pBdr/>
        <w:spacing/>
        <w:ind/>
      </w:pPr>
      <w:tblPr>
        <w:tblBorders/>
      </w:tblPr>
      <w:tcPr>
        <w:shd w:val="clear" w:color="a5a5a5" w:fill="a5a5a5" w:themeFill="accent3" w:themeFillTint="FE"/>
        <w:tcBorders/>
      </w:tcPr>
    </w:tblStylePr>
    <w:tblStylePr w:type="firstRow">
      <w:rPr>
        <w:color w:val="f2f2f2"/>
        <w:sz w:val="22"/>
      </w:rPr>
      <w:pPr>
        <w:pBdr/>
        <w:spacing/>
        <w:ind/>
      </w:pPr>
      <w:tblPr>
        <w:tblBorders/>
      </w:tblPr>
      <w:tcPr>
        <w:shd w:val="clear" w:color="a5a5a5" w:fill="a5a5a5" w:themeFill="accent3" w:themeFillTint="FE"/>
        <w:tcBorders/>
      </w:tcPr>
    </w:tblStylePr>
    <w:tblStylePr w:type="lastCol">
      <w:rPr>
        <w:color w:val="f2f2f2"/>
        <w:sz w:val="22"/>
      </w:rPr>
      <w:pPr>
        <w:pBdr/>
        <w:spacing/>
        <w:ind/>
      </w:pPr>
      <w:tblPr>
        <w:tblBorders/>
      </w:tblPr>
      <w:tcPr>
        <w:shd w:val="clear" w:color="a5a5a5" w:fill="a5a5a5" w:themeFill="accent3" w:themeFillTint="FE"/>
        <w:tcBorders/>
      </w:tcPr>
    </w:tblStylePr>
    <w:tblStylePr w:type="lastRow">
      <w:rPr>
        <w:color w:val="f2f2f2"/>
        <w:sz w:val="22"/>
      </w:rPr>
      <w:pPr>
        <w:pBdr/>
        <w:spacing/>
        <w:ind/>
      </w:pPr>
      <w:tblPr>
        <w:tblBorders/>
      </w:tblPr>
      <w:tcPr>
        <w:shd w:val="clear" w:color="a5a5a5" w:fill="a5a5a5"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16" w:customStyle="1">
    <w:name w:val="Lined - Accent 4"/>
    <w:basedOn w:val="892"/>
    <w:uiPriority w:val="99"/>
    <w:pPr>
      <w:pBdr/>
      <w:spacing/>
      <w:ind/>
    </w:pPr>
    <w:rPr>
      <w:color w:val="404040"/>
      <w:lang w:val="en-US" w:eastAsia="en-US"/>
    </w:rPr>
    <w:tblPr>
      <w:tblStyleRowBandSize w:val="1"/>
      <w:tblStyleColBandSize w:val="1"/>
      <w:tblInd w:w="0" w:type="dxa"/>
      <w:tblBorders/>
      <w:tblCellMar>
        <w:left w:w="108" w:type="dxa"/>
        <w:top w:w="0" w:type="dxa"/>
        <w:right w:w="108" w:type="dxa"/>
        <w:bottom w:w="0" w:type="dxa"/>
      </w:tblCellMar>
    </w:tblPr>
    <w:tcPr>
      <w:tcBorders/>
    </w:tcPr>
    <w:tblStylePr w:type="band1Horz">
      <w:rPr>
        <w:color w:val="404040"/>
        <w:sz w:val="22"/>
      </w:rPr>
      <w:pPr>
        <w:pBdr/>
        <w:spacing/>
        <w:ind/>
      </w:pPr>
      <w:tblPr>
        <w:tblBorders/>
      </w:tblPr>
      <w:tcPr>
        <w:tcBorders/>
      </w:tcPr>
    </w:tblStylePr>
    <w:tblStylePr w:type="band1Vert">
      <w:rPr>
        <w:color w:val="404040"/>
        <w:sz w:val="22"/>
      </w:rPr>
      <w:pPr>
        <w:pBdr/>
        <w:spacing/>
        <w:ind/>
      </w:pPr>
      <w:tblPr>
        <w:tblBorders/>
      </w:tblPr>
      <w:tcPr>
        <w:tcBorders/>
      </w:tcPr>
    </w:tblStylePr>
    <w:tblStylePr w:type="band2Horz">
      <w:rPr>
        <w:color w:val="404040"/>
        <w:sz w:val="22"/>
      </w:rPr>
      <w:pPr>
        <w:pBdr/>
        <w:spacing/>
        <w:ind/>
      </w:pPr>
      <w:tblPr>
        <w:tblBorders/>
      </w:tblPr>
      <w:tcPr>
        <w:shd w:val="clear" w:color="fff2cb" w:fill="fff2cb" w:themeFill="accent4" w:themeFillTint="34"/>
        <w:tcBorders/>
      </w:tcPr>
    </w:tblStylePr>
    <w:tblStylePr w:type="band2Vert">
      <w:rPr>
        <w:color w:val="404040"/>
        <w:sz w:val="22"/>
      </w:rPr>
      <w:pPr>
        <w:pBdr/>
        <w:spacing/>
        <w:ind/>
      </w:pPr>
      <w:tblPr>
        <w:tblBorders/>
      </w:tblPr>
      <w:tcPr>
        <w:shd w:val="clear" w:color="fff2cb" w:fill="fff2cb" w:themeFill="accent4" w:themeFillTint="34"/>
        <w:tcBorders/>
      </w:tcPr>
    </w:tblStylePr>
    <w:tblStylePr w:type="firstCol">
      <w:rPr>
        <w:color w:val="f2f2f2"/>
        <w:sz w:val="22"/>
      </w:rPr>
      <w:pPr>
        <w:pBdr/>
        <w:spacing/>
        <w:ind/>
      </w:pPr>
      <w:tblPr>
        <w:tblBorders/>
      </w:tblPr>
      <w:tcPr>
        <w:shd w:val="clear" w:color="ffd865" w:fill="ffd865" w:themeFill="accent4" w:themeFillTint="9A"/>
        <w:tcBorders/>
      </w:tcPr>
    </w:tblStylePr>
    <w:tblStylePr w:type="firstRow">
      <w:rPr>
        <w:color w:val="f2f2f2"/>
        <w:sz w:val="22"/>
      </w:rPr>
      <w:pPr>
        <w:pBdr/>
        <w:spacing/>
        <w:ind/>
      </w:pPr>
      <w:tblPr>
        <w:tblBorders/>
      </w:tblPr>
      <w:tcPr>
        <w:shd w:val="clear" w:color="ffd865" w:fill="ffd865" w:themeFill="accent4" w:themeFillTint="9A"/>
        <w:tcBorders/>
      </w:tcPr>
    </w:tblStylePr>
    <w:tblStylePr w:type="lastCol">
      <w:rPr>
        <w:color w:val="f2f2f2"/>
        <w:sz w:val="22"/>
      </w:rPr>
      <w:pPr>
        <w:pBdr/>
        <w:spacing/>
        <w:ind/>
      </w:pPr>
      <w:tblPr>
        <w:tblBorders/>
      </w:tblPr>
      <w:tcPr>
        <w:shd w:val="clear" w:color="ffd865" w:fill="ffd865" w:themeFill="accent4" w:themeFillTint="9A"/>
        <w:tcBorders/>
      </w:tcPr>
    </w:tblStylePr>
    <w:tblStylePr w:type="lastRow">
      <w:rPr>
        <w:color w:val="f2f2f2"/>
        <w:sz w:val="22"/>
      </w:rPr>
      <w:pPr>
        <w:pBdr/>
        <w:spacing/>
        <w:ind/>
      </w:pPr>
      <w:tblPr>
        <w:tblBorders/>
      </w:tblPr>
      <w:tcPr>
        <w:shd w:val="clear" w:color="ffd865" w:fill="ffd865"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17" w:customStyle="1">
    <w:name w:val="Lined - Accent 5"/>
    <w:basedOn w:val="892"/>
    <w:uiPriority w:val="99"/>
    <w:pPr>
      <w:pBdr/>
      <w:spacing/>
      <w:ind/>
    </w:pPr>
    <w:rPr>
      <w:color w:val="404040"/>
      <w:lang w:val="en-US" w:eastAsia="en-US"/>
    </w:rPr>
    <w:tblPr>
      <w:tblStyleRowBandSize w:val="1"/>
      <w:tblStyleColBandSize w:val="1"/>
      <w:tblInd w:w="0" w:type="dxa"/>
      <w:tblBorders/>
      <w:tblCellMar>
        <w:left w:w="108" w:type="dxa"/>
        <w:top w:w="0" w:type="dxa"/>
        <w:right w:w="108" w:type="dxa"/>
        <w:bottom w:w="0" w:type="dxa"/>
      </w:tblCellMar>
    </w:tblPr>
    <w:tcPr>
      <w:tcBorders/>
    </w:tcPr>
    <w:tblStylePr w:type="band1Horz">
      <w:rPr>
        <w:color w:val="404040"/>
        <w:sz w:val="22"/>
      </w:rPr>
      <w:pPr>
        <w:pBdr/>
        <w:spacing/>
        <w:ind/>
      </w:pPr>
      <w:tblPr>
        <w:tblBorders/>
      </w:tblPr>
      <w:tcPr>
        <w:tcBorders/>
      </w:tcPr>
    </w:tblStylePr>
    <w:tblStylePr w:type="band1Vert">
      <w:rPr>
        <w:color w:val="404040"/>
        <w:sz w:val="22"/>
      </w:rPr>
      <w:pPr>
        <w:pBdr/>
        <w:spacing/>
        <w:ind/>
      </w:pPr>
      <w:tblPr>
        <w:tblBorders/>
      </w:tblPr>
      <w:tcPr>
        <w:tcBorders/>
      </w:tcPr>
    </w:tblStylePr>
    <w:tblStylePr w:type="band2Horz">
      <w:rPr>
        <w:color w:val="404040"/>
        <w:sz w:val="22"/>
      </w:rPr>
      <w:pPr>
        <w:pBdr/>
        <w:spacing/>
        <w:ind/>
      </w:pPr>
      <w:tblPr>
        <w:tblBorders/>
      </w:tblPr>
      <w:tcPr>
        <w:shd w:val="clear" w:color="ddeaf6" w:fill="ddeaf6" w:themeFill="accent5" w:themeFillTint="34"/>
        <w:tcBorders/>
      </w:tcPr>
    </w:tblStylePr>
    <w:tblStylePr w:type="band2Vert">
      <w:rPr>
        <w:color w:val="404040"/>
        <w:sz w:val="22"/>
      </w:rPr>
      <w:pPr>
        <w:pBdr/>
        <w:spacing/>
        <w:ind/>
      </w:pPr>
      <w:tblPr>
        <w:tblBorders/>
      </w:tblPr>
      <w:tcPr>
        <w:shd w:val="clear" w:color="ddeaf6" w:fill="ddeaf6" w:themeFill="accent5" w:themeFillTint="34"/>
        <w:tcBorders/>
      </w:tcPr>
    </w:tblStylePr>
    <w:tblStylePr w:type="firstCol">
      <w:rPr>
        <w:color w:val="f2f2f2"/>
        <w:sz w:val="22"/>
      </w:rPr>
      <w:pPr>
        <w:pBdr/>
        <w:spacing/>
        <w:ind/>
      </w:pPr>
      <w:tblPr>
        <w:tblBorders/>
      </w:tblPr>
      <w:tcPr>
        <w:shd w:val="clear" w:color="5b9bd5" w:fill="5b9bd5" w:themeFill="accent5"/>
        <w:tcBorders/>
      </w:tcPr>
    </w:tblStylePr>
    <w:tblStylePr w:type="firstRow">
      <w:rPr>
        <w:color w:val="f2f2f2"/>
        <w:sz w:val="22"/>
      </w:rPr>
      <w:pPr>
        <w:pBdr/>
        <w:spacing/>
        <w:ind/>
      </w:pPr>
      <w:tblPr>
        <w:tblBorders/>
      </w:tblPr>
      <w:tcPr>
        <w:shd w:val="clear" w:color="5b9bd5" w:fill="5b9bd5" w:themeFill="accent5"/>
        <w:tcBorders/>
      </w:tcPr>
    </w:tblStylePr>
    <w:tblStylePr w:type="lastCol">
      <w:rPr>
        <w:color w:val="f2f2f2"/>
        <w:sz w:val="22"/>
      </w:rPr>
      <w:pPr>
        <w:pBdr/>
        <w:spacing/>
        <w:ind/>
      </w:pPr>
      <w:tblPr>
        <w:tblBorders/>
      </w:tblPr>
      <w:tcPr>
        <w:shd w:val="clear" w:color="5b9bd5" w:fill="5b9bd5" w:themeFill="accent5"/>
        <w:tcBorders/>
      </w:tcPr>
    </w:tblStylePr>
    <w:tblStylePr w:type="lastRow">
      <w:rPr>
        <w:color w:val="f2f2f2"/>
        <w:sz w:val="22"/>
      </w:rPr>
      <w:pPr>
        <w:pBdr/>
        <w:spacing/>
        <w:ind/>
      </w:pPr>
      <w:tblPr>
        <w:tblBorders/>
      </w:tblPr>
      <w:tcPr>
        <w:shd w:val="clear" w:color="5b9bd5" w:fill="5b9bd5"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18" w:customStyle="1">
    <w:name w:val="Lined - Accent 6"/>
    <w:basedOn w:val="892"/>
    <w:uiPriority w:val="99"/>
    <w:pPr>
      <w:pBdr/>
      <w:spacing/>
      <w:ind/>
    </w:pPr>
    <w:rPr>
      <w:color w:val="404040"/>
      <w:lang w:val="en-US" w:eastAsia="en-US"/>
    </w:rPr>
    <w:tblPr>
      <w:tblStyleRowBandSize w:val="1"/>
      <w:tblStyleColBandSize w:val="1"/>
      <w:tblInd w:w="0" w:type="dxa"/>
      <w:tblBorders/>
      <w:tblCellMar>
        <w:left w:w="108" w:type="dxa"/>
        <w:top w:w="0" w:type="dxa"/>
        <w:right w:w="108" w:type="dxa"/>
        <w:bottom w:w="0" w:type="dxa"/>
      </w:tblCellMar>
    </w:tblPr>
    <w:tcPr>
      <w:tcBorders/>
    </w:tcPr>
    <w:tblStylePr w:type="band1Horz">
      <w:rPr>
        <w:color w:val="404040"/>
        <w:sz w:val="22"/>
      </w:rPr>
      <w:pPr>
        <w:pBdr/>
        <w:spacing/>
        <w:ind/>
      </w:pPr>
      <w:tblPr>
        <w:tblBorders/>
      </w:tblPr>
      <w:tcPr>
        <w:tcBorders/>
      </w:tcPr>
    </w:tblStylePr>
    <w:tblStylePr w:type="band1Vert">
      <w:rPr>
        <w:color w:val="404040"/>
        <w:sz w:val="22"/>
      </w:rPr>
      <w:pPr>
        <w:pBdr/>
        <w:spacing/>
        <w:ind/>
      </w:pPr>
      <w:tblPr>
        <w:tblBorders/>
      </w:tblPr>
      <w:tcPr>
        <w:tcBorders/>
      </w:tcPr>
    </w:tblStylePr>
    <w:tblStylePr w:type="band2Horz">
      <w:rPr>
        <w:color w:val="404040"/>
        <w:sz w:val="22"/>
      </w:rPr>
      <w:pPr>
        <w:pBdr/>
        <w:spacing/>
        <w:ind/>
      </w:pPr>
      <w:tblPr>
        <w:tblBorders/>
      </w:tblPr>
      <w:tcPr>
        <w:shd w:val="clear" w:color="e1efd8" w:fill="e1efd8" w:themeFill="accent6" w:themeFillTint="34"/>
        <w:tcBorders/>
      </w:tcPr>
    </w:tblStylePr>
    <w:tblStylePr w:type="band2Vert">
      <w:rPr>
        <w:color w:val="404040"/>
        <w:sz w:val="22"/>
      </w:rPr>
      <w:pPr>
        <w:pBdr/>
        <w:spacing/>
        <w:ind/>
      </w:pPr>
      <w:tblPr>
        <w:tblBorders/>
      </w:tblPr>
      <w:tcPr>
        <w:shd w:val="clear" w:color="e1efd8" w:fill="e1efd8" w:themeFill="accent6" w:themeFillTint="34"/>
        <w:tcBorders/>
      </w:tcPr>
    </w:tblStylePr>
    <w:tblStylePr w:type="firstCol">
      <w:rPr>
        <w:color w:val="f2f2f2"/>
        <w:sz w:val="22"/>
      </w:rPr>
      <w:pPr>
        <w:pBdr/>
        <w:spacing/>
        <w:ind/>
      </w:pPr>
      <w:tblPr>
        <w:tblBorders/>
      </w:tblPr>
      <w:tcPr>
        <w:shd w:val="clear" w:color="70ad47" w:fill="70ad47" w:themeFill="accent6"/>
        <w:tcBorders/>
      </w:tcPr>
    </w:tblStylePr>
    <w:tblStylePr w:type="firstRow">
      <w:rPr>
        <w:color w:val="f2f2f2"/>
        <w:sz w:val="22"/>
      </w:rPr>
      <w:pPr>
        <w:pBdr/>
        <w:spacing/>
        <w:ind/>
      </w:pPr>
      <w:tblPr>
        <w:tblBorders/>
      </w:tblPr>
      <w:tcPr>
        <w:shd w:val="clear" w:color="70ad47" w:fill="70ad47" w:themeFill="accent6"/>
        <w:tcBorders/>
      </w:tcPr>
    </w:tblStylePr>
    <w:tblStylePr w:type="lastCol">
      <w:rPr>
        <w:color w:val="f2f2f2"/>
        <w:sz w:val="22"/>
      </w:rPr>
      <w:pPr>
        <w:pBdr/>
        <w:spacing/>
        <w:ind/>
      </w:pPr>
      <w:tblPr>
        <w:tblBorders/>
      </w:tblPr>
      <w:tcPr>
        <w:shd w:val="clear" w:color="70ad47" w:fill="70ad47" w:themeFill="accent6"/>
        <w:tcBorders/>
      </w:tcPr>
    </w:tblStylePr>
    <w:tblStylePr w:type="lastRow">
      <w:rPr>
        <w:color w:val="f2f2f2"/>
        <w:sz w:val="22"/>
      </w:rPr>
      <w:pPr>
        <w:pBdr/>
        <w:spacing/>
        <w:ind/>
      </w:pPr>
      <w:tblPr>
        <w:tblBorders/>
      </w:tblPr>
      <w:tcPr>
        <w:shd w:val="clear" w:color="70ad47" w:fill="70ad47"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19" w:customStyle="1">
    <w:name w:val="Bordered &amp; Lined - Accent"/>
    <w:basedOn w:val="892"/>
    <w:uiPriority w:val="99"/>
    <w:pPr>
      <w:pBdr/>
      <w:spacing/>
      <w:ind/>
    </w:pPr>
    <w:rPr>
      <w:color w:val="404040"/>
      <w:lang w:val="en-US" w:eastAsia="en-US"/>
    </w:rPr>
    <w:tblPr>
      <w:tblStyleRowBandSize w:val="1"/>
      <w:tblStyleColBandSize w:val="1"/>
      <w:tblInd w:w="0" w:type="dxa"/>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CellMar>
        <w:left w:w="108" w:type="dxa"/>
        <w:top w:w="0" w:type="dxa"/>
        <w:right w:w="108" w:type="dxa"/>
        <w:bottom w:w="0" w:type="dxa"/>
      </w:tblCellMar>
    </w:tblPr>
    <w:tcPr>
      <w:tcBorders/>
    </w:tcPr>
    <w:tblStylePr w:type="band1Horz">
      <w:rPr>
        <w:color w:val="404040"/>
        <w:sz w:val="22"/>
      </w:rPr>
      <w:pPr>
        <w:pBdr/>
        <w:spacing/>
        <w:ind/>
      </w:pPr>
      <w:tblPr>
        <w:tblBorders/>
      </w:tblPr>
      <w:tcPr>
        <w:tcBorders/>
      </w:tcPr>
    </w:tblStylePr>
    <w:tblStylePr w:type="band1Vert">
      <w:rPr>
        <w:color w:val="404040"/>
        <w:sz w:val="22"/>
      </w:rPr>
      <w:pPr>
        <w:pBdr/>
        <w:spacing/>
        <w:ind/>
      </w:pPr>
      <w:tblPr>
        <w:tblBorders/>
      </w:tblPr>
      <w:tcPr>
        <w:tcBorders/>
      </w:tcPr>
    </w:tblStylePr>
    <w:tblStylePr w:type="band2Horz">
      <w:rPr>
        <w:color w:val="404040"/>
        <w:sz w:val="22"/>
      </w:rPr>
      <w:pPr>
        <w:pBdr/>
        <w:spacing/>
        <w:ind/>
      </w:pPr>
      <w:tblPr>
        <w:tblBorders/>
      </w:tblPr>
      <w:tcPr>
        <w:shd w:val="clear" w:color="f2f2f2" w:fill="ffffff" w:themeFill="text1" w:themeFillTint="00"/>
        <w:tcBorders/>
      </w:tcPr>
    </w:tblStylePr>
    <w:tblStylePr w:type="band2Vert">
      <w:rPr>
        <w:color w:val="404040"/>
        <w:sz w:val="22"/>
      </w:rPr>
      <w:pPr>
        <w:pBdr/>
        <w:spacing/>
        <w:ind/>
      </w:pPr>
      <w:tblPr>
        <w:tblBorders/>
      </w:tblPr>
      <w:tcPr>
        <w:shd w:val="clear" w:color="f2f2f2" w:fill="ffffff" w:themeFill="text1" w:themeFillTint="00"/>
        <w:tcBorders/>
      </w:tcPr>
    </w:tblStylePr>
    <w:tblStylePr w:type="firstCol">
      <w:rPr>
        <w:color w:val="f2f2f2"/>
        <w:sz w:val="22"/>
      </w:rPr>
      <w:pPr>
        <w:pBdr/>
        <w:spacing/>
        <w:ind/>
      </w:pPr>
      <w:tblPr>
        <w:tblBorders/>
      </w:tblPr>
      <w:tcPr>
        <w:shd w:val="clear" w:color="7f7f7f" w:fill="7f7f7f" w:themeFill="text1" w:themeFillTint="80"/>
        <w:tcBorders/>
      </w:tcPr>
    </w:tblStylePr>
    <w:tblStylePr w:type="firstRow">
      <w:rPr>
        <w:color w:val="f2f2f2"/>
        <w:sz w:val="22"/>
      </w:rPr>
      <w:pPr>
        <w:pBdr/>
        <w:spacing/>
        <w:ind/>
      </w:pPr>
      <w:tblPr>
        <w:tblBorders/>
      </w:tblPr>
      <w:tcPr>
        <w:shd w:val="clear" w:color="7f7f7f" w:fill="7f7f7f" w:themeFill="text1" w:themeFillTint="80"/>
        <w:tcBorders/>
      </w:tcPr>
    </w:tblStylePr>
    <w:tblStylePr w:type="lastCol">
      <w:rPr>
        <w:color w:val="f2f2f2"/>
        <w:sz w:val="22"/>
      </w:rPr>
      <w:pPr>
        <w:pBdr/>
        <w:spacing/>
        <w:ind/>
      </w:pPr>
      <w:tblPr>
        <w:tblBorders/>
      </w:tblPr>
      <w:tcPr>
        <w:shd w:val="clear" w:color="7f7f7f" w:fill="7f7f7f" w:themeFill="text1" w:themeFillTint="80"/>
        <w:tcBorders/>
      </w:tcPr>
    </w:tblStylePr>
    <w:tblStylePr w:type="lastRow">
      <w:rPr>
        <w:color w:val="f2f2f2"/>
        <w:sz w:val="22"/>
      </w:rPr>
      <w:pPr>
        <w:pBdr/>
        <w:spacing/>
        <w:ind/>
      </w:pPr>
      <w:tblPr>
        <w:tblBorders/>
      </w:tblPr>
      <w:tcPr>
        <w:shd w:val="clear" w:color="7f7f7f"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20" w:customStyle="1">
    <w:name w:val="Bordered &amp; Lined - Accent 1"/>
    <w:basedOn w:val="892"/>
    <w:uiPriority w:val="99"/>
    <w:pPr>
      <w:pBdr/>
      <w:spacing/>
      <w:ind/>
    </w:pPr>
    <w:rPr>
      <w:color w:val="404040"/>
      <w:lang w:val="en-US" w:eastAsia="en-US"/>
    </w:rPr>
    <w:tblPr>
      <w:tblStyleRowBandSize w:val="1"/>
      <w:tblStyleColBandSize w:val="1"/>
      <w:tblInd w:w="0" w:type="dxa"/>
      <w:tblBorders>
        <w:top w:val="single" w:color="4472c4" w:themeColor="accent1" w:sz="4" w:space="0"/>
        <w:left w:val="single" w:color="4472c4" w:themeColor="accent1" w:sz="4" w:space="0"/>
        <w:bottom w:val="single" w:color="4472c4" w:themeColor="accent1" w:sz="4" w:space="0"/>
        <w:right w:val="single" w:color="4472c4" w:themeColor="accent1" w:sz="4" w:space="0"/>
        <w:insideH w:val="single" w:color="4472c4" w:themeColor="accent1" w:sz="4" w:space="0"/>
        <w:insideV w:val="single" w:color="4472c4" w:themeColor="accent1" w:sz="4" w:space="0"/>
      </w:tblBorders>
      <w:tblCellMar>
        <w:left w:w="108" w:type="dxa"/>
        <w:top w:w="0" w:type="dxa"/>
        <w:right w:w="108" w:type="dxa"/>
        <w:bottom w:w="0" w:type="dxa"/>
      </w:tblCellMar>
    </w:tblPr>
    <w:tcPr>
      <w:tcBorders/>
    </w:tcPr>
    <w:tblStylePr w:type="band1Horz">
      <w:rPr>
        <w:color w:val="404040"/>
        <w:sz w:val="22"/>
      </w:rPr>
      <w:pPr>
        <w:pBdr/>
        <w:spacing/>
        <w:ind/>
      </w:pPr>
      <w:tblPr>
        <w:tblBorders/>
      </w:tblPr>
      <w:tcPr>
        <w:tcBorders/>
      </w:tcPr>
    </w:tblStylePr>
    <w:tblStylePr w:type="band1Vert">
      <w:rPr>
        <w:color w:val="404040"/>
        <w:sz w:val="22"/>
      </w:rPr>
      <w:pPr>
        <w:pBdr/>
        <w:spacing/>
        <w:ind/>
      </w:pPr>
      <w:tblPr>
        <w:tblBorders/>
      </w:tblPr>
      <w:tcPr>
        <w:tcBorders/>
      </w:tcPr>
    </w:tblStylePr>
    <w:tblStylePr w:type="band2Horz">
      <w:rPr>
        <w:color w:val="404040"/>
        <w:sz w:val="22"/>
      </w:rPr>
      <w:pPr>
        <w:pBdr/>
        <w:spacing/>
        <w:ind/>
      </w:pPr>
      <w:tblPr>
        <w:tblBorders/>
      </w:tblPr>
      <w:tcPr>
        <w:shd w:val="clear" w:color="c4d2ec" w:fill="c4d2ec" w:themeFill="accent1" w:themeFillTint="50"/>
        <w:tcBorders/>
      </w:tcPr>
    </w:tblStylePr>
    <w:tblStylePr w:type="band2Vert">
      <w:rPr>
        <w:color w:val="404040"/>
        <w:sz w:val="22"/>
      </w:rPr>
      <w:pPr>
        <w:pBdr/>
        <w:spacing/>
        <w:ind/>
      </w:pPr>
      <w:tblPr>
        <w:tblBorders/>
      </w:tblPr>
      <w:tcPr>
        <w:shd w:val="clear" w:color="c4d2ec" w:fill="c4d2ec" w:themeFill="accent1" w:themeFillTint="50"/>
        <w:tcBorders/>
      </w:tcPr>
    </w:tblStylePr>
    <w:tblStylePr w:type="firstCol">
      <w:rPr>
        <w:color w:val="f2f2f2"/>
        <w:sz w:val="22"/>
      </w:rPr>
      <w:pPr>
        <w:pBdr/>
        <w:spacing/>
        <w:ind/>
      </w:pPr>
      <w:tblPr>
        <w:tblBorders/>
      </w:tblPr>
      <w:tcPr>
        <w:shd w:val="clear" w:color="537dc8" w:fill="537dc8" w:themeFill="accent1" w:themeFillTint="EA"/>
        <w:tcBorders/>
      </w:tcPr>
    </w:tblStylePr>
    <w:tblStylePr w:type="firstRow">
      <w:rPr>
        <w:color w:val="f2f2f2"/>
        <w:sz w:val="22"/>
      </w:rPr>
      <w:pPr>
        <w:pBdr/>
        <w:spacing/>
        <w:ind/>
      </w:pPr>
      <w:tblPr>
        <w:tblBorders/>
      </w:tblPr>
      <w:tcPr>
        <w:shd w:val="clear" w:color="537dc8" w:fill="537dc8" w:themeFill="accent1" w:themeFillTint="EA"/>
        <w:tcBorders/>
      </w:tcPr>
    </w:tblStylePr>
    <w:tblStylePr w:type="lastCol">
      <w:rPr>
        <w:color w:val="f2f2f2"/>
        <w:sz w:val="22"/>
      </w:rPr>
      <w:pPr>
        <w:pBdr/>
        <w:spacing/>
        <w:ind/>
      </w:pPr>
      <w:tblPr>
        <w:tblBorders/>
      </w:tblPr>
      <w:tcPr>
        <w:shd w:val="clear" w:color="537dc8" w:fill="537dc8" w:themeFill="accent1" w:themeFillTint="EA"/>
        <w:tcBorders/>
      </w:tcPr>
    </w:tblStylePr>
    <w:tblStylePr w:type="lastRow">
      <w:rPr>
        <w:color w:val="f2f2f2"/>
        <w:sz w:val="22"/>
      </w:rPr>
      <w:pPr>
        <w:pBdr/>
        <w:spacing/>
        <w:ind/>
      </w:pPr>
      <w:tblPr>
        <w:tblBorders/>
      </w:tblPr>
      <w:tcPr>
        <w:shd w:val="clear" w:color="537dc8" w:fill="537dc8"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21" w:customStyle="1">
    <w:name w:val="Bordered &amp; Lined - Accent 2"/>
    <w:basedOn w:val="892"/>
    <w:uiPriority w:val="99"/>
    <w:pPr>
      <w:pBdr/>
      <w:spacing/>
      <w:ind/>
    </w:pPr>
    <w:rPr>
      <w:color w:val="404040"/>
      <w:lang w:val="en-US" w:eastAsia="en-US"/>
    </w:rPr>
    <w:tblPr>
      <w:tblStyleRowBandSize w:val="1"/>
      <w:tblStyleColBandSize w:val="1"/>
      <w:tblInd w:w="0" w:type="dxa"/>
      <w:tblBorders>
        <w:top w:val="single" w:color="ed7d31" w:themeColor="accent2" w:sz="4" w:space="0"/>
        <w:left w:val="single" w:color="ed7d31" w:themeColor="accent2" w:sz="4" w:space="0"/>
        <w:bottom w:val="single" w:color="ed7d31" w:themeColor="accent2" w:sz="4" w:space="0"/>
        <w:right w:val="single" w:color="ed7d31" w:themeColor="accent2" w:sz="4" w:space="0"/>
        <w:insideH w:val="single" w:color="ed7d31" w:themeColor="accent2" w:sz="4" w:space="0"/>
        <w:insideV w:val="single" w:color="ed7d31" w:themeColor="accent2" w:sz="4" w:space="0"/>
      </w:tblBorders>
      <w:tblCellMar>
        <w:left w:w="108" w:type="dxa"/>
        <w:top w:w="0" w:type="dxa"/>
        <w:right w:w="108" w:type="dxa"/>
        <w:bottom w:w="0" w:type="dxa"/>
      </w:tblCellMar>
    </w:tblPr>
    <w:tcPr>
      <w:tcBorders/>
    </w:tcPr>
    <w:tblStylePr w:type="band1Horz">
      <w:rPr>
        <w:color w:val="404040"/>
        <w:sz w:val="22"/>
      </w:rPr>
      <w:pPr>
        <w:pBdr/>
        <w:spacing/>
        <w:ind/>
      </w:pPr>
      <w:tblPr>
        <w:tblBorders/>
      </w:tblPr>
      <w:tcPr>
        <w:tcBorders/>
      </w:tcPr>
    </w:tblStylePr>
    <w:tblStylePr w:type="band1Vert">
      <w:rPr>
        <w:color w:val="404040"/>
        <w:sz w:val="22"/>
      </w:rPr>
      <w:pPr>
        <w:pBdr/>
        <w:spacing/>
        <w:ind/>
      </w:pPr>
      <w:tblPr>
        <w:tblBorders/>
      </w:tblPr>
      <w:tcPr>
        <w:tcBorders/>
      </w:tcPr>
    </w:tblStylePr>
    <w:tblStylePr w:type="band2Horz">
      <w:rPr>
        <w:color w:val="404040"/>
        <w:sz w:val="22"/>
      </w:rPr>
      <w:pPr>
        <w:pBdr/>
        <w:spacing/>
        <w:ind/>
      </w:pPr>
      <w:tblPr>
        <w:tblBorders/>
      </w:tblPr>
      <w:tcPr>
        <w:shd w:val="clear" w:color="fbe5d6" w:fill="fbe5d6" w:themeFill="accent2" w:themeFillTint="32"/>
        <w:tcBorders/>
      </w:tcPr>
    </w:tblStylePr>
    <w:tblStylePr w:type="band2Vert">
      <w:rPr>
        <w:color w:val="404040"/>
        <w:sz w:val="22"/>
      </w:rPr>
      <w:pPr>
        <w:pBdr/>
        <w:spacing/>
        <w:ind/>
      </w:pPr>
      <w:tblPr>
        <w:tblBorders/>
      </w:tblPr>
      <w:tcPr>
        <w:shd w:val="clear" w:color="fbe5d6" w:fill="fbe5d6" w:themeFill="accent2" w:themeFillTint="32"/>
        <w:tcBorders/>
      </w:tcPr>
    </w:tblStylePr>
    <w:tblStylePr w:type="firstCol">
      <w:rPr>
        <w:color w:val="f2f2f2"/>
        <w:sz w:val="22"/>
      </w:rPr>
      <w:pPr>
        <w:pBdr/>
        <w:spacing/>
        <w:ind/>
      </w:pPr>
      <w:tblPr>
        <w:tblBorders/>
      </w:tblPr>
      <w:tcPr>
        <w:shd w:val="clear" w:color="f4b184" w:fill="f4b184" w:themeFill="accent2" w:themeFillTint="97"/>
        <w:tcBorders/>
      </w:tcPr>
    </w:tblStylePr>
    <w:tblStylePr w:type="firstRow">
      <w:rPr>
        <w:color w:val="f2f2f2"/>
        <w:sz w:val="22"/>
      </w:rPr>
      <w:pPr>
        <w:pBdr/>
        <w:spacing/>
        <w:ind/>
      </w:pPr>
      <w:tblPr>
        <w:tblBorders/>
      </w:tblPr>
      <w:tcPr>
        <w:shd w:val="clear" w:color="f4b184" w:fill="f4b184" w:themeFill="accent2" w:themeFillTint="97"/>
        <w:tcBorders/>
      </w:tcPr>
    </w:tblStylePr>
    <w:tblStylePr w:type="lastCol">
      <w:rPr>
        <w:color w:val="f2f2f2"/>
        <w:sz w:val="22"/>
      </w:rPr>
      <w:pPr>
        <w:pBdr/>
        <w:spacing/>
        <w:ind/>
      </w:pPr>
      <w:tblPr>
        <w:tblBorders/>
      </w:tblPr>
      <w:tcPr>
        <w:shd w:val="clear" w:color="f4b184" w:fill="f4b184" w:themeFill="accent2" w:themeFillTint="97"/>
        <w:tcBorders/>
      </w:tcPr>
    </w:tblStylePr>
    <w:tblStylePr w:type="lastRow">
      <w:rPr>
        <w:color w:val="f2f2f2"/>
        <w:sz w:val="22"/>
      </w:rPr>
      <w:pPr>
        <w:pBdr/>
        <w:spacing/>
        <w:ind/>
      </w:pPr>
      <w:tblPr>
        <w:tblBorders/>
      </w:tblPr>
      <w:tcPr>
        <w:shd w:val="clear" w:color="f4b184" w:fill="f4b184"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22" w:customStyle="1">
    <w:name w:val="Bordered &amp; Lined - Accent 3"/>
    <w:basedOn w:val="892"/>
    <w:uiPriority w:val="99"/>
    <w:pPr>
      <w:pBdr/>
      <w:spacing/>
      <w:ind/>
    </w:pPr>
    <w:rPr>
      <w:color w:val="404040"/>
      <w:lang w:val="en-US" w:eastAsia="en-US"/>
    </w:rPr>
    <w:tblPr>
      <w:tblStyleRowBandSize w:val="1"/>
      <w:tblStyleColBandSize w:val="1"/>
      <w:tblInd w:w="0" w:type="dxa"/>
      <w:tblBorders>
        <w:top w:val="single" w:color="a5a5a5" w:themeColor="accent3" w:sz="4" w:space="0"/>
        <w:left w:val="single" w:color="a5a5a5" w:themeColor="accent3" w:sz="4" w:space="0"/>
        <w:bottom w:val="single" w:color="a5a5a5" w:themeColor="accent3" w:sz="4" w:space="0"/>
        <w:right w:val="single" w:color="a5a5a5" w:themeColor="accent3" w:sz="4" w:space="0"/>
        <w:insideH w:val="single" w:color="a5a5a5" w:themeColor="accent3" w:sz="4" w:space="0"/>
        <w:insideV w:val="single" w:color="a5a5a5" w:themeColor="accent3" w:sz="4" w:space="0"/>
      </w:tblBorders>
      <w:tblCellMar>
        <w:left w:w="108" w:type="dxa"/>
        <w:top w:w="0" w:type="dxa"/>
        <w:right w:w="108" w:type="dxa"/>
        <w:bottom w:w="0" w:type="dxa"/>
      </w:tblCellMar>
    </w:tblPr>
    <w:tcPr>
      <w:tcBorders/>
    </w:tcPr>
    <w:tblStylePr w:type="band1Horz">
      <w:rPr>
        <w:color w:val="404040"/>
        <w:sz w:val="22"/>
      </w:rPr>
      <w:pPr>
        <w:pBdr/>
        <w:spacing/>
        <w:ind/>
      </w:pPr>
      <w:tblPr>
        <w:tblBorders/>
      </w:tblPr>
      <w:tcPr>
        <w:tcBorders/>
      </w:tcPr>
    </w:tblStylePr>
    <w:tblStylePr w:type="band1Vert">
      <w:rPr>
        <w:color w:val="404040"/>
        <w:sz w:val="22"/>
      </w:rPr>
      <w:pPr>
        <w:pBdr/>
        <w:spacing/>
        <w:ind/>
      </w:pPr>
      <w:tblPr>
        <w:tblBorders/>
      </w:tblPr>
      <w:tcPr>
        <w:tcBorders/>
      </w:tcPr>
    </w:tblStylePr>
    <w:tblStylePr w:type="band2Horz">
      <w:rPr>
        <w:color w:val="404040"/>
        <w:sz w:val="22"/>
      </w:rPr>
      <w:pPr>
        <w:pBdr/>
        <w:spacing/>
        <w:ind/>
      </w:pPr>
      <w:tblPr>
        <w:tblBorders/>
      </w:tblPr>
      <w:tcPr>
        <w:shd w:val="clear" w:color="ececec" w:fill="ececec" w:themeFill="accent3" w:themeFillTint="34"/>
        <w:tcBorders/>
      </w:tcPr>
    </w:tblStylePr>
    <w:tblStylePr w:type="band2Vert">
      <w:rPr>
        <w:color w:val="404040"/>
        <w:sz w:val="22"/>
      </w:rPr>
      <w:pPr>
        <w:pBdr/>
        <w:spacing/>
        <w:ind/>
      </w:pPr>
      <w:tblPr>
        <w:tblBorders/>
      </w:tblPr>
      <w:tcPr>
        <w:shd w:val="clear" w:color="ececec" w:fill="ececec" w:themeFill="accent3" w:themeFillTint="34"/>
        <w:tcBorders/>
      </w:tcPr>
    </w:tblStylePr>
    <w:tblStylePr w:type="firstCol">
      <w:rPr>
        <w:color w:val="f2f2f2"/>
        <w:sz w:val="22"/>
      </w:rPr>
      <w:pPr>
        <w:pBdr/>
        <w:spacing/>
        <w:ind/>
      </w:pPr>
      <w:tblPr>
        <w:tblBorders/>
      </w:tblPr>
      <w:tcPr>
        <w:shd w:val="clear" w:color="a5a5a5" w:fill="a5a5a5" w:themeFill="accent3" w:themeFillTint="FE"/>
        <w:tcBorders/>
      </w:tcPr>
    </w:tblStylePr>
    <w:tblStylePr w:type="firstRow">
      <w:rPr>
        <w:color w:val="f2f2f2"/>
        <w:sz w:val="22"/>
      </w:rPr>
      <w:pPr>
        <w:pBdr/>
        <w:spacing/>
        <w:ind/>
      </w:pPr>
      <w:tblPr>
        <w:tblBorders/>
      </w:tblPr>
      <w:tcPr>
        <w:shd w:val="clear" w:color="a5a5a5" w:fill="a5a5a5" w:themeFill="accent3" w:themeFillTint="FE"/>
        <w:tcBorders/>
      </w:tcPr>
    </w:tblStylePr>
    <w:tblStylePr w:type="lastCol">
      <w:rPr>
        <w:color w:val="f2f2f2"/>
        <w:sz w:val="22"/>
      </w:rPr>
      <w:pPr>
        <w:pBdr/>
        <w:spacing/>
        <w:ind/>
      </w:pPr>
      <w:tblPr>
        <w:tblBorders/>
      </w:tblPr>
      <w:tcPr>
        <w:shd w:val="clear" w:color="a5a5a5" w:fill="a5a5a5" w:themeFill="accent3" w:themeFillTint="FE"/>
        <w:tcBorders/>
      </w:tcPr>
    </w:tblStylePr>
    <w:tblStylePr w:type="lastRow">
      <w:rPr>
        <w:color w:val="f2f2f2"/>
        <w:sz w:val="22"/>
      </w:rPr>
      <w:pPr>
        <w:pBdr/>
        <w:spacing/>
        <w:ind/>
      </w:pPr>
      <w:tblPr>
        <w:tblBorders/>
      </w:tblPr>
      <w:tcPr>
        <w:shd w:val="clear" w:color="a5a5a5" w:fill="a5a5a5"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23" w:customStyle="1">
    <w:name w:val="Bordered &amp; Lined - Accent 4"/>
    <w:basedOn w:val="892"/>
    <w:uiPriority w:val="99"/>
    <w:pPr>
      <w:pBdr/>
      <w:spacing/>
      <w:ind/>
    </w:pPr>
    <w:rPr>
      <w:color w:val="404040"/>
      <w:lang w:val="en-US" w:eastAsia="en-US"/>
    </w:rPr>
    <w:tblPr>
      <w:tblStyleRowBandSize w:val="1"/>
      <w:tblStyleColBandSize w:val="1"/>
      <w:tblInd w:w="0" w:type="dxa"/>
      <w:tblBorders>
        <w:top w:val="single" w:color="ffc000" w:themeColor="accent4" w:sz="4" w:space="0"/>
        <w:left w:val="single" w:color="ffc000" w:themeColor="accent4" w:sz="4" w:space="0"/>
        <w:bottom w:val="single" w:color="ffc000" w:themeColor="accent4" w:sz="4" w:space="0"/>
        <w:right w:val="single" w:color="ffc000" w:themeColor="accent4" w:sz="4" w:space="0"/>
        <w:insideH w:val="single" w:color="ffc000" w:themeColor="accent4" w:sz="4" w:space="0"/>
        <w:insideV w:val="single" w:color="ffc000" w:themeColor="accent4" w:sz="4" w:space="0"/>
      </w:tblBorders>
      <w:tblCellMar>
        <w:left w:w="108" w:type="dxa"/>
        <w:top w:w="0" w:type="dxa"/>
        <w:right w:w="108" w:type="dxa"/>
        <w:bottom w:w="0" w:type="dxa"/>
      </w:tblCellMar>
    </w:tblPr>
    <w:tcPr>
      <w:tcBorders/>
    </w:tcPr>
    <w:tblStylePr w:type="band1Horz">
      <w:rPr>
        <w:color w:val="404040"/>
        <w:sz w:val="22"/>
      </w:rPr>
      <w:pPr>
        <w:pBdr/>
        <w:spacing/>
        <w:ind/>
      </w:pPr>
      <w:tblPr>
        <w:tblBorders/>
      </w:tblPr>
      <w:tcPr>
        <w:tcBorders/>
      </w:tcPr>
    </w:tblStylePr>
    <w:tblStylePr w:type="band1Vert">
      <w:rPr>
        <w:color w:val="404040"/>
        <w:sz w:val="22"/>
      </w:rPr>
      <w:pPr>
        <w:pBdr/>
        <w:spacing/>
        <w:ind/>
      </w:pPr>
      <w:tblPr>
        <w:tblBorders/>
      </w:tblPr>
      <w:tcPr>
        <w:tcBorders/>
      </w:tcPr>
    </w:tblStylePr>
    <w:tblStylePr w:type="band2Horz">
      <w:rPr>
        <w:color w:val="404040"/>
        <w:sz w:val="22"/>
      </w:rPr>
      <w:pPr>
        <w:pBdr/>
        <w:spacing/>
        <w:ind/>
      </w:pPr>
      <w:tblPr>
        <w:tblBorders/>
      </w:tblPr>
      <w:tcPr>
        <w:shd w:val="clear" w:color="fff2cb" w:fill="fff2cb" w:themeFill="accent4" w:themeFillTint="34"/>
        <w:tcBorders/>
      </w:tcPr>
    </w:tblStylePr>
    <w:tblStylePr w:type="band2Vert">
      <w:rPr>
        <w:color w:val="404040"/>
        <w:sz w:val="22"/>
      </w:rPr>
      <w:pPr>
        <w:pBdr/>
        <w:spacing/>
        <w:ind/>
      </w:pPr>
      <w:tblPr>
        <w:tblBorders/>
      </w:tblPr>
      <w:tcPr>
        <w:shd w:val="clear" w:color="fff2cb" w:fill="fff2cb" w:themeFill="accent4" w:themeFillTint="34"/>
        <w:tcBorders/>
      </w:tcPr>
    </w:tblStylePr>
    <w:tblStylePr w:type="firstCol">
      <w:rPr>
        <w:color w:val="f2f2f2"/>
        <w:sz w:val="22"/>
      </w:rPr>
      <w:pPr>
        <w:pBdr/>
        <w:spacing/>
        <w:ind/>
      </w:pPr>
      <w:tblPr>
        <w:tblBorders/>
      </w:tblPr>
      <w:tcPr>
        <w:shd w:val="clear" w:color="ffd865" w:fill="ffd865" w:themeFill="accent4" w:themeFillTint="9A"/>
        <w:tcBorders/>
      </w:tcPr>
    </w:tblStylePr>
    <w:tblStylePr w:type="firstRow">
      <w:rPr>
        <w:color w:val="f2f2f2"/>
        <w:sz w:val="22"/>
      </w:rPr>
      <w:pPr>
        <w:pBdr/>
        <w:spacing/>
        <w:ind/>
      </w:pPr>
      <w:tblPr>
        <w:tblBorders/>
      </w:tblPr>
      <w:tcPr>
        <w:shd w:val="clear" w:color="ffd865" w:fill="ffd865" w:themeFill="accent4" w:themeFillTint="9A"/>
        <w:tcBorders/>
      </w:tcPr>
    </w:tblStylePr>
    <w:tblStylePr w:type="lastCol">
      <w:rPr>
        <w:color w:val="f2f2f2"/>
        <w:sz w:val="22"/>
      </w:rPr>
      <w:pPr>
        <w:pBdr/>
        <w:spacing/>
        <w:ind/>
      </w:pPr>
      <w:tblPr>
        <w:tblBorders/>
      </w:tblPr>
      <w:tcPr>
        <w:shd w:val="clear" w:color="ffd865" w:fill="ffd865" w:themeFill="accent4" w:themeFillTint="9A"/>
        <w:tcBorders/>
      </w:tcPr>
    </w:tblStylePr>
    <w:tblStylePr w:type="lastRow">
      <w:rPr>
        <w:color w:val="f2f2f2"/>
        <w:sz w:val="22"/>
      </w:rPr>
      <w:pPr>
        <w:pBdr/>
        <w:spacing/>
        <w:ind/>
      </w:pPr>
      <w:tblPr>
        <w:tblBorders/>
      </w:tblPr>
      <w:tcPr>
        <w:shd w:val="clear" w:color="ffd865" w:fill="ffd865"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24" w:customStyle="1">
    <w:name w:val="Bordered &amp; Lined - Accent 5"/>
    <w:basedOn w:val="892"/>
    <w:uiPriority w:val="99"/>
    <w:pPr>
      <w:pBdr/>
      <w:spacing/>
      <w:ind/>
    </w:pPr>
    <w:rPr>
      <w:color w:val="404040"/>
      <w:lang w:val="en-US" w:eastAsia="en-US"/>
    </w:rPr>
    <w:tblPr>
      <w:tblStyleRowBandSize w:val="1"/>
      <w:tblStyleColBandSize w:val="1"/>
      <w:tblInd w:w="0" w:type="dxa"/>
      <w:tblBorders>
        <w:top w:val="single" w:color="5b9bd5" w:themeColor="accent5" w:sz="4" w:space="0"/>
        <w:left w:val="single" w:color="5b9bd5" w:themeColor="accent5" w:sz="4" w:space="0"/>
        <w:bottom w:val="single" w:color="5b9bd5" w:themeColor="accent5" w:sz="4" w:space="0"/>
        <w:right w:val="single" w:color="5b9bd5" w:themeColor="accent5" w:sz="4" w:space="0"/>
        <w:insideH w:val="single" w:color="5b9bd5" w:themeColor="accent5" w:sz="4" w:space="0"/>
        <w:insideV w:val="single" w:color="5b9bd5" w:themeColor="accent5" w:sz="4" w:space="0"/>
      </w:tblBorders>
      <w:tblCellMar>
        <w:left w:w="108" w:type="dxa"/>
        <w:top w:w="0" w:type="dxa"/>
        <w:right w:w="108" w:type="dxa"/>
        <w:bottom w:w="0" w:type="dxa"/>
      </w:tblCellMar>
    </w:tblPr>
    <w:tcPr>
      <w:tcBorders/>
    </w:tcPr>
    <w:tblStylePr w:type="band1Horz">
      <w:rPr>
        <w:color w:val="404040"/>
        <w:sz w:val="22"/>
      </w:rPr>
      <w:pPr>
        <w:pBdr/>
        <w:spacing/>
        <w:ind/>
      </w:pPr>
      <w:tblPr>
        <w:tblBorders/>
      </w:tblPr>
      <w:tcPr>
        <w:tcBorders/>
      </w:tcPr>
    </w:tblStylePr>
    <w:tblStylePr w:type="band1Vert">
      <w:rPr>
        <w:color w:val="404040"/>
        <w:sz w:val="22"/>
      </w:rPr>
      <w:pPr>
        <w:pBdr/>
        <w:spacing/>
        <w:ind/>
      </w:pPr>
      <w:tblPr>
        <w:tblBorders/>
      </w:tblPr>
      <w:tcPr>
        <w:tcBorders/>
      </w:tcPr>
    </w:tblStylePr>
    <w:tblStylePr w:type="band2Horz">
      <w:rPr>
        <w:color w:val="404040"/>
        <w:sz w:val="22"/>
      </w:rPr>
      <w:pPr>
        <w:pBdr/>
        <w:spacing/>
        <w:ind/>
      </w:pPr>
      <w:tblPr>
        <w:tblBorders/>
      </w:tblPr>
      <w:tcPr>
        <w:shd w:val="clear" w:color="ddeaf6" w:fill="ddeaf6" w:themeFill="accent5" w:themeFillTint="34"/>
        <w:tcBorders/>
      </w:tcPr>
    </w:tblStylePr>
    <w:tblStylePr w:type="band2Vert">
      <w:rPr>
        <w:color w:val="404040"/>
        <w:sz w:val="22"/>
      </w:rPr>
      <w:pPr>
        <w:pBdr/>
        <w:spacing/>
        <w:ind/>
      </w:pPr>
      <w:tblPr>
        <w:tblBorders/>
      </w:tblPr>
      <w:tcPr>
        <w:shd w:val="clear" w:color="ddeaf6" w:fill="ddeaf6" w:themeFill="accent5" w:themeFillTint="34"/>
        <w:tcBorders/>
      </w:tcPr>
    </w:tblStylePr>
    <w:tblStylePr w:type="firstCol">
      <w:rPr>
        <w:color w:val="f2f2f2"/>
        <w:sz w:val="22"/>
      </w:rPr>
      <w:pPr>
        <w:pBdr/>
        <w:spacing/>
        <w:ind/>
      </w:pPr>
      <w:tblPr>
        <w:tblBorders/>
      </w:tblPr>
      <w:tcPr>
        <w:shd w:val="clear" w:color="5b9bd5" w:fill="5b9bd5" w:themeFill="accent5"/>
        <w:tcBorders/>
      </w:tcPr>
    </w:tblStylePr>
    <w:tblStylePr w:type="firstRow">
      <w:rPr>
        <w:color w:val="f2f2f2"/>
        <w:sz w:val="22"/>
      </w:rPr>
      <w:pPr>
        <w:pBdr/>
        <w:spacing/>
        <w:ind/>
      </w:pPr>
      <w:tblPr>
        <w:tblBorders/>
      </w:tblPr>
      <w:tcPr>
        <w:shd w:val="clear" w:color="5b9bd5" w:fill="5b9bd5" w:themeFill="accent5"/>
        <w:tcBorders/>
      </w:tcPr>
    </w:tblStylePr>
    <w:tblStylePr w:type="lastCol">
      <w:rPr>
        <w:color w:val="f2f2f2"/>
        <w:sz w:val="22"/>
      </w:rPr>
      <w:pPr>
        <w:pBdr/>
        <w:spacing/>
        <w:ind/>
      </w:pPr>
      <w:tblPr>
        <w:tblBorders/>
      </w:tblPr>
      <w:tcPr>
        <w:shd w:val="clear" w:color="5b9bd5" w:fill="5b9bd5" w:themeFill="accent5"/>
        <w:tcBorders/>
      </w:tcPr>
    </w:tblStylePr>
    <w:tblStylePr w:type="lastRow">
      <w:rPr>
        <w:color w:val="f2f2f2"/>
        <w:sz w:val="22"/>
      </w:rPr>
      <w:pPr>
        <w:pBdr/>
        <w:spacing/>
        <w:ind/>
      </w:pPr>
      <w:tblPr>
        <w:tblBorders/>
      </w:tblPr>
      <w:tcPr>
        <w:shd w:val="clear" w:color="5b9bd5" w:fill="5b9bd5"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25" w:customStyle="1">
    <w:name w:val="Bordered &amp; Lined - Accent 6"/>
    <w:basedOn w:val="892"/>
    <w:uiPriority w:val="99"/>
    <w:pPr>
      <w:pBdr/>
      <w:spacing/>
      <w:ind/>
    </w:pPr>
    <w:rPr>
      <w:color w:val="404040"/>
      <w:lang w:val="en-US" w:eastAsia="en-US"/>
    </w:rPr>
    <w:tblPr>
      <w:tblStyleRowBandSize w:val="1"/>
      <w:tblStyleColBandSize w:val="1"/>
      <w:tblInd w:w="0" w:type="dxa"/>
      <w:tblBorders>
        <w:top w:val="single" w:color="70ad47" w:themeColor="accent6" w:sz="4" w:space="0"/>
        <w:left w:val="single" w:color="70ad47" w:themeColor="accent6" w:sz="4" w:space="0"/>
        <w:bottom w:val="single" w:color="70ad47" w:themeColor="accent6" w:sz="4" w:space="0"/>
        <w:right w:val="single" w:color="70ad47" w:themeColor="accent6" w:sz="4" w:space="0"/>
        <w:insideH w:val="single" w:color="70ad47" w:themeColor="accent6" w:sz="4" w:space="0"/>
        <w:insideV w:val="single" w:color="70ad47" w:themeColor="accent6" w:sz="4" w:space="0"/>
      </w:tblBorders>
      <w:tblCellMar>
        <w:left w:w="108" w:type="dxa"/>
        <w:top w:w="0" w:type="dxa"/>
        <w:right w:w="108" w:type="dxa"/>
        <w:bottom w:w="0" w:type="dxa"/>
      </w:tblCellMar>
    </w:tblPr>
    <w:tcPr>
      <w:tcBorders/>
    </w:tcPr>
    <w:tblStylePr w:type="band1Horz">
      <w:rPr>
        <w:color w:val="404040"/>
        <w:sz w:val="22"/>
      </w:rPr>
      <w:pPr>
        <w:pBdr/>
        <w:spacing/>
        <w:ind/>
      </w:pPr>
      <w:tblPr>
        <w:tblBorders/>
      </w:tblPr>
      <w:tcPr>
        <w:tcBorders/>
      </w:tcPr>
    </w:tblStylePr>
    <w:tblStylePr w:type="band1Vert">
      <w:rPr>
        <w:color w:val="404040"/>
        <w:sz w:val="22"/>
      </w:rPr>
      <w:pPr>
        <w:pBdr/>
        <w:spacing/>
        <w:ind/>
      </w:pPr>
      <w:tblPr>
        <w:tblBorders/>
      </w:tblPr>
      <w:tcPr>
        <w:tcBorders/>
      </w:tcPr>
    </w:tblStylePr>
    <w:tblStylePr w:type="band2Horz">
      <w:rPr>
        <w:color w:val="404040"/>
        <w:sz w:val="22"/>
      </w:rPr>
      <w:pPr>
        <w:pBdr/>
        <w:spacing/>
        <w:ind/>
      </w:pPr>
      <w:tblPr>
        <w:tblBorders/>
      </w:tblPr>
      <w:tcPr>
        <w:shd w:val="clear" w:color="e1efd8" w:fill="e1efd8" w:themeFill="accent6" w:themeFillTint="34"/>
        <w:tcBorders/>
      </w:tcPr>
    </w:tblStylePr>
    <w:tblStylePr w:type="band2Vert">
      <w:rPr>
        <w:color w:val="404040"/>
        <w:sz w:val="22"/>
      </w:rPr>
      <w:pPr>
        <w:pBdr/>
        <w:spacing/>
        <w:ind/>
      </w:pPr>
      <w:tblPr>
        <w:tblBorders/>
      </w:tblPr>
      <w:tcPr>
        <w:shd w:val="clear" w:color="e1efd8" w:fill="e1efd8" w:themeFill="accent6" w:themeFillTint="34"/>
        <w:tcBorders/>
      </w:tcPr>
    </w:tblStylePr>
    <w:tblStylePr w:type="firstCol">
      <w:rPr>
        <w:color w:val="f2f2f2"/>
        <w:sz w:val="22"/>
      </w:rPr>
      <w:pPr>
        <w:pBdr/>
        <w:spacing/>
        <w:ind/>
      </w:pPr>
      <w:tblPr>
        <w:tblBorders/>
      </w:tblPr>
      <w:tcPr>
        <w:shd w:val="clear" w:color="70ad47" w:fill="70ad47" w:themeFill="accent6"/>
        <w:tcBorders/>
      </w:tcPr>
    </w:tblStylePr>
    <w:tblStylePr w:type="firstRow">
      <w:rPr>
        <w:color w:val="f2f2f2"/>
        <w:sz w:val="22"/>
      </w:rPr>
      <w:pPr>
        <w:pBdr/>
        <w:spacing/>
        <w:ind/>
      </w:pPr>
      <w:tblPr>
        <w:tblBorders/>
      </w:tblPr>
      <w:tcPr>
        <w:shd w:val="clear" w:color="70ad47" w:fill="70ad47" w:themeFill="accent6"/>
        <w:tcBorders/>
      </w:tcPr>
    </w:tblStylePr>
    <w:tblStylePr w:type="lastCol">
      <w:rPr>
        <w:color w:val="f2f2f2"/>
        <w:sz w:val="22"/>
      </w:rPr>
      <w:pPr>
        <w:pBdr/>
        <w:spacing/>
        <w:ind/>
      </w:pPr>
      <w:tblPr>
        <w:tblBorders/>
      </w:tblPr>
      <w:tcPr>
        <w:shd w:val="clear" w:color="70ad47" w:fill="70ad47" w:themeFill="accent6"/>
        <w:tcBorders/>
      </w:tcPr>
    </w:tblStylePr>
    <w:tblStylePr w:type="lastRow">
      <w:rPr>
        <w:color w:val="f2f2f2"/>
        <w:sz w:val="22"/>
      </w:rPr>
      <w:pPr>
        <w:pBdr/>
        <w:spacing/>
        <w:ind/>
      </w:pPr>
      <w:tblPr>
        <w:tblBorders/>
      </w:tblPr>
      <w:tcPr>
        <w:shd w:val="clear" w:color="70ad47" w:fill="70ad47"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26" w:customStyle="1">
    <w:name w:val="Bordered"/>
    <w:basedOn w:val="892"/>
    <w:uiPriority w:val="99"/>
    <w:pPr>
      <w:pBdr/>
      <w:spacing/>
      <w:ind/>
    </w:pPr>
    <w:tblPr>
      <w:tblStyleRowBandSize w:val="1"/>
      <w:tblStyleColBandSize w:val="1"/>
      <w:tblInd w:w="0" w:type="dxa"/>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CellMar>
        <w:left w:w="108" w:type="dxa"/>
        <w:top w:w="0" w:type="dxa"/>
        <w:right w:w="108" w:type="dxa"/>
        <w:bottom w:w="0" w:type="dxa"/>
      </w:tblCellMar>
    </w:tblPr>
    <w:tcPr>
      <w:tcBorders/>
    </w:tcPr>
    <w:tblStylePr w:type="band1Horz">
      <w:rPr>
        <w:color w:val="404040"/>
        <w:sz w:val="22"/>
      </w:rPr>
      <w:pPr>
        <w:pBdr/>
        <w:spacing/>
        <w:ind/>
      </w:pPr>
      <w:tblPr>
        <w:tblBorders/>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color w:val="404040"/>
        <w:sz w:val="22"/>
      </w:rPr>
      <w:pPr>
        <w:pBdr/>
        <w:spacing/>
        <w:ind/>
      </w:pPr>
      <w:tblPr>
        <w:tblBorders/>
      </w:tblPr>
      <w:tcPr>
        <w:tcBorders/>
      </w:tcPr>
    </w:tblStylePr>
    <w:tblStylePr w:type="firstRow">
      <w:rPr>
        <w:color w:val="404040"/>
        <w:sz w:val="22"/>
      </w:rPr>
      <w:pPr>
        <w:pBdr/>
        <w:spacing/>
        <w:ind/>
      </w:pPr>
      <w:tblPr>
        <w:tblBorders/>
      </w:tblPr>
      <w:tcPr>
        <w:tcBorders>
          <w:bottom w:val="single" w:color="000000" w:themeColor="text1" w:sz="12" w:space="0"/>
        </w:tcBorders>
      </w:tcPr>
    </w:tblStylePr>
    <w:tblStylePr w:type="lastCol">
      <w:rPr>
        <w:color w:val="404040"/>
        <w:sz w:val="22"/>
      </w:rPr>
      <w:pPr>
        <w:pBdr/>
        <w:spacing/>
        <w:ind/>
      </w:pPr>
      <w:tblPr>
        <w:tblBorders/>
      </w:tblPr>
      <w:tcPr>
        <w:tcBorders>
          <w:left w:val="single" w:color="000000" w:themeColor="text1" w:sz="12" w:space="0"/>
        </w:tcBorders>
      </w:tcPr>
    </w:tblStylePr>
    <w:tblStylePr w:type="lastRow">
      <w:rPr>
        <w:color w:val="404040"/>
        <w:sz w:val="22"/>
      </w:rPr>
      <w:pPr>
        <w:pBdr/>
        <w:spacing/>
        <w:ind/>
      </w:pPr>
      <w:tblPr>
        <w:tblBorders/>
      </w:tblPr>
      <w:tcPr>
        <w:tcBorders>
          <w:top w:val="single" w:color="000000" w:themeColor="tex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27" w:customStyle="1">
    <w:name w:val="Bordered - Accent 1"/>
    <w:basedOn w:val="892"/>
    <w:uiPriority w:val="99"/>
    <w:pPr>
      <w:pBdr/>
      <w:spacing/>
      <w:ind/>
    </w:pPr>
    <w:tblPr>
      <w:tblStyleRowBandSize w:val="1"/>
      <w:tblStyleColBandSize w:val="1"/>
      <w:tblInd w:w="0" w:type="dxa"/>
      <w:tblBorders>
        <w:top w:val="single" w:color="b3c5e7" w:themeColor="accent1" w:themeTint="67" w:sz="4" w:space="0"/>
        <w:left w:val="single" w:color="b3c5e7" w:themeColor="accent1" w:themeTint="67" w:sz="4" w:space="0"/>
        <w:bottom w:val="single" w:color="b3c5e7" w:themeColor="accent1" w:themeTint="67" w:sz="4" w:space="0"/>
        <w:right w:val="single" w:color="b3c5e7" w:themeColor="accent1" w:themeTint="67" w:sz="4" w:space="0"/>
        <w:insideH w:val="single" w:color="b3c5e7" w:themeColor="accent1" w:themeTint="67" w:sz="4" w:space="0"/>
        <w:insideV w:val="single" w:color="b3c5e7" w:themeColor="accent1" w:themeTint="67" w:sz="4" w:space="0"/>
      </w:tblBorders>
      <w:tblCellMar>
        <w:left w:w="108" w:type="dxa"/>
        <w:top w:w="0" w:type="dxa"/>
        <w:right w:w="108" w:type="dxa"/>
        <w:bottom w:w="0" w:type="dxa"/>
      </w:tblCellMar>
    </w:tblPr>
    <w:tcPr>
      <w:tcBorders/>
    </w:tcPr>
    <w:tblStylePr w:type="band1Horz">
      <w:rPr>
        <w:color w:val="404040"/>
        <w:sz w:val="22"/>
      </w:rPr>
      <w:pPr>
        <w:pBdr/>
        <w:spacing/>
        <w:ind/>
      </w:pPr>
      <w:tblPr>
        <w:tblBorders/>
      </w:tblPr>
      <w:tcPr>
        <w:tcBorders>
          <w:top w:val="single" w:color="4472c4" w:themeColor="accent1" w:sz="4" w:space="0"/>
          <w:left w:val="single" w:color="4472c4" w:themeColor="accent1" w:sz="4" w:space="0"/>
          <w:bottom w:val="single" w:color="4472c4" w:themeColor="accent1" w:sz="4" w:space="0"/>
          <w:right w:val="single" w:color="4472c4" w:themeColor="accent1"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color w:val="404040"/>
        <w:sz w:val="22"/>
      </w:rPr>
      <w:pPr>
        <w:pBdr/>
        <w:spacing/>
        <w:ind/>
      </w:pPr>
      <w:tblPr>
        <w:tblBorders/>
      </w:tblPr>
      <w:tcPr>
        <w:tcBorders/>
      </w:tcPr>
    </w:tblStylePr>
    <w:tblStylePr w:type="firstRow">
      <w:rPr>
        <w:color w:val="404040"/>
        <w:sz w:val="22"/>
      </w:rPr>
      <w:pPr>
        <w:pBdr/>
        <w:spacing/>
        <w:ind/>
      </w:pPr>
      <w:tblPr>
        <w:tblBorders/>
      </w:tblPr>
      <w:tcPr>
        <w:tcBorders>
          <w:bottom w:val="single" w:color="4472c4" w:themeColor="accent1" w:sz="12" w:space="0"/>
        </w:tcBorders>
      </w:tcPr>
    </w:tblStylePr>
    <w:tblStylePr w:type="lastCol">
      <w:rPr>
        <w:color w:val="404040"/>
        <w:sz w:val="22"/>
      </w:rPr>
      <w:pPr>
        <w:pBdr/>
        <w:spacing/>
        <w:ind/>
      </w:pPr>
      <w:tblPr>
        <w:tblBorders/>
      </w:tblPr>
      <w:tcPr>
        <w:tcBorders>
          <w:left w:val="single" w:color="4472c4" w:themeColor="accent1" w:sz="12" w:space="0"/>
        </w:tcBorders>
      </w:tcPr>
    </w:tblStylePr>
    <w:tblStylePr w:type="lastRow">
      <w:rPr>
        <w:color w:val="404040"/>
        <w:sz w:val="22"/>
      </w:rPr>
      <w:pPr>
        <w:pBdr/>
        <w:spacing/>
        <w:ind/>
      </w:pPr>
      <w:tblPr>
        <w:tblBorders/>
      </w:tblPr>
      <w:tcPr>
        <w:tcBorders>
          <w:top w:val="single" w:color="4472c4"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28" w:customStyle="1">
    <w:name w:val="Bordered - Accent 2"/>
    <w:basedOn w:val="892"/>
    <w:uiPriority w:val="99"/>
    <w:pPr>
      <w:pBdr/>
      <w:spacing/>
      <w:ind/>
    </w:pPr>
    <w:tblPr>
      <w:tblStyleRowBandSize w:val="1"/>
      <w:tblStyleColBandSize w:val="1"/>
      <w:tblInd w:w="0" w:type="dxa"/>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CellMar>
        <w:left w:w="108" w:type="dxa"/>
        <w:top w:w="0" w:type="dxa"/>
        <w:right w:w="108" w:type="dxa"/>
        <w:bottom w:w="0" w:type="dxa"/>
      </w:tblCellMar>
    </w:tblPr>
    <w:tcPr>
      <w:tcBorders/>
    </w:tcPr>
    <w:tblStylePr w:type="band1Horz">
      <w:rPr>
        <w:color w:val="404040"/>
        <w:sz w:val="22"/>
      </w:rPr>
      <w:pPr>
        <w:pBdr/>
        <w:spacing/>
        <w:ind/>
      </w:pPr>
      <w:tblPr>
        <w:tblBorders/>
      </w:tblPr>
      <w:tcPr>
        <w:tcBorders>
          <w:top w:val="single" w:color="ed7d31" w:themeColor="accent2" w:sz="4" w:space="0"/>
          <w:left w:val="single" w:color="ed7d31" w:themeColor="accent2" w:sz="4" w:space="0"/>
          <w:bottom w:val="single" w:color="ed7d31" w:themeColor="accent2" w:sz="4" w:space="0"/>
          <w:right w:val="single" w:color="ed7d31" w:themeColor="accent2"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color w:val="404040"/>
        <w:sz w:val="22"/>
      </w:rPr>
      <w:pPr>
        <w:pBdr/>
        <w:spacing/>
        <w:ind/>
      </w:pPr>
      <w:tblPr>
        <w:tblBorders/>
      </w:tblPr>
      <w:tcPr>
        <w:tcBorders/>
      </w:tcPr>
    </w:tblStylePr>
    <w:tblStylePr w:type="firstRow">
      <w:rPr>
        <w:color w:val="404040"/>
        <w:sz w:val="22"/>
      </w:rPr>
      <w:pPr>
        <w:pBdr/>
        <w:spacing/>
        <w:ind/>
      </w:pPr>
      <w:tblPr>
        <w:tblBorders/>
      </w:tblPr>
      <w:tcPr>
        <w:tcBorders>
          <w:bottom w:val="single" w:color="ed7d31" w:themeColor="accent2" w:sz="12" w:space="0"/>
        </w:tcBorders>
      </w:tcPr>
    </w:tblStylePr>
    <w:tblStylePr w:type="lastCol">
      <w:rPr>
        <w:color w:val="404040"/>
        <w:sz w:val="22"/>
      </w:rPr>
      <w:pPr>
        <w:pBdr/>
        <w:spacing/>
        <w:ind/>
      </w:pPr>
      <w:tblPr>
        <w:tblBorders/>
      </w:tblPr>
      <w:tcPr>
        <w:tcBorders>
          <w:left w:val="single" w:color="ed7d31" w:themeColor="accent2" w:sz="12" w:space="0"/>
        </w:tcBorders>
      </w:tcPr>
    </w:tblStylePr>
    <w:tblStylePr w:type="lastRow">
      <w:rPr>
        <w:color w:val="404040"/>
        <w:sz w:val="22"/>
      </w:rPr>
      <w:pPr>
        <w:pBdr/>
        <w:spacing/>
        <w:ind/>
      </w:pPr>
      <w:tblPr>
        <w:tblBorders/>
      </w:tblPr>
      <w:tcPr>
        <w:tcBorders>
          <w:top w:val="single" w:color="ed7d31" w:themeColor="accent2"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29" w:customStyle="1">
    <w:name w:val="Bordered - Accent 3"/>
    <w:basedOn w:val="892"/>
    <w:uiPriority w:val="99"/>
    <w:pPr>
      <w:pBdr/>
      <w:spacing/>
      <w:ind/>
    </w:pPr>
    <w:tblPr>
      <w:tblStyleRowBandSize w:val="1"/>
      <w:tblStyleColBandSize w:val="1"/>
      <w:tblInd w:w="0" w:type="dxa"/>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CellMar>
        <w:left w:w="108" w:type="dxa"/>
        <w:top w:w="0" w:type="dxa"/>
        <w:right w:w="108" w:type="dxa"/>
        <w:bottom w:w="0" w:type="dxa"/>
      </w:tblCellMar>
    </w:tblPr>
    <w:tcPr>
      <w:tcBorders/>
    </w:tcPr>
    <w:tblStylePr w:type="band1Horz">
      <w:rPr>
        <w:color w:val="404040"/>
        <w:sz w:val="22"/>
      </w:rPr>
      <w:pPr>
        <w:pBdr/>
        <w:spacing/>
        <w:ind/>
      </w:pPr>
      <w:tblPr>
        <w:tblBorders/>
      </w:tblPr>
      <w:tcPr>
        <w:tcBorders>
          <w:top w:val="single" w:color="a5a5a5" w:themeColor="accent3" w:sz="4" w:space="0"/>
          <w:left w:val="single" w:color="a5a5a5" w:themeColor="accent3" w:sz="4" w:space="0"/>
          <w:bottom w:val="single" w:color="a5a5a5" w:themeColor="accent3" w:sz="4" w:space="0"/>
          <w:right w:val="single" w:color="a5a5a5" w:themeColor="accent3"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color w:val="404040"/>
        <w:sz w:val="22"/>
      </w:rPr>
      <w:pPr>
        <w:pBdr/>
        <w:spacing/>
        <w:ind/>
      </w:pPr>
      <w:tblPr>
        <w:tblBorders/>
      </w:tblPr>
      <w:tcPr>
        <w:tcBorders/>
      </w:tcPr>
    </w:tblStylePr>
    <w:tblStylePr w:type="firstRow">
      <w:rPr>
        <w:color w:val="404040"/>
        <w:sz w:val="22"/>
      </w:rPr>
      <w:pPr>
        <w:pBdr/>
        <w:spacing/>
        <w:ind/>
      </w:pPr>
      <w:tblPr>
        <w:tblBorders/>
      </w:tblPr>
      <w:tcPr>
        <w:tcBorders>
          <w:bottom w:val="single" w:color="a5a5a5" w:themeColor="accent3" w:sz="12" w:space="0"/>
        </w:tcBorders>
      </w:tcPr>
    </w:tblStylePr>
    <w:tblStylePr w:type="lastCol">
      <w:rPr>
        <w:color w:val="404040"/>
        <w:sz w:val="22"/>
      </w:rPr>
      <w:pPr>
        <w:pBdr/>
        <w:spacing/>
        <w:ind/>
      </w:pPr>
      <w:tblPr>
        <w:tblBorders/>
      </w:tblPr>
      <w:tcPr>
        <w:tcBorders>
          <w:left w:val="single" w:color="a5a5a5" w:themeColor="accent3" w:sz="12" w:space="0"/>
        </w:tcBorders>
      </w:tcPr>
    </w:tblStylePr>
    <w:tblStylePr w:type="lastRow">
      <w:rPr>
        <w:color w:val="404040"/>
        <w:sz w:val="22"/>
      </w:rPr>
      <w:pPr>
        <w:pBdr/>
        <w:spacing/>
        <w:ind/>
      </w:pPr>
      <w:tblPr>
        <w:tblBorders/>
      </w:tblPr>
      <w:tcPr>
        <w:tcBorders>
          <w:top w:val="single" w:color="a5a5a5" w:themeColor="accent3"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30" w:customStyle="1">
    <w:name w:val="Bordered - Accent 4"/>
    <w:basedOn w:val="892"/>
    <w:uiPriority w:val="99"/>
    <w:pPr>
      <w:pBdr/>
      <w:spacing/>
      <w:ind/>
    </w:pPr>
    <w:tblPr>
      <w:tblStyleRowBandSize w:val="1"/>
      <w:tblStyleColBandSize w:val="1"/>
      <w:tblInd w:w="0" w:type="dxa"/>
      <w:tbl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insideH w:val="single" w:color="ffe598" w:themeColor="accent4" w:themeTint="67" w:sz="4" w:space="0"/>
        <w:insideV w:val="single" w:color="ffe598" w:themeColor="accent4" w:themeTint="67" w:sz="4" w:space="0"/>
      </w:tblBorders>
      <w:tblCellMar>
        <w:left w:w="108" w:type="dxa"/>
        <w:top w:w="0" w:type="dxa"/>
        <w:right w:w="108" w:type="dxa"/>
        <w:bottom w:w="0" w:type="dxa"/>
      </w:tblCellMar>
    </w:tblPr>
    <w:tcPr>
      <w:tcBorders/>
    </w:tcPr>
    <w:tblStylePr w:type="band1Horz">
      <w:rPr>
        <w:color w:val="404040"/>
        <w:sz w:val="22"/>
      </w:rPr>
      <w:pPr>
        <w:pBdr/>
        <w:spacing/>
        <w:ind/>
      </w:pPr>
      <w:tblPr>
        <w:tblBorders/>
      </w:tblPr>
      <w:tcPr>
        <w:tcBorders>
          <w:top w:val="single" w:color="ffc000" w:themeColor="accent4" w:sz="4" w:space="0"/>
          <w:left w:val="single" w:color="ffc000" w:themeColor="accent4" w:sz="4" w:space="0"/>
          <w:bottom w:val="single" w:color="ffc000" w:themeColor="accent4" w:sz="4" w:space="0"/>
          <w:right w:val="single" w:color="ffc000" w:themeColor="accent4"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color w:val="404040"/>
        <w:sz w:val="22"/>
      </w:rPr>
      <w:pPr>
        <w:pBdr/>
        <w:spacing/>
        <w:ind/>
      </w:pPr>
      <w:tblPr>
        <w:tblBorders/>
      </w:tblPr>
      <w:tcPr>
        <w:tcBorders/>
      </w:tcPr>
    </w:tblStylePr>
    <w:tblStylePr w:type="firstRow">
      <w:rPr>
        <w:color w:val="404040"/>
        <w:sz w:val="22"/>
      </w:rPr>
      <w:pPr>
        <w:pBdr/>
        <w:spacing/>
        <w:ind/>
      </w:pPr>
      <w:tblPr>
        <w:tblBorders/>
      </w:tblPr>
      <w:tcPr>
        <w:tcBorders>
          <w:bottom w:val="single" w:color="ffc000" w:themeColor="accent4" w:sz="12" w:space="0"/>
        </w:tcBorders>
      </w:tcPr>
    </w:tblStylePr>
    <w:tblStylePr w:type="lastCol">
      <w:rPr>
        <w:color w:val="404040"/>
        <w:sz w:val="22"/>
      </w:rPr>
      <w:pPr>
        <w:pBdr/>
        <w:spacing/>
        <w:ind/>
      </w:pPr>
      <w:tblPr>
        <w:tblBorders/>
      </w:tblPr>
      <w:tcPr>
        <w:tcBorders>
          <w:left w:val="single" w:color="ffc000" w:themeColor="accent4" w:sz="12" w:space="0"/>
        </w:tcBorders>
      </w:tcPr>
    </w:tblStylePr>
    <w:tblStylePr w:type="lastRow">
      <w:rPr>
        <w:color w:val="404040"/>
        <w:sz w:val="22"/>
      </w:rPr>
      <w:pPr>
        <w:pBdr/>
        <w:spacing/>
        <w:ind/>
      </w:pPr>
      <w:tblPr>
        <w:tblBorders/>
      </w:tblPr>
      <w:tcPr>
        <w:tcBorders>
          <w:top w:val="single" w:color="ffc000" w:themeColor="accent4"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31" w:customStyle="1">
    <w:name w:val="Bordered - Accent 5"/>
    <w:basedOn w:val="892"/>
    <w:uiPriority w:val="99"/>
    <w:pPr>
      <w:pBdr/>
      <w:spacing/>
      <w:ind/>
    </w:pPr>
    <w:tblPr>
      <w:tblStyleRowBandSize w:val="1"/>
      <w:tblStyleColBandSize w:val="1"/>
      <w:tblInd w:w="0" w:type="dxa"/>
      <w:tblBorders>
        <w:top w:val="single" w:color="bcd6ee" w:themeColor="accent5" w:themeTint="67" w:sz="4" w:space="0"/>
        <w:left w:val="single" w:color="bcd6ee" w:themeColor="accent5" w:themeTint="67" w:sz="4" w:space="0"/>
        <w:bottom w:val="single" w:color="bcd6ee" w:themeColor="accent5" w:themeTint="67" w:sz="4" w:space="0"/>
        <w:right w:val="single" w:color="bcd6ee" w:themeColor="accent5" w:themeTint="67" w:sz="4" w:space="0"/>
        <w:insideH w:val="single" w:color="bcd6ee" w:themeColor="accent5" w:themeTint="67" w:sz="4" w:space="0"/>
        <w:insideV w:val="single" w:color="bcd6ee" w:themeColor="accent5" w:themeTint="67" w:sz="4" w:space="0"/>
      </w:tblBorders>
      <w:tblCellMar>
        <w:left w:w="108" w:type="dxa"/>
        <w:top w:w="0" w:type="dxa"/>
        <w:right w:w="108" w:type="dxa"/>
        <w:bottom w:w="0" w:type="dxa"/>
      </w:tblCellMar>
    </w:tblPr>
    <w:tcPr>
      <w:tcBorders/>
    </w:tcPr>
    <w:tblStylePr w:type="band1Horz">
      <w:rPr>
        <w:color w:val="404040"/>
        <w:sz w:val="22"/>
      </w:rPr>
      <w:pPr>
        <w:pBdr/>
        <w:spacing/>
        <w:ind/>
      </w:pPr>
      <w:tblPr>
        <w:tblBorders/>
      </w:tblPr>
      <w:tcPr>
        <w:tcBorders>
          <w:top w:val="single" w:color="5b9bd5" w:themeColor="accent5" w:sz="4" w:space="0"/>
          <w:left w:val="single" w:color="5b9bd5" w:themeColor="accent5" w:sz="4" w:space="0"/>
          <w:bottom w:val="single" w:color="5b9bd5" w:themeColor="accent5" w:sz="4" w:space="0"/>
          <w:right w:val="single" w:color="5b9bd5" w:themeColor="accent5"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color w:val="404040"/>
        <w:sz w:val="22"/>
      </w:rPr>
      <w:pPr>
        <w:pBdr/>
        <w:spacing/>
        <w:ind/>
      </w:pPr>
      <w:tblPr>
        <w:tblBorders/>
      </w:tblPr>
      <w:tcPr>
        <w:tcBorders/>
      </w:tcPr>
    </w:tblStylePr>
    <w:tblStylePr w:type="firstRow">
      <w:rPr>
        <w:color w:val="404040"/>
        <w:sz w:val="22"/>
      </w:rPr>
      <w:pPr>
        <w:pBdr/>
        <w:spacing/>
        <w:ind/>
      </w:pPr>
      <w:tblPr>
        <w:tblBorders/>
      </w:tblPr>
      <w:tcPr>
        <w:tcBorders>
          <w:bottom w:val="single" w:color="5b9bd5" w:themeColor="accent5" w:sz="12" w:space="0"/>
        </w:tcBorders>
      </w:tcPr>
    </w:tblStylePr>
    <w:tblStylePr w:type="lastCol">
      <w:rPr>
        <w:color w:val="404040"/>
        <w:sz w:val="22"/>
      </w:rPr>
      <w:pPr>
        <w:pBdr/>
        <w:spacing/>
        <w:ind/>
      </w:pPr>
      <w:tblPr>
        <w:tblBorders/>
      </w:tblPr>
      <w:tcPr>
        <w:tcBorders>
          <w:left w:val="single" w:color="5b9bd5" w:themeColor="accent5" w:sz="12" w:space="0"/>
        </w:tcBorders>
      </w:tcPr>
    </w:tblStylePr>
    <w:tblStylePr w:type="lastRow">
      <w:rPr>
        <w:color w:val="404040"/>
        <w:sz w:val="22"/>
      </w:rPr>
      <w:pPr>
        <w:pBdr/>
        <w:spacing/>
        <w:ind/>
      </w:pPr>
      <w:tblPr>
        <w:tblBorders/>
      </w:tblPr>
      <w:tcPr>
        <w:tcBorders>
          <w:top w:val="single" w:color="5b9bd5" w:themeColor="accent5"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32" w:customStyle="1">
    <w:name w:val="Bordered - Accent 6"/>
    <w:basedOn w:val="892"/>
    <w:uiPriority w:val="99"/>
    <w:pPr>
      <w:pBdr/>
      <w:spacing/>
      <w:ind/>
    </w:pPr>
    <w:tblPr>
      <w:tblStyleRowBandSize w:val="1"/>
      <w:tblStyleColBandSize w:val="1"/>
      <w:tblInd w:w="0" w:type="dxa"/>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CellMar>
        <w:left w:w="108" w:type="dxa"/>
        <w:top w:w="0" w:type="dxa"/>
        <w:right w:w="108" w:type="dxa"/>
        <w:bottom w:w="0" w:type="dxa"/>
      </w:tblCellMar>
    </w:tblPr>
    <w:tcPr>
      <w:tcBorders/>
    </w:tcPr>
    <w:tblStylePr w:type="band1Horz">
      <w:rPr>
        <w:color w:val="404040"/>
        <w:sz w:val="22"/>
      </w:rPr>
      <w:pPr>
        <w:pBdr/>
        <w:spacing/>
        <w:ind/>
      </w:pPr>
      <w:tblPr>
        <w:tblBorders/>
      </w:tblPr>
      <w:tcPr>
        <w:tcBorders>
          <w:top w:val="single" w:color="70ad47" w:themeColor="accent6" w:sz="4" w:space="0"/>
          <w:left w:val="single" w:color="70ad47" w:themeColor="accent6" w:sz="4" w:space="0"/>
          <w:bottom w:val="single" w:color="70ad47" w:themeColor="accent6" w:sz="4" w:space="0"/>
          <w:right w:val="single" w:color="70ad47" w:themeColor="accent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color w:val="404040"/>
        <w:sz w:val="22"/>
      </w:rPr>
      <w:pPr>
        <w:pBdr/>
        <w:spacing/>
        <w:ind/>
      </w:pPr>
      <w:tblPr>
        <w:tblBorders/>
      </w:tblPr>
      <w:tcPr>
        <w:tcBorders/>
      </w:tcPr>
    </w:tblStylePr>
    <w:tblStylePr w:type="firstRow">
      <w:rPr>
        <w:color w:val="404040"/>
        <w:sz w:val="22"/>
      </w:rPr>
      <w:pPr>
        <w:pBdr/>
        <w:spacing/>
        <w:ind/>
      </w:pPr>
      <w:tblPr>
        <w:tblBorders/>
      </w:tblPr>
      <w:tcPr>
        <w:tcBorders>
          <w:bottom w:val="single" w:color="70ad47" w:themeColor="accent6" w:sz="12" w:space="0"/>
        </w:tcBorders>
      </w:tcPr>
    </w:tblStylePr>
    <w:tblStylePr w:type="lastCol">
      <w:rPr>
        <w:color w:val="404040"/>
        <w:sz w:val="22"/>
      </w:rPr>
      <w:pPr>
        <w:pBdr/>
        <w:spacing/>
        <w:ind/>
      </w:pPr>
      <w:tblPr>
        <w:tblBorders/>
      </w:tblPr>
      <w:tcPr>
        <w:tcBorders>
          <w:left w:val="single" w:color="70ad47" w:themeColor="accent6" w:sz="12" w:space="0"/>
        </w:tcBorders>
      </w:tcPr>
    </w:tblStylePr>
    <w:tblStylePr w:type="lastRow">
      <w:rPr>
        <w:color w:val="404040"/>
        <w:sz w:val="22"/>
      </w:rPr>
      <w:pPr>
        <w:pBdr/>
        <w:spacing/>
        <w:ind/>
      </w:pPr>
      <w:tblPr>
        <w:tblBorders/>
      </w:tblPr>
      <w:tcPr>
        <w:tcBorders>
          <w:top w:val="single" w:color="70ad47" w:themeColor="accent6"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character" w:styleId="1433" w:customStyle="1">
    <w:name w:val="No Spacing Char"/>
    <w:basedOn w:val="891"/>
    <w:link w:val="1217"/>
    <w:uiPriority w:val="1"/>
    <w:pPr>
      <w:pBdr/>
      <w:spacing/>
      <w:ind/>
    </w:p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11" Type="http://schemas.openxmlformats.org/officeDocument/2006/relationships/header" Target="header3.xml" /><Relationship Id="rId12" Type="http://schemas.openxmlformats.org/officeDocument/2006/relationships/header" Target="header4.xml" /><Relationship Id="rId13" Type="http://schemas.openxmlformats.org/officeDocument/2006/relationships/header" Target="header5.xml" /><Relationship Id="rId14" Type="http://schemas.openxmlformats.org/officeDocument/2006/relationships/header" Target="header6.xml" /><Relationship Id="rId15" Type="http://schemas.openxmlformats.org/officeDocument/2006/relationships/header" Target="header7.xml" /><Relationship Id="rId16" Type="http://schemas.openxmlformats.org/officeDocument/2006/relationships/header" Target="header8.xml" /><Relationship Id="rId17" Type="http://schemas.openxmlformats.org/officeDocument/2006/relationships/header" Target="header9.xml" /><Relationship Id="rId18" Type="http://schemas.openxmlformats.org/officeDocument/2006/relationships/customXml" Target="../customXml/item1.xml" /><Relationship Id="rId19" Type="http://schemas.openxmlformats.org/officeDocument/2006/relationships/image" Target="media/image1.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_rels/header3.xml.rels><?xml version="1.0" encoding="UTF-8" standalone="yes"?><Relationships xmlns="http://schemas.openxmlformats.org/package/2006/relationships"></Relationships>
</file>

<file path=word/_rels/header4.xml.rels><?xml version="1.0" encoding="UTF-8" standalone="yes"?><Relationships xmlns="http://schemas.openxmlformats.org/package/2006/relationships"></Relationships>
</file>

<file path=word/_rels/header5.xml.rels><?xml version="1.0" encoding="UTF-8" standalone="yes"?><Relationships xmlns="http://schemas.openxmlformats.org/package/2006/relationships"></Relationships>
</file>

<file path=word/_rels/header6.xml.rels><?xml version="1.0" encoding="UTF-8" standalone="yes"?><Relationships xmlns="http://schemas.openxmlformats.org/package/2006/relationships"></Relationships>
</file>

<file path=word/_rels/header7.xml.rels><?xml version="1.0" encoding="UTF-8" standalone="yes"?><Relationships xmlns="http://schemas.openxmlformats.org/package/2006/relationships"></Relationships>
</file>

<file path=word/_rels/header8.xml.rels><?xml version="1.0" encoding="UTF-8" standalone="yes"?><Relationships xmlns="http://schemas.openxmlformats.org/package/2006/relationships"></Relationships>
</file>

<file path=word/_rels/header9.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FB2CF4-495F-4274-BA5B-C82DCDE93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ONLYOFFICE/8.1.0.169</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Cartea Proverbe 1-10</dc:title>
  <dc:creator>Octavian Baban;Petre Murariu</dc:creator>
  <dc:language>en-US</dc:language>
  <cp:revision>15</cp:revision>
  <dcterms:created xsi:type="dcterms:W3CDTF">2024-07-06T17:58:00Z</dcterms:created>
  <dcterms:modified xsi:type="dcterms:W3CDTF">2024-07-13T06:12:52Z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Octavian Baban</vt:lpwstr>
  </property>
</Properties>
</file>