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Default Extension="svg" ContentType="image/svg+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2228"/>
        <w:pBdr/>
        <w:spacing/>
        <w:ind/>
        <w:rPr>
          <w:rStyle w:val="2319"/>
          <w:b w:val="0"/>
          <w:lang w:val="ro-RO"/>
        </w:rPr>
      </w:pPr>
      <w:r>
        <w:rPr>
          <w:rStyle w:val="2319"/>
          <w:b w:val="0"/>
          <w:lang w:val="ro-RO"/>
        </w:rPr>
      </w:r>
      <w:r>
        <w:rPr>
          <w:rStyle w:val="2319"/>
          <w:b w:val="0"/>
          <w:lang w:val="ro-RO"/>
        </w:rPr>
      </w:r>
    </w:p>
    <w:p>
      <w:pPr>
        <w:pStyle w:val="2228"/>
        <w:pBdr/>
        <w:spacing/>
        <w:ind/>
        <w:rPr>
          <w:rStyle w:val="2319"/>
          <w:b w:val="0"/>
          <w:lang w:val="ro-RO"/>
        </w:rPr>
      </w:pPr>
      <w:r/>
      <w:bookmarkStart w:id="0" w:name="_Toc251861156"/>
      <w:r/>
      <w:bookmarkStart w:id="1" w:name="_Toc252991828"/>
      <w:r>
        <w:rPr>
          <w:rStyle w:val="2319"/>
          <w:b w:val="0"/>
          <w:lang w:val="ro-RO"/>
        </w:rPr>
        <w:t xml:space="preserve">Cetatea antică şi</w:t>
      </w:r>
      <w:r>
        <w:rPr>
          <w:rStyle w:val="2319"/>
          <w:b w:val="0"/>
          <w:lang w:val="ro-RO"/>
        </w:rPr>
        <w:t xml:space="preserve"> Împărăţia lui Dumnezeu</w:t>
      </w:r>
      <w:bookmarkEnd w:id="0"/>
      <w:r/>
      <w:bookmarkEnd w:id="1"/>
      <w:r>
        <w:rPr>
          <w:rStyle w:val="2319"/>
          <w:b w:val="0"/>
          <w:lang w:val="ro-RO"/>
        </w:rPr>
        <w:t xml:space="preserve"> </w:t>
      </w:r>
      <w:r>
        <w:rPr>
          <w:rStyle w:val="2319"/>
          <w:b w:val="0"/>
          <w:lang w:val="ro-RO"/>
        </w:rPr>
      </w:r>
      <w:r>
        <w:rPr>
          <w:rStyle w:val="2319"/>
          <w:b w:val="0"/>
          <w:lang w:val="ro-RO"/>
        </w:rPr>
      </w:r>
    </w:p>
    <w:p>
      <w:pPr>
        <w:pStyle w:val="2378"/>
        <w:pBdr/>
        <w:spacing/>
        <w:ind/>
        <w:rPr>
          <w:b/>
          <w:sz w:val="36"/>
          <w:szCs w:val="36"/>
        </w:rPr>
      </w:pPr>
      <w:r>
        <w:rPr>
          <w:b/>
          <w:sz w:val="36"/>
          <w:szCs w:val="36"/>
        </w:rPr>
      </w:r>
      <w:r>
        <w:rPr>
          <w:b/>
          <w:sz w:val="36"/>
          <w:szCs w:val="36"/>
        </w:rPr>
      </w:r>
    </w:p>
    <w:p>
      <w:pPr>
        <w:pStyle w:val="2378"/>
        <w:pBdr/>
        <w:spacing/>
        <w:ind/>
        <w:rPr>
          <w:b/>
          <w:sz w:val="36"/>
          <w:szCs w:val="36"/>
        </w:rPr>
      </w:pPr>
      <w:r>
        <w:rPr>
          <w:b/>
          <w:sz w:val="36"/>
          <w:szCs w:val="36"/>
        </w:rPr>
      </w:r>
      <w:r>
        <w:rPr>
          <w:b/>
          <w:sz w:val="36"/>
          <w:szCs w:val="36"/>
        </w:rPr>
      </w:r>
    </w:p>
    <w:p>
      <w:pPr>
        <w:pStyle w:val="2378"/>
        <w:pBdr/>
        <w:spacing/>
        <w:ind/>
        <w:outlineLvl w:val="9"/>
        <w:rPr/>
      </w:pPr>
      <w:r/>
      <w:bookmarkStart w:id="2" w:name="_Toc251861157"/>
      <w:r/>
      <w:bookmarkStart w:id="3" w:name="_Toc252991829"/>
      <w:r>
        <w:rPr>
          <w:b/>
          <w:sz w:val="36"/>
          <w:szCs w:val="36"/>
        </w:rPr>
        <w:t xml:space="preserve">O introducere </w:t>
      </w:r>
      <w:r>
        <w:rPr>
          <w:b/>
          <w:sz w:val="36"/>
          <w:szCs w:val="36"/>
        </w:rPr>
        <w:t xml:space="preserve">în Teologia politică a Noului Testament</w:t>
      </w:r>
      <w:bookmarkEnd w:id="2"/>
      <w:r/>
      <w:bookmarkEnd w:id="3"/>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27"/>
        <w:pBdr/>
        <w:spacing/>
        <w:ind/>
        <w:jc w:val="right"/>
        <w:rPr>
          <w:rFonts w:ascii="Arial Black" w:hAnsi="Arial Black"/>
          <w:b/>
        </w:rPr>
      </w:pPr>
      <w:r>
        <w:rPr>
          <w:rFonts w:ascii="Arial Black" w:hAnsi="Arial Black"/>
          <w:b/>
        </w:rPr>
        <w:t xml:space="preserve">O. Baban</w:t>
      </w:r>
      <w:r>
        <w:rPr>
          <w:rFonts w:ascii="Arial Black" w:hAnsi="Arial Black"/>
          <w:b/>
        </w:rPr>
      </w:r>
    </w:p>
    <w:p>
      <w:pPr>
        <w:pStyle w:val="2227"/>
        <w:pBdr/>
        <w:spacing/>
        <w:ind/>
        <w:rPr/>
      </w:pPr>
      <w:r/>
      <w:r/>
    </w:p>
    <w:p>
      <w:pPr>
        <w:pStyle w:val="2227"/>
        <w:pBdr/>
        <w:spacing/>
        <w:ind/>
        <w:rPr/>
      </w:pPr>
      <w:r/>
      <w:r/>
    </w:p>
    <w:p>
      <w:pPr>
        <w:pStyle w:val="2227"/>
        <w:pBdr/>
        <w:spacing/>
        <w:ind/>
        <w:rPr/>
      </w:pPr>
      <w:r/>
      <w:r/>
    </w:p>
    <w:p>
      <w:pPr>
        <w:pStyle w:val="2227"/>
        <w:pBdr/>
        <w:spacing/>
        <w:ind/>
        <w:rPr/>
      </w:pPr>
      <w:r>
        <w:br w:type="page" w:clear="all"/>
      </w:r>
      <w:r/>
    </w:p>
    <w:p>
      <w:pPr>
        <w:pStyle w:val="2380"/>
        <w:pBdr/>
        <w:spacing/>
        <w:ind/>
        <w:jc w:val="center"/>
        <w:rPr>
          <w:lang w:val="ro-RO"/>
        </w:rPr>
      </w:pPr>
      <w:r>
        <w:rPr>
          <w:lang w:val="ro-RO"/>
        </w:rPr>
        <w:t xml:space="preserve">Conţinut</w:t>
      </w:r>
      <w:r>
        <w:rPr>
          <w:lang w:val="ro-RO"/>
        </w:rPr>
      </w:r>
    </w:p>
    <w:p>
      <w:pPr>
        <w:pStyle w:val="2286"/>
        <w:pBdr/>
        <w:spacing/>
        <w:ind/>
        <w:rPr>
          <w:rFonts w:ascii="Calibri" w:hAnsi="Calibri" w:cs="Arial"/>
          <w:smallCaps/>
          <w:sz w:val="22"/>
          <w:szCs w:val="22"/>
          <w:lang w:eastAsia="en-US" w:bidi="he-IL"/>
        </w:rPr>
      </w:pPr>
      <w:r>
        <w:fldChar w:fldCharType="begin"/>
      </w:r>
      <w:r>
        <w:instrText xml:space="preserve"> TOC \o "1-3" \h \z \u </w:instrText>
      </w:r>
      <w:r>
        <w:fldChar w:fldCharType="separate"/>
      </w:r>
      <w:r>
        <w:rPr>
          <w:rFonts w:ascii="Calibri" w:hAnsi="Calibri" w:cs="Arial"/>
          <w:smallCaps/>
          <w:sz w:val="22"/>
          <w:szCs w:val="22"/>
          <w:lang w:eastAsia="en-US" w:bidi="he-IL"/>
        </w:rPr>
      </w:r>
      <w:r>
        <w:rPr>
          <w:rFonts w:ascii="Calibri" w:hAnsi="Calibri" w:cs="Arial"/>
          <w:smallCaps/>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"_Toc252991830"</w:instrText>
      </w:r>
      <w:r>
        <w:rPr>
          <w:rStyle w:val="2300"/>
        </w:rPr>
        <w:instrText xml:space="preserve"> </w:instrText>
      </w:r>
      <w:r>
        <w:rPr>
          <w:rStyle w:val="2300"/>
        </w:rPr>
        <w:fldChar w:fldCharType="separate"/>
      </w:r>
      <w:r>
        <w:rPr>
          <w:rStyle w:val="2300"/>
        </w:rPr>
        <w:t xml:space="preserve">Capitolul 1. Teologia politică a NT: introducere</w:t>
      </w:r>
      <w:r>
        <w:tab/>
      </w:r>
      <w:r>
        <w:fldChar w:fldCharType="begin"/>
      </w:r>
      <w:r>
        <w:instrText xml:space="preserve"> PAGEREF _Toc252991830 \h </w:instrText>
      </w:r>
      <w:r>
        <w:fldChar w:fldCharType="separate"/>
      </w:r>
      <w:r>
        <w:t xml:space="preserve">4</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"_Toc252991831"</w:instrText>
      </w:r>
      <w:r>
        <w:rPr>
          <w:rStyle w:val="2300"/>
        </w:rPr>
        <w:instrText xml:space="preserve"> </w:instrText>
      </w:r>
      <w:r>
        <w:rPr>
          <w:rStyle w:val="2300"/>
        </w:rPr>
        <w:fldChar w:fldCharType="separate"/>
      </w:r>
      <w:r>
        <w:rPr>
          <w:rStyle w:val="2300"/>
        </w:rPr>
        <w:t xml:space="preserve">1.1 Definiţii şi istoric</w:t>
      </w:r>
      <w:r>
        <w:tab/>
      </w:r>
      <w:r>
        <w:fldChar w:fldCharType="begin"/>
      </w:r>
      <w:r>
        <w:instrText xml:space="preserve"> PAGEREF _Toc252991831 \h </w:instrText>
      </w:r>
      <w:r>
        <w:fldChar w:fldCharType="separate"/>
      </w:r>
      <w:r>
        <w:t xml:space="preserve">4</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"_Toc252991832"</w:instrText>
      </w:r>
      <w:r>
        <w:rPr>
          <w:rStyle w:val="2300"/>
        </w:rPr>
        <w:instrText xml:space="preserve"> </w:instrText>
      </w:r>
      <w:r>
        <w:rPr>
          <w:rStyle w:val="2300"/>
        </w:rPr>
        <w:fldChar w:fldCharType="separate"/>
      </w:r>
      <w:r>
        <w:rPr>
          <w:rStyle w:val="2300"/>
        </w:rPr>
        <w:t xml:space="preserve">1.2 O teorie a teologiei politice a NT: surse şi limbaje</w:t>
      </w:r>
      <w:r>
        <w:tab/>
      </w:r>
      <w:r>
        <w:fldChar w:fldCharType="begin"/>
      </w:r>
      <w:r>
        <w:instrText xml:space="preserve"> PAGEREF _Toc252991832 \h </w:instrText>
      </w:r>
      <w:r>
        <w:fldChar w:fldCharType="separate"/>
      </w:r>
      <w:r>
        <w:t xml:space="preserve">8</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"_Toc252991833"</w:instrText>
      </w:r>
      <w:r>
        <w:rPr>
          <w:rStyle w:val="2300"/>
        </w:rPr>
        <w:instrText xml:space="preserve"> </w:instrText>
      </w:r>
      <w:r>
        <w:rPr>
          <w:rStyle w:val="2300"/>
        </w:rPr>
        <w:fldChar w:fldCharType="separate"/>
      </w:r>
      <w:r>
        <w:rPr>
          <w:rStyle w:val="2300"/>
        </w:rPr>
        <w:t xml:space="preserve">1.3 Coerenţa narativă: intersecţia psihologică dintre teologie şi politică</w:t>
      </w:r>
      <w:r>
        <w:tab/>
      </w:r>
      <w:r>
        <w:fldChar w:fldCharType="begin"/>
      </w:r>
      <w:r>
        <w:instrText xml:space="preserve"> PAGEREF _Toc252991833 \h </w:instrText>
      </w:r>
      <w:r>
        <w:fldChar w:fldCharType="separate"/>
      </w:r>
      <w:r>
        <w:t xml:space="preserve">16</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"_Toc252991834"</w:instrText>
      </w:r>
      <w:r>
        <w:rPr>
          <w:rStyle w:val="2300"/>
        </w:rPr>
        <w:instrText xml:space="preserve"> </w:instrText>
      </w:r>
      <w:r>
        <w:rPr>
          <w:rStyle w:val="2300"/>
        </w:rPr>
        <w:fldChar w:fldCharType="separate"/>
      </w:r>
      <w:r>
        <w:rPr>
          <w:rStyle w:val="2300"/>
        </w:rPr>
        <w:t xml:space="preserve">1.4 Conţinutul politic al teologiei NT</w:t>
      </w:r>
      <w:r>
        <w:tab/>
      </w:r>
      <w:r>
        <w:fldChar w:fldCharType="begin"/>
      </w:r>
      <w:r>
        <w:instrText xml:space="preserve"> PAGEREF _Toc252991834 \h </w:instrText>
      </w:r>
      <w:r>
        <w:fldChar w:fldCharType="separate"/>
      </w:r>
      <w:r>
        <w:t xml:space="preserve">21</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"_Toc252991835"</w:instrText>
      </w:r>
      <w:r>
        <w:rPr>
          <w:rStyle w:val="2300"/>
        </w:rPr>
        <w:instrText xml:space="preserve"> </w:instrText>
      </w:r>
      <w:r>
        <w:rPr>
          <w:rStyle w:val="2300"/>
        </w:rPr>
        <w:fldChar w:fldCharType="separate"/>
      </w:r>
      <w:r>
        <w:rPr>
          <w:rStyle w:val="2300"/>
        </w:rPr>
        <w:t xml:space="preserve">1.5 Problema formei şi a fondului în teologia politică</w:t>
      </w:r>
      <w:r>
        <w:tab/>
      </w:r>
      <w:r>
        <w:fldChar w:fldCharType="begin"/>
      </w:r>
      <w:r>
        <w:instrText xml:space="preserve"> PAGEREF _Toc252991835 \h </w:instrText>
      </w:r>
      <w:r>
        <w:fldChar w:fldCharType="separate"/>
      </w:r>
      <w:r>
        <w:t xml:space="preserve">25</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"_Toc252991836"</w:instrText>
      </w:r>
      <w:r>
        <w:rPr>
          <w:rStyle w:val="2300"/>
        </w:rPr>
        <w:instrText xml:space="preserve"> </w:instrText>
      </w:r>
      <w:r>
        <w:rPr>
          <w:rStyle w:val="2300"/>
        </w:rPr>
        <w:fldChar w:fldCharType="separate"/>
      </w:r>
      <w:r>
        <w:rPr>
          <w:rStyle w:val="2300"/>
        </w:rPr>
        <w:t xml:space="preserve">Capitolul 2. Repere teologice – politice în Orientul antic</w:t>
      </w:r>
      <w:r>
        <w:tab/>
      </w:r>
      <w:r>
        <w:fldChar w:fldCharType="begin"/>
      </w:r>
      <w:r>
        <w:instrText xml:space="preserve"> PAGEREF _Toc252991836 \h </w:instrText>
      </w:r>
      <w:r>
        <w:fldChar w:fldCharType="separate"/>
      </w:r>
      <w:r>
        <w:t xml:space="preserve">27</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"_Toc252991837"</w:instrText>
      </w:r>
      <w:r>
        <w:rPr>
          <w:rStyle w:val="2300"/>
        </w:rPr>
        <w:instrText xml:space="preserve"> </w:instrText>
      </w:r>
      <w:r>
        <w:rPr>
          <w:rStyle w:val="2300"/>
        </w:rPr>
        <w:fldChar w:fldCharType="separate"/>
      </w:r>
      <w:r>
        <w:rPr>
          <w:rStyle w:val="2300"/>
        </w:rPr>
        <w:t xml:space="preserve">2.1 Importanţa Legământului</w:t>
      </w:r>
      <w:r>
        <w:tab/>
      </w:r>
      <w:r>
        <w:fldChar w:fldCharType="begin"/>
      </w:r>
      <w:r>
        <w:instrText xml:space="preserve"> PAGEREF _Toc252991837 \h </w:instrText>
      </w:r>
      <w:r>
        <w:fldChar w:fldCharType="separate"/>
      </w:r>
      <w:r>
        <w:t xml:space="preserve">27</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"_Toc252991838"</w:instrText>
      </w:r>
      <w:r>
        <w:rPr>
          <w:rStyle w:val="2300"/>
        </w:rPr>
        <w:instrText xml:space="preserve"> </w:instrText>
      </w:r>
      <w:r>
        <w:rPr>
          <w:rStyle w:val="2300"/>
        </w:rPr>
        <w:fldChar w:fldCharType="separate"/>
      </w:r>
      <w:r>
        <w:rPr>
          <w:rStyle w:val="2300"/>
        </w:rPr>
        <w:t xml:space="preserve">2.2 Simbolurile legământului</w:t>
      </w:r>
      <w:r>
        <w:tab/>
      </w:r>
      <w:r>
        <w:fldChar w:fldCharType="begin"/>
      </w:r>
      <w:r>
        <w:instrText xml:space="preserve"> PAGEREF _Toc252991838 \h </w:instrText>
      </w:r>
      <w:r>
        <w:fldChar w:fldCharType="separate"/>
      </w:r>
      <w:r>
        <w:t xml:space="preserve">32</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"_Toc252991839"</w:instrText>
      </w:r>
      <w:r>
        <w:rPr>
          <w:rStyle w:val="2300"/>
        </w:rPr>
        <w:instrText xml:space="preserve"> </w:instrText>
      </w:r>
      <w:r>
        <w:rPr>
          <w:rStyle w:val="2300"/>
        </w:rPr>
        <w:fldChar w:fldCharType="separate"/>
      </w:r>
      <w:r>
        <w:rPr>
          <w:rStyle w:val="2300"/>
        </w:rPr>
        <w:t xml:space="preserve">2.3 Exercitarea puterii politice : regimul politic</w:t>
      </w:r>
      <w:r>
        <w:tab/>
      </w:r>
      <w:r>
        <w:fldChar w:fldCharType="begin"/>
      </w:r>
      <w:r>
        <w:instrText xml:space="preserve"> PAGEREF _Toc252991839 \h </w:instrText>
      </w:r>
      <w:r>
        <w:fldChar w:fldCharType="separate"/>
      </w:r>
      <w:r>
        <w:t xml:space="preserve">35</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"_Toc252991840"</w:instrText>
      </w:r>
      <w:r>
        <w:rPr>
          <w:rStyle w:val="2300"/>
        </w:rPr>
        <w:instrText xml:space="preserve"> </w:instrText>
      </w:r>
      <w:r>
        <w:rPr>
          <w:rStyle w:val="2300"/>
        </w:rPr>
        <w:fldChar w:fldCharType="separate"/>
      </w:r>
      <w:r>
        <w:rPr>
          <w:rStyle w:val="2300"/>
        </w:rPr>
        <w:t xml:space="preserve">Capitol 3. Mesia şi modelele mesianice</w:t>
      </w:r>
      <w:r>
        <w:tab/>
      </w:r>
      <w:r>
        <w:fldChar w:fldCharType="begin"/>
      </w:r>
      <w:r>
        <w:instrText xml:space="preserve"> PAGEREF _Toc252991840 \h </w:instrText>
      </w:r>
      <w:r>
        <w:fldChar w:fldCharType="separate"/>
      </w:r>
      <w:r>
        <w:t xml:space="preserve">40</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"_Toc252991841"</w:instrText>
      </w:r>
      <w:r>
        <w:rPr>
          <w:rStyle w:val="2300"/>
        </w:rPr>
        <w:instrText xml:space="preserve"> </w:instrText>
      </w:r>
      <w:r>
        <w:rPr>
          <w:rStyle w:val="2300"/>
        </w:rPr>
        <w:fldChar w:fldCharType="separate"/>
      </w:r>
      <w:r>
        <w:rPr>
          <w:rStyle w:val="2300"/>
        </w:rPr>
        <w:t xml:space="preserve">3.1 Profeţii mesianice ale Vechiului Testament</w:t>
      </w:r>
      <w:r>
        <w:tab/>
      </w:r>
      <w:r>
        <w:fldChar w:fldCharType="begin"/>
      </w:r>
      <w:r>
        <w:instrText xml:space="preserve"> PAGEREF _Toc252991841 \h </w:instrText>
      </w:r>
      <w:r>
        <w:fldChar w:fldCharType="separate"/>
      </w:r>
      <w:r>
        <w:t xml:space="preserve">40</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"_Toc252991842"</w:instrText>
      </w:r>
      <w:r>
        <w:rPr>
          <w:rStyle w:val="2300"/>
        </w:rPr>
        <w:instrText xml:space="preserve"> </w:instrText>
      </w:r>
      <w:r>
        <w:rPr>
          <w:rStyle w:val="2300"/>
        </w:rPr>
        <w:fldChar w:fldCharType="separate"/>
      </w:r>
      <w:r>
        <w:rPr>
          <w:rStyle w:val="2300"/>
        </w:rPr>
        <w:t xml:space="preserve">3.2 Mesia la Qumran, în targumim şi în pseudepigrafe</w:t>
      </w:r>
      <w:r>
        <w:tab/>
      </w:r>
      <w:r>
        <w:fldChar w:fldCharType="begin"/>
      </w:r>
      <w:r>
        <w:instrText xml:space="preserve"> PAGEREF _Toc252991842 \h </w:instrText>
      </w:r>
      <w:r>
        <w:fldChar w:fldCharType="separate"/>
      </w:r>
      <w:r>
        <w:t xml:space="preserve">43</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"_Toc252991843"</w:instrText>
      </w:r>
      <w:r>
        <w:rPr>
          <w:rStyle w:val="2300"/>
        </w:rPr>
        <w:instrText xml:space="preserve"> </w:instrText>
      </w:r>
      <w:r>
        <w:rPr>
          <w:rStyle w:val="2300"/>
        </w:rPr>
        <w:fldChar w:fldCharType="separate"/>
      </w:r>
      <w:r>
        <w:rPr>
          <w:rStyle w:val="2300"/>
        </w:rPr>
        <w:t xml:space="preserve">3.3 Paradigmele mesianice intertestamentare</w:t>
      </w:r>
      <w:r>
        <w:tab/>
      </w:r>
      <w:r>
        <w:fldChar w:fldCharType="begin"/>
      </w:r>
      <w:r>
        <w:instrText xml:space="preserve"> PAGEREF _Toc252991843 \h </w:instrText>
      </w:r>
      <w:r>
        <w:fldChar w:fldCharType="separate"/>
      </w:r>
      <w:r>
        <w:t xml:space="preserve">45</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"_Toc252991844"</w:instrText>
      </w:r>
      <w:r>
        <w:rPr>
          <w:rStyle w:val="2300"/>
        </w:rPr>
        <w:instrText xml:space="preserve"> </w:instrText>
      </w:r>
      <w:r>
        <w:rPr>
          <w:rStyle w:val="2300"/>
        </w:rPr>
        <w:fldChar w:fldCharType="separate"/>
      </w:r>
      <w:r>
        <w:rPr>
          <w:rStyle w:val="2300"/>
        </w:rPr>
        <w:t xml:space="preserve">3.4 Paralele mesianice greco-romane</w:t>
      </w:r>
      <w:r>
        <w:tab/>
      </w:r>
      <w:r>
        <w:fldChar w:fldCharType="begin"/>
      </w:r>
      <w:r>
        <w:instrText xml:space="preserve"> PAGEREF _Toc252991844 \h </w:instrText>
      </w:r>
      <w:r>
        <w:fldChar w:fldCharType="separate"/>
      </w:r>
      <w:r>
        <w:t xml:space="preserve">53</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"_Toc252991845"</w:instrText>
      </w:r>
      <w:r>
        <w:rPr>
          <w:rStyle w:val="2300"/>
        </w:rPr>
        <w:instrText xml:space="preserve"> </w:instrText>
      </w:r>
      <w:r>
        <w:rPr>
          <w:rStyle w:val="2300"/>
        </w:rPr>
        <w:fldChar w:fldCharType="separate"/>
      </w:r>
      <w:r>
        <w:rPr>
          <w:rStyle w:val="2300"/>
        </w:rPr>
        <w:t xml:space="preserve">3.5 Semnificaţia mesianismului pentru teologia politică</w:t>
      </w:r>
      <w:r>
        <w:tab/>
      </w:r>
      <w:r>
        <w:fldChar w:fldCharType="begin"/>
      </w:r>
      <w:r>
        <w:instrText xml:space="preserve"> PAGEREF _Toc252991845 \h </w:instrText>
      </w:r>
      <w:r>
        <w:fldChar w:fldCharType="separate"/>
      </w:r>
      <w:r>
        <w:t xml:space="preserve">56</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"_Toc252991846"</w:instrText>
      </w:r>
      <w:r>
        <w:rPr>
          <w:rStyle w:val="2300"/>
        </w:rPr>
        <w:instrText xml:space="preserve"> </w:instrText>
      </w:r>
      <w:r>
        <w:rPr>
          <w:rStyle w:val="2300"/>
        </w:rPr>
        <w:fldChar w:fldCharType="separate"/>
      </w:r>
      <w:r>
        <w:rPr>
          <w:rStyle w:val="2300"/>
        </w:rPr>
        <w:t xml:space="preserve">Capitolul 4. Contextul politic iudaic în timpul NT</w:t>
      </w:r>
      <w:r>
        <w:tab/>
      </w:r>
      <w:r>
        <w:fldChar w:fldCharType="begin"/>
      </w:r>
      <w:r>
        <w:instrText xml:space="preserve"> PAGEREF _Toc252991846 \h </w:instrText>
      </w:r>
      <w:r>
        <w:fldChar w:fldCharType="separate"/>
      </w:r>
      <w:r>
        <w:t xml:space="preserve">60</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"_Toc252991847"</w:instrText>
      </w:r>
      <w:r>
        <w:rPr>
          <w:rStyle w:val="2300"/>
        </w:rPr>
        <w:instrText xml:space="preserve"> </w:instrText>
      </w:r>
      <w:r>
        <w:rPr>
          <w:rStyle w:val="2300"/>
        </w:rPr>
        <w:fldChar w:fldCharType="separate"/>
      </w:r>
      <w:r>
        <w:rPr>
          <w:rStyle w:val="2300"/>
        </w:rPr>
        <w:t xml:space="preserve">4.1 Politica lui Irod</w:t>
      </w:r>
      <w:r>
        <w:tab/>
      </w:r>
      <w:r>
        <w:fldChar w:fldCharType="begin"/>
      </w:r>
      <w:r>
        <w:instrText xml:space="preserve"> PAGEREF _Toc252991847 \h </w:instrText>
      </w:r>
      <w:r>
        <w:fldChar w:fldCharType="separate"/>
      </w:r>
      <w:r>
        <w:t xml:space="preserve">60</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"_Toc252991848"</w:instrText>
      </w:r>
      <w:r>
        <w:rPr>
          <w:rStyle w:val="2300"/>
        </w:rPr>
        <w:instrText xml:space="preserve"> </w:instrText>
      </w:r>
      <w:r>
        <w:rPr>
          <w:rStyle w:val="2300"/>
        </w:rPr>
        <w:fldChar w:fldCharType="separate"/>
      </w:r>
      <w:r>
        <w:rPr>
          <w:rStyle w:val="2300"/>
        </w:rPr>
        <w:t xml:space="preserve">4.2 Viaţa politică în Palestina: partidele politice.</w:t>
      </w:r>
      <w:r>
        <w:tab/>
      </w:r>
      <w:r>
        <w:fldChar w:fldCharType="begin"/>
      </w:r>
      <w:r>
        <w:instrText xml:space="preserve"> PAGEREF _Toc252991848 \h </w:instrText>
      </w:r>
      <w:r>
        <w:fldChar w:fldCharType="separate"/>
      </w:r>
      <w:r>
        <w:t xml:space="preserve">67</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"_Toc252991849"</w:instrText>
      </w:r>
      <w:r>
        <w:rPr>
          <w:rStyle w:val="2300"/>
        </w:rPr>
        <w:instrText xml:space="preserve"> </w:instrText>
      </w:r>
      <w:r>
        <w:rPr>
          <w:rStyle w:val="2300"/>
        </w:rPr>
        <w:fldChar w:fldCharType="separate"/>
      </w:r>
      <w:r>
        <w:rPr>
          <w:rStyle w:val="2300"/>
        </w:rPr>
        <w:t xml:space="preserve">Capitolul 5. Teologia NT şi politicile sociale</w:t>
      </w:r>
      <w:r>
        <w:tab/>
      </w:r>
      <w:r>
        <w:fldChar w:fldCharType="begin"/>
      </w:r>
      <w:r>
        <w:instrText xml:space="preserve"> PAGEREF _Toc252991849 \h </w:instrText>
      </w:r>
      <w:r>
        <w:fldChar w:fldCharType="separate"/>
      </w:r>
      <w:r>
        <w:t xml:space="preserve">78</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"_Toc252991850"</w:instrText>
      </w:r>
      <w:r>
        <w:rPr>
          <w:rStyle w:val="2300"/>
        </w:rPr>
        <w:instrText xml:space="preserve"> </w:instrText>
      </w:r>
      <w:r>
        <w:rPr>
          <w:rStyle w:val="2300"/>
        </w:rPr>
        <w:fldChar w:fldCharType="separate"/>
      </w:r>
      <w:r>
        <w:rPr>
          <w:rStyle w:val="2300"/>
        </w:rPr>
        <w:t xml:space="preserve">5.1 Problematica socială: familia, educaţia, relaţiile bărbaţi-femei, sclavia, conducerea societăţii</w:t>
      </w:r>
      <w:r>
        <w:tab/>
      </w:r>
      <w:r>
        <w:fldChar w:fldCharType="begin"/>
      </w:r>
      <w:r>
        <w:instrText xml:space="preserve"> PAGEREF _Toc252991850 \h </w:instrText>
      </w:r>
      <w:r>
        <w:fldChar w:fldCharType="separate"/>
      </w:r>
      <w:r>
        <w:t xml:space="preserve">78</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"_Toc252991851"</w:instrText>
      </w:r>
      <w:r>
        <w:rPr>
          <w:rStyle w:val="2300"/>
        </w:rPr>
        <w:instrText xml:space="preserve"> </w:instrText>
      </w:r>
      <w:r>
        <w:rPr>
          <w:rStyle w:val="2300"/>
        </w:rPr>
        <w:fldChar w:fldCharType="separate"/>
      </w:r>
      <w:r>
        <w:rPr>
          <w:rStyle w:val="2300"/>
        </w:rPr>
        <w:t xml:space="preserve">5.2 Problematica relaţiilor cetăţean – stat</w:t>
      </w:r>
      <w:r>
        <w:tab/>
      </w:r>
      <w:r>
        <w:fldChar w:fldCharType="begin"/>
      </w:r>
      <w:r>
        <w:instrText xml:space="preserve"> PAGEREF _Toc252991851 \h </w:instrText>
      </w:r>
      <w:r>
        <w:fldChar w:fldCharType="separate"/>
      </w:r>
      <w:r>
        <w:t xml:space="preserve">85</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"_Toc252991852"</w:instrText>
      </w:r>
      <w:r>
        <w:rPr>
          <w:rStyle w:val="2300"/>
        </w:rPr>
        <w:instrText xml:space="preserve"> </w:instrText>
      </w:r>
      <w:r>
        <w:rPr>
          <w:rStyle w:val="2300"/>
        </w:rPr>
        <w:fldChar w:fldCharType="separate"/>
      </w:r>
      <w:r>
        <w:rPr>
          <w:rStyle w:val="2300"/>
        </w:rPr>
        <w:t xml:space="preserve">Capitolul 6. Teologia NT şi politicile culturale (I)</w:t>
      </w:r>
      <w:r>
        <w:tab/>
      </w:r>
      <w:r>
        <w:fldChar w:fldCharType="begin"/>
      </w:r>
      <w:r>
        <w:instrText xml:space="preserve"> PAGEREF _Toc252991852 \h </w:instrText>
      </w:r>
      <w:r>
        <w:fldChar w:fldCharType="separate"/>
      </w:r>
      <w:r>
        <w:t xml:space="preserve">87</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"_Toc252991853"</w:instrText>
      </w:r>
      <w:r>
        <w:rPr>
          <w:rStyle w:val="2300"/>
        </w:rPr>
        <w:instrText xml:space="preserve"> </w:instrText>
      </w:r>
      <w:r>
        <w:rPr>
          <w:rStyle w:val="2300"/>
        </w:rPr>
        <w:fldChar w:fldCharType="separate"/>
      </w:r>
      <w:r>
        <w:rPr>
          <w:rStyle w:val="2300"/>
        </w:rPr>
        <w:t xml:space="preserve">6.1 Perspective teologice şi educaţionale</w:t>
      </w:r>
      <w:r>
        <w:tab/>
      </w:r>
      <w:r>
        <w:fldChar w:fldCharType="begin"/>
      </w:r>
      <w:r>
        <w:instrText xml:space="preserve"> PAGEREF _Toc252991853 \h </w:instrText>
      </w:r>
      <w:r>
        <w:fldChar w:fldCharType="separate"/>
      </w:r>
      <w:r>
        <w:t xml:space="preserve">87</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"_Toc252991854"</w:instrText>
      </w:r>
      <w:r>
        <w:rPr>
          <w:rStyle w:val="2300"/>
        </w:rPr>
        <w:instrText xml:space="preserve"> </w:instrText>
      </w:r>
      <w:r>
        <w:rPr>
          <w:rStyle w:val="2300"/>
        </w:rPr>
        <w:fldChar w:fldCharType="separate"/>
      </w:r>
      <w:r>
        <w:rPr>
          <w:rStyle w:val="2300"/>
        </w:rPr>
        <w:t xml:space="preserve">6.2 Perspective literare şi ideologice</w:t>
      </w:r>
      <w:r>
        <w:tab/>
      </w:r>
      <w:r>
        <w:fldChar w:fldCharType="begin"/>
      </w:r>
      <w:r>
        <w:instrText xml:space="preserve"> PAGEREF _Toc252991854 \h </w:instrText>
      </w:r>
      <w:r>
        <w:fldChar w:fldCharType="separate"/>
      </w:r>
      <w:r>
        <w:t xml:space="preserve">88</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"_Toc252991855"</w:instrText>
      </w:r>
      <w:r>
        <w:rPr>
          <w:rStyle w:val="2300"/>
        </w:rPr>
        <w:instrText xml:space="preserve"> </w:instrText>
      </w:r>
      <w:r>
        <w:rPr>
          <w:rStyle w:val="2300"/>
        </w:rPr>
        <w:fldChar w:fldCharType="separate"/>
      </w:r>
      <w:r>
        <w:rPr>
          <w:rStyle w:val="2300"/>
        </w:rPr>
        <w:t xml:space="preserve">Capitolul 7. Noul Testament şi politicile culturale (II)</w:t>
      </w:r>
      <w:r>
        <w:tab/>
      </w:r>
      <w:r>
        <w:fldChar w:fldCharType="begin"/>
      </w:r>
      <w:r>
        <w:instrText xml:space="preserve"> PAGEREF _Toc252991855 \h </w:instrText>
      </w:r>
      <w:r>
        <w:fldChar w:fldCharType="separate"/>
      </w:r>
      <w:r>
        <w:t xml:space="preserve">91</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"_Toc252991856"</w:instrText>
      </w:r>
      <w:r>
        <w:rPr>
          <w:rStyle w:val="2300"/>
        </w:rPr>
        <w:instrText xml:space="preserve"> </w:instrText>
      </w:r>
      <w:r>
        <w:rPr>
          <w:rStyle w:val="2300"/>
        </w:rPr>
        <w:fldChar w:fldCharType="separate"/>
      </w:r>
      <w:r>
        <w:rPr>
          <w:rStyle w:val="2300"/>
        </w:rPr>
        <w:t xml:space="preserve">7.1 NT, religia (teologia) şi cultura</w:t>
      </w:r>
      <w:r>
        <w:tab/>
      </w:r>
      <w:r>
        <w:fldChar w:fldCharType="begin"/>
      </w:r>
      <w:r>
        <w:instrText xml:space="preserve"> PAGEREF _Toc252991856 \h </w:instrText>
      </w:r>
      <w:r>
        <w:fldChar w:fldCharType="separate"/>
      </w:r>
      <w:r>
        <w:t xml:space="preserve">91</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"_Toc252991857"</w:instrText>
      </w:r>
      <w:r>
        <w:rPr>
          <w:rStyle w:val="2300"/>
        </w:rPr>
        <w:instrText xml:space="preserve"> </w:instrText>
      </w:r>
      <w:r>
        <w:rPr>
          <w:rStyle w:val="2300"/>
        </w:rPr>
        <w:fldChar w:fldCharType="separate"/>
      </w:r>
      <w:r>
        <w:rPr>
          <w:rStyle w:val="2300"/>
        </w:rPr>
        <w:t xml:space="preserve">7.2 Reflexe culturale sinoptice</w:t>
      </w:r>
      <w:r>
        <w:tab/>
      </w:r>
      <w:r>
        <w:fldChar w:fldCharType="begin"/>
      </w:r>
      <w:r>
        <w:instrText xml:space="preserve"> PAGEREF _Toc252991857 \h </w:instrText>
      </w:r>
      <w:r>
        <w:fldChar w:fldCharType="separate"/>
      </w:r>
      <w:r>
        <w:t xml:space="preserve">92</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"_Toc252991858"</w:instrText>
      </w:r>
      <w:r>
        <w:rPr>
          <w:rStyle w:val="2300"/>
        </w:rPr>
        <w:instrText xml:space="preserve"> </w:instrText>
      </w:r>
      <w:r>
        <w:rPr>
          <w:rStyle w:val="2300"/>
        </w:rPr>
        <w:fldChar w:fldCharType="separate"/>
      </w:r>
      <w:r>
        <w:rPr>
          <w:rStyle w:val="2300"/>
        </w:rPr>
        <w:t xml:space="preserve">7.3 Reflexe culturale pauline:</w:t>
      </w:r>
      <w:r>
        <w:tab/>
      </w:r>
      <w:r>
        <w:fldChar w:fldCharType="begin"/>
      </w:r>
      <w:r>
        <w:instrText xml:space="preserve"> PAGEREF _Toc252991858 \h </w:instrText>
      </w:r>
      <w:r>
        <w:fldChar w:fldCharType="separate"/>
      </w:r>
      <w:r>
        <w:t xml:space="preserve">92</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"_Toc252991859"</w:instrText>
      </w:r>
      <w:r>
        <w:rPr>
          <w:rStyle w:val="2300"/>
        </w:rPr>
        <w:instrText xml:space="preserve"> </w:instrText>
      </w:r>
      <w:r>
        <w:rPr>
          <w:rStyle w:val="2300"/>
        </w:rPr>
        <w:fldChar w:fldCharType="separate"/>
      </w:r>
      <w:r>
        <w:rPr>
          <w:rStyle w:val="2300"/>
        </w:rPr>
        <w:t xml:space="preserve">7.4 Reflexe culturale din epistolele catolice</w:t>
      </w:r>
      <w:r>
        <w:tab/>
      </w:r>
      <w:r>
        <w:fldChar w:fldCharType="begin"/>
      </w:r>
      <w:r>
        <w:instrText xml:space="preserve"> PAGEREF _Toc252991859 \h </w:instrText>
      </w:r>
      <w:r>
        <w:fldChar w:fldCharType="separate"/>
      </w:r>
      <w:r>
        <w:t xml:space="preserve">93</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"_Toc252991860"</w:instrText>
      </w:r>
      <w:r>
        <w:rPr>
          <w:rStyle w:val="2300"/>
        </w:rPr>
        <w:instrText xml:space="preserve"> </w:instrText>
      </w:r>
      <w:r>
        <w:rPr>
          <w:rStyle w:val="2300"/>
        </w:rPr>
        <w:fldChar w:fldCharType="separate"/>
      </w:r>
      <w:r>
        <w:rPr>
          <w:rStyle w:val="2300"/>
        </w:rPr>
        <w:t xml:space="preserve">Capitolul 8. Împărăţia lui Dumnezeu şi  NT</w:t>
      </w:r>
      <w:r>
        <w:tab/>
      </w:r>
      <w:r>
        <w:fldChar w:fldCharType="begin"/>
      </w:r>
      <w:r>
        <w:instrText xml:space="preserve"> PAGEREF _Toc252991860 \h </w:instrText>
      </w:r>
      <w:r>
        <w:fldChar w:fldCharType="separate"/>
      </w:r>
      <w:r>
        <w:t xml:space="preserve">93</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"_Toc252991861"</w:instrText>
      </w:r>
      <w:r>
        <w:rPr>
          <w:rStyle w:val="2300"/>
        </w:rPr>
        <w:instrText xml:space="preserve"> </w:instrText>
      </w:r>
      <w:r>
        <w:rPr>
          <w:rStyle w:val="2300"/>
        </w:rPr>
        <w:fldChar w:fldCharType="separate"/>
      </w:r>
      <w:r>
        <w:rPr>
          <w:rStyle w:val="2300"/>
        </w:rPr>
        <w:t xml:space="preserve">8.1 Împărăţia lui Dumnezeu şi evangheliile NT</w:t>
      </w:r>
      <w:r>
        <w:tab/>
      </w:r>
      <w:r>
        <w:fldChar w:fldCharType="begin"/>
      </w:r>
      <w:r>
        <w:instrText xml:space="preserve"> PAGEREF _Toc252991861 \h </w:instrText>
      </w:r>
      <w:r>
        <w:fldChar w:fldCharType="separate"/>
      </w:r>
      <w:r>
        <w:t xml:space="preserve">93</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"_Toc252991862"</w:instrText>
      </w:r>
      <w:r>
        <w:rPr>
          <w:rStyle w:val="2300"/>
        </w:rPr>
        <w:instrText xml:space="preserve"> </w:instrText>
      </w:r>
      <w:r>
        <w:rPr>
          <w:rStyle w:val="2300"/>
        </w:rPr>
        <w:fldChar w:fldCharType="separate"/>
      </w:r>
      <w:r>
        <w:rPr>
          <w:rStyle w:val="2300"/>
        </w:rPr>
        <w:t xml:space="preserve">8.2 Împărăţia lui Dumnezeu şi epistolele NT</w:t>
      </w:r>
      <w:r>
        <w:tab/>
      </w:r>
      <w:r>
        <w:fldChar w:fldCharType="begin"/>
      </w:r>
      <w:r>
        <w:instrText xml:space="preserve"> PAGEREF _Toc252991862 \h </w:instrText>
      </w:r>
      <w:r>
        <w:fldChar w:fldCharType="separate"/>
      </w:r>
      <w:r>
        <w:t xml:space="preserve">95</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"_Toc252991863"</w:instrText>
      </w:r>
      <w:r>
        <w:rPr>
          <w:rStyle w:val="2300"/>
        </w:rPr>
        <w:instrText xml:space="preserve"> </w:instrText>
      </w:r>
      <w:r>
        <w:rPr>
          <w:rStyle w:val="2300"/>
        </w:rPr>
        <w:fldChar w:fldCharType="separate"/>
      </w:r>
      <w:r>
        <w:rPr>
          <w:rStyle w:val="2300"/>
        </w:rPr>
        <w:t xml:space="preserve">Capitolul 9. Noul Testament şi politica religioasă</w:t>
      </w:r>
      <w:r>
        <w:tab/>
      </w:r>
      <w:r>
        <w:fldChar w:fldCharType="begin"/>
      </w:r>
      <w:r>
        <w:instrText xml:space="preserve"> PAGEREF _Toc252991863 \h </w:instrText>
      </w:r>
      <w:r>
        <w:fldChar w:fldCharType="separate"/>
      </w:r>
      <w:r>
        <w:t xml:space="preserve">96</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"_Toc252991864"</w:instrText>
      </w:r>
      <w:r>
        <w:rPr>
          <w:rStyle w:val="2300"/>
        </w:rPr>
        <w:instrText xml:space="preserve"> </w:instrText>
      </w:r>
      <w:r>
        <w:rPr>
          <w:rStyle w:val="2300"/>
        </w:rPr>
        <w:fldChar w:fldCharType="separate"/>
      </w:r>
      <w:r>
        <w:rPr>
          <w:rStyle w:val="2300"/>
        </w:rPr>
        <w:t xml:space="preserve">9.1 Universalitatea creştinismului</w:t>
      </w:r>
      <w:r>
        <w:tab/>
      </w:r>
      <w:r>
        <w:fldChar w:fldCharType="begin"/>
      </w:r>
      <w:r>
        <w:instrText xml:space="preserve"> PAGEREF _Toc252991864 \h </w:instrText>
      </w:r>
      <w:r>
        <w:fldChar w:fldCharType="separate"/>
      </w:r>
      <w:r>
        <w:t xml:space="preserve">96</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"_Toc252991865"</w:instrText>
      </w:r>
      <w:r>
        <w:rPr>
          <w:rStyle w:val="2300"/>
        </w:rPr>
        <w:instrText xml:space="preserve"> </w:instrText>
      </w:r>
      <w:r>
        <w:rPr>
          <w:rStyle w:val="2300"/>
        </w:rPr>
        <w:fldChar w:fldCharType="separate"/>
      </w:r>
      <w:r>
        <w:rPr>
          <w:rStyle w:val="2300"/>
        </w:rPr>
        <w:t xml:space="preserve">9.2 Politici religioase şi etnice</w:t>
      </w:r>
      <w:r>
        <w:tab/>
      </w:r>
      <w:r>
        <w:fldChar w:fldCharType="begin"/>
      </w:r>
      <w:r>
        <w:instrText xml:space="preserve"> PAGEREF _Toc252991865 \h </w:instrText>
      </w:r>
      <w:r>
        <w:fldChar w:fldCharType="separate"/>
      </w:r>
      <w:r>
        <w:t xml:space="preserve">99</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"_Toc252991866"</w:instrText>
      </w:r>
      <w:r>
        <w:rPr>
          <w:rStyle w:val="2300"/>
        </w:rPr>
        <w:instrText xml:space="preserve"> </w:instrText>
      </w:r>
      <w:r>
        <w:rPr>
          <w:rStyle w:val="2300"/>
        </w:rPr>
        <w:fldChar w:fldCharType="separate"/>
      </w:r>
      <w:r>
        <w:rPr>
          <w:rStyle w:val="2300"/>
        </w:rPr>
        <w:t xml:space="preserve">Capitolul 10. Noul Testament şi politicile sociale</w:t>
      </w:r>
      <w:r>
        <w:tab/>
      </w:r>
      <w:r>
        <w:fldChar w:fldCharType="begin"/>
      </w:r>
      <w:r>
        <w:instrText xml:space="preserve"> PAGEREF _Toc252991866 \h </w:instrText>
      </w:r>
      <w:r>
        <w:fldChar w:fldCharType="separate"/>
      </w:r>
      <w:r>
        <w:t xml:space="preserve">102</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"_Toc252991867"</w:instrText>
      </w:r>
      <w:r>
        <w:rPr>
          <w:rStyle w:val="2300"/>
        </w:rPr>
        <w:instrText xml:space="preserve"> </w:instrText>
      </w:r>
      <w:r>
        <w:rPr>
          <w:rStyle w:val="2300"/>
        </w:rPr>
        <w:fldChar w:fldCharType="separate"/>
      </w:r>
      <w:r>
        <w:rPr>
          <w:rStyle w:val="2300"/>
        </w:rPr>
        <w:t xml:space="preserve">10.1 Relaţii la nivel microsocial</w:t>
      </w:r>
      <w:r>
        <w:tab/>
      </w:r>
      <w:r>
        <w:fldChar w:fldCharType="begin"/>
      </w:r>
      <w:r>
        <w:instrText xml:space="preserve"> PAGEREF _Toc252991867 \h </w:instrText>
      </w:r>
      <w:r>
        <w:fldChar w:fldCharType="separate"/>
      </w:r>
      <w:r>
        <w:t xml:space="preserve">102</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"_Toc252991868"</w:instrText>
      </w:r>
      <w:r>
        <w:rPr>
          <w:rStyle w:val="2300"/>
        </w:rPr>
        <w:instrText xml:space="preserve"> </w:instrText>
      </w:r>
      <w:r>
        <w:rPr>
          <w:rStyle w:val="2300"/>
        </w:rPr>
        <w:fldChar w:fldCharType="separate"/>
      </w:r>
      <w:r>
        <w:rPr>
          <w:rStyle w:val="2300"/>
        </w:rPr>
        <w:t xml:space="preserve">10.2 Relaţii sociale la nivel macrosocial</w:t>
      </w:r>
      <w:r>
        <w:tab/>
      </w:r>
      <w:r>
        <w:fldChar w:fldCharType="begin"/>
      </w:r>
      <w:r>
        <w:instrText xml:space="preserve"> PAGEREF _Toc252991868 \h </w:instrText>
      </w:r>
      <w:r>
        <w:fldChar w:fldCharType="separate"/>
      </w:r>
      <w:r>
        <w:t xml:space="preserve">103</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"_Toc252991869"</w:instrText>
      </w:r>
      <w:r>
        <w:rPr>
          <w:rStyle w:val="2300"/>
        </w:rPr>
        <w:instrText xml:space="preserve"> </w:instrText>
      </w:r>
      <w:r>
        <w:rPr>
          <w:rStyle w:val="2300"/>
        </w:rPr>
        <w:fldChar w:fldCharType="separate"/>
      </w:r>
      <w:r>
        <w:rPr>
          <w:rStyle w:val="2300"/>
        </w:rPr>
        <w:t xml:space="preserve">Capitolul 11. NT şi politicile familiale</w:t>
      </w:r>
      <w:r>
        <w:tab/>
      </w:r>
      <w:r>
        <w:fldChar w:fldCharType="begin"/>
      </w:r>
      <w:r>
        <w:instrText xml:space="preserve"> PAGEREF _Toc252991869 \h </w:instrText>
      </w:r>
      <w:r>
        <w:fldChar w:fldCharType="separate"/>
      </w:r>
      <w:r>
        <w:t xml:space="preserve">107</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"_Toc252991870"</w:instrText>
      </w:r>
      <w:r>
        <w:rPr>
          <w:rStyle w:val="2300"/>
        </w:rPr>
        <w:instrText xml:space="preserve"> </w:instrText>
      </w:r>
      <w:r>
        <w:rPr>
          <w:rStyle w:val="2300"/>
        </w:rPr>
        <w:fldChar w:fldCharType="separate"/>
      </w:r>
      <w:r>
        <w:rPr>
          <w:rStyle w:val="2300"/>
        </w:rPr>
        <w:t xml:space="preserve">Capitolul 12. Teologia NT şi antropologia</w:t>
      </w:r>
      <w:r>
        <w:tab/>
      </w:r>
      <w:r>
        <w:fldChar w:fldCharType="begin"/>
      </w:r>
      <w:r>
        <w:instrText xml:space="preserve"> PAGEREF _Toc252991870 \h </w:instrText>
      </w:r>
      <w:r>
        <w:fldChar w:fldCharType="separate"/>
      </w:r>
      <w:r>
        <w:t xml:space="preserve">108</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"_Toc252991871"</w:instrText>
      </w:r>
      <w:r>
        <w:rPr>
          <w:rStyle w:val="2300"/>
        </w:rPr>
        <w:instrText xml:space="preserve"> </w:instrText>
      </w:r>
      <w:r>
        <w:rPr>
          <w:rStyle w:val="2300"/>
        </w:rPr>
        <w:fldChar w:fldCharType="separate"/>
      </w:r>
      <w:r>
        <w:rPr>
          <w:rStyle w:val="2300"/>
        </w:rPr>
        <w:t xml:space="preserve">12.1 Antropologie hristică</w:t>
      </w:r>
      <w:r>
        <w:tab/>
      </w:r>
      <w:r>
        <w:fldChar w:fldCharType="begin"/>
      </w:r>
      <w:r>
        <w:instrText xml:space="preserve"> PAGEREF _Toc252991871 \h </w:instrText>
      </w:r>
      <w:r>
        <w:fldChar w:fldCharType="separate"/>
      </w:r>
      <w:r>
        <w:t xml:space="preserve">108</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8"/>
        <w:pBdr/>
        <w:tabs>
          <w:tab w:val="right" w:leader="dot" w:pos="6397"/>
        </w:tabs>
        <w:spacing/>
        <w:ind/>
        <w:rPr>
          <w:rFonts w:ascii="Calibri" w:hAnsi="Calibri" w:cs="Arial"/>
          <w:i w:val="0"/>
          <w:iCs w:val="0"/>
          <w:sz w:val="22"/>
          <w:szCs w:val="22"/>
          <w:lang w:eastAsia="en-US" w:bidi="he-IL"/>
        </w:rPr>
      </w:pPr>
      <w:r>
        <w:rPr>
          <w:rStyle w:val="2300"/>
        </w:rPr>
        <w:fldChar w:fldCharType="begin"/>
      </w:r>
      <w:r>
        <w:rPr>
          <w:rStyle w:val="2300"/>
        </w:rPr>
        <w:instrText xml:space="preserve"> </w:instrText>
      </w:r>
      <w:r>
        <w:instrText xml:space="preserve">HYPERLINK \l "_Toc252991872"</w:instrText>
      </w:r>
      <w:r>
        <w:rPr>
          <w:rStyle w:val="2300"/>
        </w:rPr>
        <w:instrText xml:space="preserve"> </w:instrText>
      </w:r>
      <w:r>
        <w:rPr>
          <w:rStyle w:val="2300"/>
        </w:rPr>
        <w:fldChar w:fldCharType="separate"/>
      </w:r>
      <w:r>
        <w:rPr>
          <w:rStyle w:val="2300"/>
        </w:rPr>
        <w:t xml:space="preserve">12.2 Organizarea politică şi apocalipticul</w:t>
      </w:r>
      <w:r>
        <w:tab/>
      </w:r>
      <w:r>
        <w:fldChar w:fldCharType="begin"/>
      </w:r>
      <w:r>
        <w:instrText xml:space="preserve"> PAGEREF _Toc252991872 \h </w:instrText>
      </w:r>
      <w:r>
        <w:fldChar w:fldCharType="separate"/>
      </w:r>
      <w:r>
        <w:t xml:space="preserve">109</w:t>
      </w:r>
      <w:r>
        <w:fldChar w:fldCharType="end"/>
      </w:r>
      <w:r>
        <w:rPr>
          <w:rStyle w:val="2300"/>
        </w:rPr>
        <w:fldChar w:fldCharType="end"/>
      </w:r>
      <w:r>
        <w:rPr>
          <w:rFonts w:ascii="Calibri" w:hAnsi="Calibri" w:cs="Arial"/>
          <w:i w:val="0"/>
          <w:iCs w:val="0"/>
          <w:sz w:val="22"/>
          <w:szCs w:val="22"/>
          <w:lang w:eastAsia="en-US" w:bidi="he-IL"/>
        </w:rPr>
      </w:r>
      <w:r>
        <w:rPr>
          <w:rFonts w:ascii="Calibri" w:hAnsi="Calibri" w:cs="Arial"/>
          <w:i w:val="0"/>
          <w:iC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"_Toc252991873"</w:instrText>
      </w:r>
      <w:r>
        <w:rPr>
          <w:rStyle w:val="2300"/>
        </w:rPr>
        <w:instrText xml:space="preserve"> </w:instrText>
      </w:r>
      <w:r>
        <w:rPr>
          <w:rStyle w:val="2300"/>
        </w:rPr>
        <w:fldChar w:fldCharType="separate"/>
      </w:r>
      <w:r>
        <w:rPr>
          <w:rStyle w:val="2300"/>
        </w:rPr>
        <w:t xml:space="preserve">Capitolul 13. Teologia politică a NT şi eschatologia</w:t>
      </w:r>
      <w:r>
        <w:tab/>
      </w:r>
      <w:r>
        <w:fldChar w:fldCharType="begin"/>
      </w:r>
      <w:r>
        <w:instrText xml:space="preserve"> PAGEREF _Toc252991873 \h </w:instrText>
      </w:r>
      <w:r>
        <w:fldChar w:fldCharType="separate"/>
      </w:r>
      <w:r>
        <w:t xml:space="preserve">111</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87"/>
        <w:pBdr/>
        <w:tabs>
          <w:tab w:val="right" w:leader="dot" w:pos="6397"/>
        </w:tabs>
        <w:spacing/>
        <w:ind/>
        <w:rPr>
          <w:rFonts w:ascii="Calibri" w:hAnsi="Calibri" w:cs="Arial"/>
          <w:smallCaps w:val="0"/>
          <w:sz w:val="22"/>
          <w:szCs w:val="22"/>
          <w:lang w:eastAsia="en-US" w:bidi="he-IL"/>
        </w:rPr>
      </w:pPr>
      <w:r>
        <w:rPr>
          <w:rStyle w:val="2300"/>
        </w:rPr>
        <w:fldChar w:fldCharType="begin"/>
      </w:r>
      <w:r>
        <w:rPr>
          <w:rStyle w:val="2300"/>
        </w:rPr>
        <w:instrText xml:space="preserve"> </w:instrText>
      </w:r>
      <w:r>
        <w:instrText xml:space="preserve">HYPERLINK \l "_Toc252991874"</w:instrText>
      </w:r>
      <w:r>
        <w:rPr>
          <w:rStyle w:val="2300"/>
        </w:rPr>
        <w:instrText xml:space="preserve"> </w:instrText>
      </w:r>
      <w:r>
        <w:rPr>
          <w:rStyle w:val="2300"/>
        </w:rPr>
        <w:fldChar w:fldCharType="separate"/>
      </w:r>
      <w:r>
        <w:rPr>
          <w:rStyle w:val="2300"/>
        </w:rPr>
        <w:t xml:space="preserve">Bibliografie generală</w:t>
      </w:r>
      <w:r>
        <w:tab/>
      </w:r>
      <w:r>
        <w:fldChar w:fldCharType="begin"/>
      </w:r>
      <w:r>
        <w:instrText xml:space="preserve"> PAGEREF _Toc252991874 \h </w:instrText>
      </w:r>
      <w:r>
        <w:fldChar w:fldCharType="separate"/>
      </w:r>
      <w:r>
        <w:t xml:space="preserve">114</w:t>
      </w:r>
      <w:r>
        <w:fldChar w:fldCharType="end"/>
      </w:r>
      <w:r>
        <w:rPr>
          <w:rStyle w:val="2300"/>
        </w:rPr>
        <w:fldChar w:fldCharType="end"/>
      </w:r>
      <w:r>
        <w:rPr>
          <w:rFonts w:ascii="Calibri" w:hAnsi="Calibri" w:cs="Arial"/>
          <w:smallCaps w:val="0"/>
          <w:sz w:val="22"/>
          <w:szCs w:val="22"/>
          <w:lang w:eastAsia="en-US" w:bidi="he-IL"/>
        </w:rPr>
      </w:r>
      <w:r>
        <w:rPr>
          <w:rFonts w:ascii="Calibri" w:hAnsi="Calibri" w:cs="Arial"/>
          <w:smallCaps w:val="0"/>
          <w:sz w:val="22"/>
          <w:szCs w:val="22"/>
          <w:lang w:eastAsia="en-US" w:bidi="he-IL"/>
        </w:rPr>
      </w:r>
    </w:p>
    <w:p>
      <w:pPr>
        <w:pStyle w:val="2227"/>
        <w:pBdr/>
        <w:spacing/>
        <w:ind/>
        <w:rPr/>
      </w:pPr>
      <w:r>
        <w:fldChar w:fldCharType="end"/>
      </w:r>
      <w:r/>
    </w:p>
    <w:p>
      <w:pPr>
        <w:pStyle w:val="2227"/>
        <w:pBdr/>
        <w:spacing/>
        <w:ind/>
        <w:rPr/>
      </w:pPr>
      <w:r>
        <w:br w:type="page" w:clear="all"/>
      </w:r>
      <w:r/>
    </w:p>
    <w:p>
      <w:pPr>
        <w:pStyle w:val="2229"/>
        <w:pBdr/>
        <w:spacing/>
        <w:ind w:firstLine="0"/>
        <w:rPr/>
      </w:pPr>
      <w:r/>
      <w:bookmarkStart w:id="4" w:name="_Toc252991830"/>
      <w:r>
        <w:t xml:space="preserve">C</w:t>
      </w:r>
      <w:r>
        <w:t xml:space="preserve">apitolul </w:t>
      </w:r>
      <w:r>
        <w:t xml:space="preserve">1</w:t>
      </w:r>
      <w:r>
        <w:t xml:space="preserve">.</w:t>
      </w:r>
      <w:r>
        <w:t xml:space="preserve"> </w:t>
      </w:r>
      <w:r>
        <w:t xml:space="preserve">Te</w:t>
      </w:r>
      <w:r>
        <w:t xml:space="preserve">ologia politică a NT</w:t>
      </w:r>
      <w:r>
        <w:t xml:space="preserve">:</w:t>
      </w:r>
      <w:r>
        <w:t xml:space="preserve"> o</w:t>
      </w:r>
      <w:r>
        <w:t xml:space="preserve"> introducere</w:t>
      </w:r>
      <w:bookmarkEnd w:id="4"/>
      <w:r/>
      <w:r/>
    </w:p>
    <w:p>
      <w:pPr>
        <w:pStyle w:val="2227"/>
        <w:pBdr/>
        <w:spacing/>
        <w:ind w:firstLine="0"/>
        <w:rPr/>
      </w:pPr>
      <w:r/>
      <w:r/>
    </w:p>
    <w:p>
      <w:pPr>
        <w:pStyle w:val="2227"/>
        <w:pBdr/>
        <w:spacing/>
        <w:ind w:firstLine="0"/>
        <w:rPr/>
      </w:pPr>
      <w:r>
        <w:t xml:space="preserve">Teologia politică </w:t>
      </w:r>
      <w:r>
        <w:t xml:space="preserve">este cu siguranţă </w:t>
      </w:r>
      <w:r>
        <w:t xml:space="preserve">un subiect exotic</w:t>
      </w:r>
      <w:r>
        <w:t xml:space="preserve">,</w:t>
      </w:r>
      <w:r>
        <w:t xml:space="preserve"> caracterizat de</w:t>
      </w:r>
      <w:r>
        <w:t xml:space="preserve"> o anumită ambiguitate</w:t>
      </w:r>
      <w:r>
        <w:t xml:space="preserve">. Se poate, astfel, pune întrebarea care este relaţia dintre</w:t>
      </w:r>
      <w:r>
        <w:t xml:space="preserve"> </w:t>
      </w:r>
      <w:r>
        <w:t xml:space="preserve">cei doi termeni</w:t>
      </w:r>
      <w:r>
        <w:t xml:space="preserve">: este vorb</w:t>
      </w:r>
      <w:r>
        <w:t xml:space="preserve">a despre o politică </w:t>
      </w:r>
      <w:r>
        <w:t xml:space="preserve">sau politici ale</w:t>
      </w:r>
      <w:r>
        <w:t xml:space="preserve"> teologiei</w:t>
      </w:r>
      <w:r>
        <w:t xml:space="preserve"> (ori ale teologilor, ale Bisericii, ale creştinilor, sau ale politicienilor creştini), sau este vorba despre identificarea unor </w:t>
      </w:r>
      <w:r>
        <w:t xml:space="preserve">elemente de</w:t>
      </w:r>
      <w:r>
        <w:t xml:space="preserve"> teologie </w:t>
      </w:r>
      <w:r>
        <w:t xml:space="preserve">(construcţii, concepte, structuri) în cadrul doctrinelor politice şi a acţiunilor politice, ca atare</w:t>
      </w:r>
      <w:r>
        <w:t xml:space="preserve"> (în acest caz, ar trebui i</w:t>
      </w:r>
      <w:r>
        <w:t xml:space="preserve">dentificat ce fel de concepte şi structuri teologice se reflectă în gândirea politică</w:t>
      </w:r>
      <w:r>
        <w:t xml:space="preserve">, </w:t>
      </w:r>
      <w:r>
        <w:t xml:space="preserve">anume </w:t>
      </w:r>
      <w:r>
        <w:t xml:space="preserve">din care tradiţie iudeo-creştină: </w:t>
      </w:r>
      <w:r>
        <w:t xml:space="preserve">mozaism, </w:t>
      </w:r>
      <w:r>
        <w:t xml:space="preserve">romano-catolicism, ortodoxie răsăriteană, protestantism, neoprotestantism</w:t>
      </w:r>
      <w:r>
        <w:t xml:space="preserve">; dintre elementele teologice care se po</w:t>
      </w:r>
      <w:r>
        <w:t xml:space="preserve">t regăsi până la un punct în politică sunt aşteptările de tip mesianic, centralizarea de tip monarhic, problema deciziei finale şi a formulărilor definitive, dogmatice; problema păcatului originar şi a felului în acesta se reflectă în comportamentul social</w:t>
      </w:r>
      <w:r>
        <w:t xml:space="preserve">, politic; antiteze esenţiale ale binelui şi răului, conflicte fundamentale; ideea de împărăţie a lui Dumnezeu</w:t>
      </w:r>
      <w:r>
        <w:t xml:space="preserve">, </w:t>
      </w:r>
      <w:r>
        <w:t xml:space="preserve">elemente de geopolitică mesianică, </w:t>
      </w:r>
      <w:r>
        <w:t xml:space="preserve">ideea de ţel-sfârşit al istoriei, de eschaton</w:t>
      </w:r>
      <w:r>
        <w:t xml:space="preserve"> etc.</w:t>
      </w:r>
      <w:r>
        <w:t xml:space="preserve">)</w:t>
      </w:r>
      <w:r>
        <w:t xml:space="preserve">?</w:t>
      </w:r>
      <w:r/>
    </w:p>
    <w:p>
      <w:pPr>
        <w:pStyle w:val="2227"/>
        <w:pBdr/>
        <w:spacing/>
        <w:ind/>
        <w:rPr/>
      </w:pPr>
      <w:r>
        <w:t xml:space="preserve"> </w:t>
      </w:r>
      <w:r>
        <w:t xml:space="preserve">Pentru unii comentatori, e</w:t>
      </w:r>
      <w:r>
        <w:t xml:space="preserve">xpresia</w:t>
      </w:r>
      <w:r>
        <w:t xml:space="preserve"> „teologie politică” </w:t>
      </w:r>
      <w:r>
        <w:t xml:space="preserve">este nec</w:t>
      </w:r>
      <w:r>
        <w:t xml:space="preserve">lară în consecinţe, de</w:t>
      </w:r>
      <w:r>
        <w:t xml:space="preserve">o</w:t>
      </w:r>
      <w:r>
        <w:t xml:space="preserve">a</w:t>
      </w:r>
      <w:r>
        <w:t xml:space="preserve">rece </w:t>
      </w:r>
      <w:r>
        <w:t xml:space="preserve">cre</w:t>
      </w:r>
      <w:r>
        <w:t xml:space="preserve">e</w:t>
      </w:r>
      <w:r>
        <w:t xml:space="preserve">ază impresia </w:t>
      </w:r>
      <w:r>
        <w:t xml:space="preserve">că </w:t>
      </w:r>
      <w:r>
        <w:t xml:space="preserve">s-ar putea vorbi despre o</w:t>
      </w:r>
      <w:r>
        <w:t xml:space="preserve"> </w:t>
      </w:r>
      <w:r>
        <w:t xml:space="preserve">teologie politică, </w:t>
      </w:r>
      <w:r>
        <w:t xml:space="preserve">dar şi </w:t>
      </w:r>
      <w:r>
        <w:t xml:space="preserve">despre </w:t>
      </w:r>
      <w:r>
        <w:t xml:space="preserve">o teologie</w:t>
      </w:r>
      <w:r>
        <w:t xml:space="preserve"> nepolitică</w:t>
      </w:r>
      <w:r>
        <w:rPr>
          <w:rStyle w:val="2248"/>
        </w:rPr>
        <w:footnoteReference w:id="2"/>
      </w:r>
      <w:r>
        <w:t xml:space="preserve">.</w:t>
      </w:r>
      <w:r>
        <w:t xml:space="preserve"> Din această perspectivă,</w:t>
      </w:r>
      <w:r>
        <w:t xml:space="preserve"> nu este greu de recunoscut că orice teologie are şi o dimensiune politică, de vreme ce atât teologia cât şi politica iau în considerare natura socială a omului, existenţa comunităţii, </w:t>
      </w:r>
      <w:r>
        <w:t xml:space="preserve">desfăşurarea ei istorică</w:t>
      </w:r>
      <w:r>
        <w:t xml:space="preserve"> la nivel local, naţional, dar şi </w:t>
      </w:r>
      <w:r>
        <w:t xml:space="preserve">la nivel </w:t>
      </w:r>
      <w:r>
        <w:t xml:space="preserve">integrat,</w:t>
      </w:r>
      <w:r>
        <w:t xml:space="preserve"> </w:t>
      </w:r>
      <w:r>
        <w:t xml:space="preserve">global</w:t>
      </w:r>
      <w:r>
        <w:t xml:space="preserve">, al întregii umanităţi</w:t>
      </w:r>
      <w:r>
        <w:t xml:space="preserve"> (deşi nu este chiar aceeaşi idee, s-ar putea nota aici că pentru C. Schmitt, ca şi pentru Aristotel, cu al său </w:t>
      </w:r>
      <w:r>
        <w:rPr>
          <w:i/>
          <w:iCs/>
        </w:rPr>
        <w:t xml:space="preserve">anthropos zoon politicon</w:t>
      </w:r>
      <w:r>
        <w:t xml:space="preserve">, politica este înscrisă chiar în natura omului</w:t>
      </w:r>
      <w:r>
        <w:t xml:space="preserve">, care se asociază politic în grupuri şi este gata să se lupte în cadrul acestor asocieri, conform definiţiei despre duşman - prieten</w:t>
      </w:r>
      <w:r>
        <w:t xml:space="preserve">)</w:t>
      </w:r>
      <w:r>
        <w:rPr>
          <w:rStyle w:val="2248"/>
        </w:rPr>
        <w:footnoteReference w:id="3"/>
      </w:r>
      <w:r>
        <w:t xml:space="preserve">.</w:t>
      </w:r>
      <w:r>
        <w:t xml:space="preserve"> </w:t>
      </w:r>
      <w:r>
        <w:t xml:space="preserve">Cu alte cuvinte, s-ar putea discuta despre o teologie politică plecând de la </w:t>
      </w:r>
      <w:r>
        <w:t xml:space="preserve">rede</w:t>
      </w:r>
      <w:r>
        <w:t xml:space="preserve">finirea perceperii binelui şi răului, a prietenului şi a duşmanului, a existenţei umane în lupta </w:t>
      </w:r>
      <w:r>
        <w:t xml:space="preserve">ei pentru propriul destin</w:t>
      </w:r>
      <w:r>
        <w:rPr>
          <w:rStyle w:val="2248"/>
        </w:rPr>
        <w:footnoteReference w:id="4"/>
      </w:r>
      <w:r>
        <w:t xml:space="preserve">. </w:t>
      </w:r>
      <w:r/>
    </w:p>
    <w:p>
      <w:pPr>
        <w:pStyle w:val="2227"/>
        <w:pBdr/>
        <w:spacing/>
        <w:ind/>
        <w:rPr/>
      </w:pPr>
      <w:r>
        <w:t xml:space="preserve">Ar fi posibil să se vorbească şi despre o</w:t>
      </w:r>
      <w:r>
        <w:t xml:space="preserve"> distincţie cronologică şi </w:t>
      </w:r>
      <w:r>
        <w:t xml:space="preserve">testamentară a teologiei politice, din punctul de vedere al continuităţii şi progresiei concepţiilor antropologice şi sociale </w:t>
      </w:r>
      <w:r>
        <w:t xml:space="preserve">ale teologiei Vechiului Testament, care se regăsesc şi se redefinesc, se dezvoltă în Noul</w:t>
      </w:r>
      <w:r>
        <w:t xml:space="preserve"> Testament. </w:t>
      </w:r>
      <w:r>
        <w:t xml:space="preserve">Pe deoparte, i</w:t>
      </w:r>
      <w:r>
        <w:t xml:space="preserve">storia lui Israel oferă ocazia afirmării unor principii </w:t>
      </w:r>
      <w:r>
        <w:t xml:space="preserve">morale şi teologice </w:t>
      </w:r>
      <w:r>
        <w:t xml:space="preserve">despre poporul lui Dumnezeu</w:t>
      </w:r>
      <w:r>
        <w:t xml:space="preserve">. Pe de altă parte, Biserica</w:t>
      </w:r>
      <w:r>
        <w:t xml:space="preserve"> este văzută ca popor al lui Dumnezeu trăitor în istorie</w:t>
      </w:r>
      <w:r>
        <w:t xml:space="preserve">,</w:t>
      </w:r>
      <w:r>
        <w:t xml:space="preserve"> dar şi ca popor al lui Dumnezeu chemat să transceandă istoria, un popor al Împărăţiei lui Dumnezeu, atât în forma ei prezentă, cât şi în forma</w:t>
      </w:r>
      <w:r>
        <w:t xml:space="preserve"> sau formele ei viitoare.</w:t>
      </w:r>
      <w:r>
        <w:t xml:space="preserve"> Desigur, una din problemele importante pentru definirea teologiei politic</w:t>
      </w:r>
      <w:r>
        <w:t xml:space="preserve">e este chiar datarea termenului, adică</w:t>
      </w:r>
      <w:r>
        <w:t xml:space="preserve"> de când se poate vorbi despre acest concept, în mod specific, şi ce influenţă are contextul apariţiei sale asupra conţinutului său dinamic.</w:t>
      </w:r>
      <w:r/>
    </w:p>
    <w:p>
      <w:pPr>
        <w:pStyle w:val="2227"/>
        <w:pBdr/>
        <w:spacing/>
        <w:ind/>
        <w:rPr/>
      </w:pPr>
      <w:r/>
      <w:r/>
    </w:p>
    <w:p>
      <w:pPr>
        <w:pStyle w:val="2230"/>
        <w:pBdr/>
        <w:spacing/>
        <w:ind/>
        <w:rPr>
          <w:lang w:val="ro-RO"/>
        </w:rPr>
      </w:pPr>
      <w:r/>
      <w:bookmarkStart w:id="5" w:name="_Toc252991831"/>
      <w:r>
        <w:rPr>
          <w:lang w:val="ro-RO"/>
        </w:rPr>
        <w:t xml:space="preserve">1.1 </w:t>
      </w:r>
      <w:r>
        <w:rPr>
          <w:lang w:val="ro-RO"/>
        </w:rPr>
        <w:t xml:space="preserve">Definiţii şi istoric</w:t>
      </w:r>
      <w:bookmarkEnd w:id="5"/>
      <w:r>
        <w:rPr>
          <w:lang w:val="ro-RO"/>
        </w:rPr>
      </w:r>
      <w:r>
        <w:rPr>
          <w:lang w:val="ro-RO"/>
        </w:rPr>
      </w:r>
    </w:p>
    <w:p>
      <w:pPr>
        <w:pStyle w:val="2227"/>
        <w:pBdr/>
        <w:spacing/>
        <w:ind/>
        <w:rPr/>
      </w:pPr>
      <w:r/>
      <w:r/>
    </w:p>
    <w:p>
      <w:pPr>
        <w:pStyle w:val="2227"/>
        <w:pBdr/>
        <w:spacing/>
        <w:ind w:firstLine="0"/>
        <w:rPr/>
      </w:pPr>
      <w:r>
        <w:t xml:space="preserve">Conform lui E.</w:t>
      </w:r>
      <w:r>
        <w:t xml:space="preserve"> Peterson, </w:t>
      </w:r>
      <w:r>
        <w:t xml:space="preserve">un critic </w:t>
      </w:r>
      <w:r>
        <w:t xml:space="preserve">convins </w:t>
      </w:r>
      <w:r>
        <w:t xml:space="preserve">al </w:t>
      </w:r>
      <w:r>
        <w:t xml:space="preserve">conceptului</w:t>
      </w:r>
      <w:r>
        <w:t xml:space="preserve"> de </w:t>
      </w:r>
      <w:r>
        <w:t xml:space="preserve">„</w:t>
      </w:r>
      <w:r>
        <w:t xml:space="preserve">teologie politică</w:t>
      </w:r>
      <w:r>
        <w:t xml:space="preserve">”</w:t>
      </w:r>
      <w:r>
        <w:t xml:space="preserve">, în </w:t>
      </w:r>
      <w:r>
        <w:t xml:space="preserve">perioada Bisericii primare </w:t>
      </w:r>
      <w:r>
        <w:t xml:space="preserve">a existat</w:t>
      </w:r>
      <w:r>
        <w:t xml:space="preserve"> </w:t>
      </w:r>
      <w:r>
        <w:t xml:space="preserve">un </w:t>
      </w:r>
      <w:r>
        <w:t xml:space="preserve">astfel de concept apărut în perioada când creştinismul curta imperiul şi recunoaşterea oficială la Roma, adică în lucrările lui </w:t>
      </w:r>
      <w:r>
        <w:t xml:space="preserve">Eusebiu din Cezarea, </w:t>
      </w:r>
      <w:r>
        <w:t xml:space="preserve">pe </w:t>
      </w:r>
      <w:r>
        <w:t xml:space="preserve">când acesta îi </w:t>
      </w:r>
      <w:r>
        <w:t xml:space="preserve">aducea elogii</w:t>
      </w:r>
      <w:r>
        <w:t xml:space="preserve"> lui Constantin cel Mare</w:t>
      </w:r>
      <w:r>
        <w:rPr>
          <w:rStyle w:val="2248"/>
        </w:rPr>
        <w:footnoteReference w:id="5"/>
      </w:r>
      <w:r>
        <w:t xml:space="preserve">.</w:t>
      </w:r>
      <w:r>
        <w:t xml:space="preserve"> </w:t>
      </w:r>
      <w:r/>
    </w:p>
    <w:p>
      <w:pPr>
        <w:pStyle w:val="2227"/>
        <w:pBdr/>
        <w:spacing/>
        <w:ind/>
        <w:rPr/>
      </w:pPr>
      <w:r>
        <w:t xml:space="preserve">În afara acest</w:t>
      </w:r>
      <w:r>
        <w:t xml:space="preserve">ei perioade</w:t>
      </w:r>
      <w:r>
        <w:t xml:space="preserve">,</w:t>
      </w:r>
      <w:r>
        <w:t xml:space="preserve"> argumentează Peterson, nu se poate vorbi despre o </w:t>
      </w:r>
      <w:r>
        <w:t xml:space="preserve">adevărată şi substanţială </w:t>
      </w:r>
      <w:r>
        <w:t xml:space="preserve">teologie politică în creştinism, </w:t>
      </w:r>
      <w:r>
        <w:t xml:space="preserve">deoarece</w:t>
      </w:r>
      <w:r>
        <w:t xml:space="preserve"> politicul </w:t>
      </w:r>
      <w:r>
        <w:t xml:space="preserve">ar fi</w:t>
      </w:r>
      <w:r>
        <w:t xml:space="preserve"> dominat de ideea unei comunităţi organizate şi conduse de un lider, </w:t>
      </w:r>
      <w:r>
        <w:t xml:space="preserve">în vreme ce </w:t>
      </w:r>
      <w:r>
        <w:t xml:space="preserve">teologia creştin</w:t>
      </w:r>
      <w:r>
        <w:t xml:space="preserve">ă</w:t>
      </w:r>
      <w:r>
        <w:t xml:space="preserve">, în general, </w:t>
      </w:r>
      <w:r>
        <w:t xml:space="preserve">se bazează pe </w:t>
      </w:r>
      <w:r>
        <w:t xml:space="preserve">recunoaşterea domniei unui Dumnezeu triun, care ju</w:t>
      </w:r>
      <w:r>
        <w:t xml:space="preserve">decă lumea şi </w:t>
      </w:r>
      <w:r>
        <w:t xml:space="preserve">se află d</w:t>
      </w:r>
      <w:r>
        <w:t xml:space="preserve">easupra ei, </w:t>
      </w:r>
      <w:r>
        <w:t xml:space="preserve">fără a se implica în detaliile conducerii ei cotidiene.</w:t>
      </w:r>
      <w:r>
        <w:t xml:space="preserve"> </w:t>
      </w:r>
      <w:r/>
    </w:p>
    <w:p>
      <w:pPr>
        <w:pStyle w:val="2227"/>
        <w:pBdr/>
        <w:spacing/>
        <w:ind/>
        <w:rPr/>
      </w:pPr>
      <w:r>
        <w:t xml:space="preserve">Argumentele lui Peterson </w:t>
      </w:r>
      <w:r>
        <w:t xml:space="preserve">par, totuşi, curioase, </w:t>
      </w:r>
      <w:r>
        <w:t xml:space="preserve">deoarece creştinii au fost </w:t>
      </w:r>
      <w:r>
        <w:t xml:space="preserve">în general </w:t>
      </w:r>
      <w:r>
        <w:t xml:space="preserve">atraşi de analiza sau de practica legăturilor dintre teologie şi politică, iar ideea mesianică în sine, </w:t>
      </w:r>
      <w:r>
        <w:t xml:space="preserve">care străbate Biblia de la un capăt la celălalt, </w:t>
      </w:r>
      <w:r>
        <w:t xml:space="preserve">nu înseamnă altceva decât </w:t>
      </w:r>
      <w:r>
        <w:t xml:space="preserve">învăţătura despre necesitatea apariţiei unui conducător – salvator aprobat de Dumnezeu, care poate scoate omenirea din starea ei de vinovăţie şi decadenţă, </w:t>
      </w:r>
      <w:r>
        <w:t xml:space="preserve">de supunere faţă de duhurile răutăţii, şi o poate conduce şi organiza, în aşa fel încât viaţa societăţii umane să iasă din umbra violenţei, idolatriei şi imoralităţii, şi să intre în lumina glorioasă a sfinţeniei şi performanţelor etice cerute de Dumnezeu.</w:t>
      </w:r>
      <w:r>
        <w:t xml:space="preserve">.</w:t>
      </w:r>
      <w:r/>
    </w:p>
    <w:p>
      <w:pPr>
        <w:pStyle w:val="2227"/>
        <w:pBdr/>
        <w:spacing/>
        <w:ind/>
        <w:rPr/>
      </w:pPr>
      <w:r>
        <w:t xml:space="preserve">Tocmai de aceea, </w:t>
      </w:r>
      <w:r>
        <w:t xml:space="preserve">este util să se observe că după lucrările lui </w:t>
      </w:r>
      <w:r>
        <w:t xml:space="preserve">Eusebiu din Caesarea</w:t>
      </w:r>
      <w:r>
        <w:t xml:space="preserve"> a venit </w:t>
      </w:r>
      <w:r>
        <w:t xml:space="preserve">un al doilea moment </w:t>
      </w:r>
      <w:r>
        <w:t xml:space="preserve">major</w:t>
      </w:r>
      <w:r>
        <w:t xml:space="preserve"> de cugetare politică</w:t>
      </w:r>
      <w:r>
        <w:t xml:space="preserve"> în creştinism</w:t>
      </w:r>
      <w:r>
        <w:t xml:space="preserve">, ilustrat de gândirea lui </w:t>
      </w:r>
      <w:r>
        <w:t xml:space="preserve">A</w:t>
      </w:r>
      <w:r>
        <w:t xml:space="preserve">ugustin </w:t>
      </w:r>
      <w:r>
        <w:t xml:space="preserve">din Hippo</w:t>
      </w:r>
      <w:r>
        <w:t xml:space="preserve"> </w:t>
      </w:r>
      <w:r>
        <w:t xml:space="preserve">(354-430)</w:t>
      </w:r>
      <w:r>
        <w:t xml:space="preserve">, şi se găseşte dezvoltat mai ales în cartea sa</w:t>
      </w:r>
      <w:r>
        <w:t xml:space="preserve"> </w:t>
      </w:r>
      <w:r>
        <w:rPr>
          <w:i/>
          <w:iCs/>
        </w:rPr>
        <w:t xml:space="preserve">De Civitate Dei</w:t>
      </w:r>
      <w:r>
        <w:t xml:space="preserve"> (Cetatea lui Dumnezeu</w:t>
      </w:r>
      <w:r>
        <w:t xml:space="preserve">). </w:t>
      </w:r>
      <w:r>
        <w:t xml:space="preserve">Preocupat de destinul societăţii, în general, </w:t>
      </w:r>
      <w:r>
        <w:t xml:space="preserve">după căderea Rome</w:t>
      </w:r>
      <w:r>
        <w:t xml:space="preserve">i, precum </w:t>
      </w:r>
      <w:r>
        <w:t xml:space="preserve">şi de rolul creştinilor în această societate, </w:t>
      </w:r>
      <w:r>
        <w:t xml:space="preserve">în particular, </w:t>
      </w:r>
      <w:r>
        <w:t xml:space="preserve">Augustin </w:t>
      </w:r>
      <w:r>
        <w:t xml:space="preserve">subliniază caracterul interimar al perioadei prezente, </w:t>
      </w:r>
      <w:r>
        <w:t xml:space="preserve">între</w:t>
      </w:r>
      <w:r>
        <w:t xml:space="preserve"> cele două veniri în istorie a</w:t>
      </w:r>
      <w:r>
        <w:t xml:space="preserve">le</w:t>
      </w:r>
      <w:r>
        <w:t xml:space="preserve"> Fiului lui Dumnezeu, Isus Hristos (întruparea pentru Cruce </w:t>
      </w:r>
      <w:r>
        <w:t xml:space="preserve">şi înviere, pentru </w:t>
      </w:r>
      <w:r>
        <w:t xml:space="preserve">mântuire</w:t>
      </w:r>
      <w:r>
        <w:t xml:space="preserve">,</w:t>
      </w:r>
      <w:r>
        <w:t xml:space="preserve"> </w:t>
      </w:r>
      <w:r>
        <w:t xml:space="preserve">şi a doua venire, pentru răsplătire şi judecată</w:t>
      </w:r>
      <w:r>
        <w:t xml:space="preserve">, pentru instaurarea împărăţiei lui Dumnezeu şi pentru transformarea cosmosului într-o lume a dreptăţii</w:t>
      </w:r>
      <w:r>
        <w:t xml:space="preserve">).</w:t>
      </w:r>
      <w:r>
        <w:t xml:space="preserve"> </w:t>
      </w:r>
      <w:r/>
    </w:p>
    <w:p>
      <w:pPr>
        <w:pStyle w:val="2227"/>
        <w:pBdr/>
        <w:spacing/>
        <w:ind/>
        <w:rPr/>
      </w:pPr>
      <w:r>
        <w:t xml:space="preserve">Potrivit lui Augustin</w:t>
      </w:r>
      <w:r>
        <w:t xml:space="preserve">,</w:t>
      </w:r>
      <w:r>
        <w:t xml:space="preserve"> această perioadă </w:t>
      </w:r>
      <w:r>
        <w:t xml:space="preserve">bine delimitată a istoriei</w:t>
      </w:r>
      <w:r>
        <w:t xml:space="preserve"> </w:t>
      </w:r>
      <w:r>
        <w:t xml:space="preserve">poate fi numită</w:t>
      </w:r>
      <w:r>
        <w:t xml:space="preserve"> </w:t>
      </w:r>
      <w:r>
        <w:rPr>
          <w:i/>
          <w:iCs/>
        </w:rPr>
        <w:t xml:space="preserve">saeculum</w:t>
      </w:r>
      <w:r>
        <w:t xml:space="preserve"> (veac</w:t>
      </w:r>
      <w:r>
        <w:t xml:space="preserve">; de la expresia Nou Testamentară „veacul acesta”</w:t>
      </w:r>
      <w:r>
        <w:t xml:space="preserve"> sau</w:t>
      </w:r>
      <w:r>
        <w:t xml:space="preserve"> „lumea aceasta”</w:t>
      </w:r>
      <w:r>
        <w:t xml:space="preserve">, gr. </w:t>
      </w:r>
      <w:r>
        <w:rPr>
          <w:i/>
          <w:iCs/>
        </w:rPr>
        <w:t xml:space="preserve">aion</w:t>
      </w:r>
      <w:r>
        <w:t xml:space="preserve">, </w:t>
      </w:r>
      <w:r>
        <w:t xml:space="preserve">cf. M</w:t>
      </w:r>
      <w:r>
        <w:t xml:space="preserve">atei</w:t>
      </w:r>
      <w:r>
        <w:t xml:space="preserve"> 12:32; 13:22; 24:3</w:t>
      </w:r>
      <w:r>
        <w:t xml:space="preserve">; Efeseni 1:21</w:t>
      </w:r>
      <w:r>
        <w:t xml:space="preserve"> etc.</w:t>
      </w:r>
      <w:r>
        <w:t xml:space="preserve">)</w:t>
      </w:r>
      <w:r>
        <w:t xml:space="preserve">, </w:t>
      </w:r>
      <w:r>
        <w:t xml:space="preserve">şi </w:t>
      </w:r>
      <w:r>
        <w:t xml:space="preserve">este o perioadă în care</w:t>
      </w:r>
      <w:r>
        <w:t xml:space="preserve"> creştinii şi păgânii trăiesc î</w:t>
      </w:r>
      <w:r>
        <w:t xml:space="preserve">ntr-o lume comună, formând</w:t>
      </w:r>
      <w:r>
        <w:t xml:space="preserve"> două societăţi distincte</w:t>
      </w:r>
      <w:r>
        <w:t xml:space="preserve">, </w:t>
      </w:r>
      <w:r>
        <w:t xml:space="preserve">alternative</w:t>
      </w:r>
      <w:r>
        <w:t xml:space="preserve"> (cu un anumit grad de complementaritate istorică</w:t>
      </w:r>
      <w:r>
        <w:t xml:space="preserve">, </w:t>
      </w:r>
      <w:r>
        <w:t xml:space="preserve">având</w:t>
      </w:r>
      <w:r>
        <w:t xml:space="preserve"> valori şi </w:t>
      </w:r>
      <w:r>
        <w:t xml:space="preserve">principii diferite, dar urmărind</w:t>
      </w:r>
      <w:r>
        <w:t xml:space="preserve"> </w:t>
      </w:r>
      <w:r>
        <w:t xml:space="preserve">ţeluri asemănătoare</w:t>
      </w:r>
      <w:r>
        <w:t xml:space="preserve">: pacea</w:t>
      </w:r>
      <w:r>
        <w:t xml:space="preserve"> relativă</w:t>
      </w:r>
      <w:r>
        <w:t xml:space="preserve">, </w:t>
      </w:r>
      <w:r>
        <w:t xml:space="preserve">coexistenţa</w:t>
      </w:r>
      <w:r>
        <w:t xml:space="preserve">, prosperitatea</w:t>
      </w:r>
      <w:r>
        <w:t xml:space="preserve">)</w:t>
      </w:r>
      <w:r>
        <w:rPr>
          <w:rStyle w:val="2248"/>
        </w:rPr>
        <w:footnoteReference w:id="6"/>
      </w:r>
      <w:r>
        <w:t xml:space="preserve">.</w:t>
      </w:r>
      <w:r>
        <w:t xml:space="preserve"> </w:t>
      </w:r>
      <w:r>
        <w:t xml:space="preserve">Baza </w:t>
      </w:r>
      <w:r>
        <w:t xml:space="preserve">unei asemenea concepţii</w:t>
      </w:r>
      <w:r>
        <w:t xml:space="preserve"> este,</w:t>
      </w:r>
      <w:r>
        <w:t xml:space="preserve"> desigur, textul din Ieremia 29, unde profetul vorbeşte către Israelul aflat în exil în Babilon, spunându-le din partea lui Dumnezeu că trebuie </w:t>
      </w:r>
      <w:r>
        <w:t xml:space="preserve">„să caute b</w:t>
      </w:r>
      <w:r>
        <w:t xml:space="preserve">inele cetăţii unde sunt robi”, pentru că fericirea lor depinde de fericirea acestei cetăţi (Ier. 29:</w:t>
      </w:r>
      <w:r>
        <w:t xml:space="preserve">4-</w:t>
      </w:r>
      <w:r>
        <w:t xml:space="preserve">7; discuţia lui Pavel din Rom.</w:t>
      </w:r>
      <w:r>
        <w:t xml:space="preserve"> 13 construieşte şi ea o viziune </w:t>
      </w:r>
      <w:r>
        <w:t xml:space="preserve">similară </w:t>
      </w:r>
      <w:r>
        <w:t xml:space="preserve">despre imperiul secular în care trăiesc creştinii).</w:t>
      </w:r>
      <w:r>
        <w:t xml:space="preserve"> Desigur, se pune problema relaţiei dintre cele două societăţi</w:t>
      </w:r>
      <w:r>
        <w:t xml:space="preserve">: este Biserica integrată societăţii, în general, colaborează cu aceasta, </w:t>
      </w:r>
      <w:r>
        <w:t xml:space="preserve">au ţeluri comune, ori </w:t>
      </w:r>
      <w:r>
        <w:t xml:space="preserve">doreşte să o înlocuiască</w:t>
      </w:r>
      <w:r>
        <w:t xml:space="preserve"> şi aşteaptă înnoirea lumii şi venirea Împărăţiei generalizate a lui Dumnezeu</w:t>
      </w:r>
      <w:r>
        <w:t xml:space="preserve">?</w:t>
      </w:r>
      <w:r/>
    </w:p>
    <w:p>
      <w:pPr>
        <w:pStyle w:val="2227"/>
        <w:pBdr/>
        <w:spacing/>
        <w:ind/>
        <w:rPr/>
      </w:pPr>
      <w:r>
        <w:t xml:space="preserve">Conform lui Augustin, c</w:t>
      </w:r>
      <w:r>
        <w:t xml:space="preserve">ele două societăţi </w:t>
      </w:r>
      <w:r>
        <w:t xml:space="preserve">– sau cele două cetăţi, cetatea </w:t>
      </w:r>
      <w:r>
        <w:t xml:space="preserve">celor credincioşi – sau cetatea </w:t>
      </w:r>
      <w:r>
        <w:t xml:space="preserve">lui Dumnezeu</w:t>
      </w:r>
      <w:r>
        <w:t xml:space="preserve"> (</w:t>
      </w:r>
      <w:r>
        <w:rPr>
          <w:i/>
          <w:iCs/>
        </w:rPr>
        <w:t xml:space="preserve">civitas dei</w:t>
      </w:r>
      <w:r>
        <w:t xml:space="preserve">)</w:t>
      </w:r>
      <w:r>
        <w:t xml:space="preserve">,</w:t>
      </w:r>
      <w:r>
        <w:t xml:space="preserve"> şi cetatea oamenilor necredincioşi</w:t>
      </w:r>
      <w:r>
        <w:t xml:space="preserve"> – sau cetatea lumii</w:t>
      </w:r>
      <w:r>
        <w:t xml:space="preserve"> (</w:t>
      </w:r>
      <w:r>
        <w:rPr>
          <w:i/>
          <w:iCs/>
        </w:rPr>
        <w:t xml:space="preserve">civitas terrena</w:t>
      </w:r>
      <w:r>
        <w:t xml:space="preserve">)</w:t>
      </w:r>
      <w:r>
        <w:t xml:space="preserve">, </w:t>
      </w:r>
      <w:r>
        <w:t xml:space="preserve">numite şi </w:t>
      </w:r>
      <w:r>
        <w:t xml:space="preserve">Ierusalimul ceresc şi</w:t>
      </w:r>
      <w:r>
        <w:t xml:space="preserve">, respectiv, Babilon</w:t>
      </w:r>
      <w:r>
        <w:t xml:space="preserve">, </w:t>
      </w:r>
      <w:r>
        <w:t xml:space="preserve">au idealuri </w:t>
      </w:r>
      <w:r>
        <w:t xml:space="preserve">comune, dar felul lor de viaţă </w:t>
      </w:r>
      <w:r>
        <w:t xml:space="preserve">diferă</w:t>
      </w:r>
      <w:r>
        <w:t xml:space="preserve">, </w:t>
      </w:r>
      <w:r>
        <w:t xml:space="preserve">la fel </w:t>
      </w:r>
      <w:r>
        <w:t xml:space="preserve">ca şi modul prin care vor să</w:t>
      </w:r>
      <w:r>
        <w:t xml:space="preserve">-şi atingă idealurile</w:t>
      </w:r>
      <w:r>
        <w:t xml:space="preserve">: comunitatea celor credincioşi caută comuniunea cu Dumnezeu ca sens suprem al existenţei</w:t>
      </w:r>
      <w:r>
        <w:t xml:space="preserve"> – şi</w:t>
      </w:r>
      <w:r>
        <w:t xml:space="preserve">, în ce-o priveşte,</w:t>
      </w:r>
      <w:r>
        <w:t xml:space="preserve"> poate </w:t>
      </w:r>
      <w:r>
        <w:t xml:space="preserve">accede la pace, bună-înţelegere</w:t>
      </w:r>
      <w:r>
        <w:t xml:space="preserve"> între membrii ei</w:t>
      </w:r>
      <w:r>
        <w:t xml:space="preserve">, </w:t>
      </w:r>
      <w:r>
        <w:t xml:space="preserve">prin simplă bună-învoire, prin auto-convingere, </w:t>
      </w:r>
      <w:r>
        <w:t xml:space="preserve">în timp ce comunitatea celor </w:t>
      </w:r>
      <w:r>
        <w:t xml:space="preserve">care îl </w:t>
      </w:r>
      <w:r>
        <w:t xml:space="preserve">părăsesc pe Dumnezeu</w:t>
      </w:r>
      <w:r>
        <w:t xml:space="preserve">, </w:t>
      </w:r>
      <w:r>
        <w:t xml:space="preserve">sau nu-l recunosc pe Hristos, </w:t>
      </w:r>
      <w:r>
        <w:t xml:space="preserve">caută satisfacţia </w:t>
      </w:r>
      <w:r>
        <w:t xml:space="preserve">proprie</w:t>
      </w:r>
      <w:r>
        <w:t xml:space="preserve"> şi înce</w:t>
      </w:r>
      <w:r>
        <w:t xml:space="preserve">arcă</w:t>
      </w:r>
      <w:r>
        <w:t xml:space="preserve"> să-şi asigure pacea</w:t>
      </w:r>
      <w:r>
        <w:t xml:space="preserve"> şi</w:t>
      </w:r>
      <w:r>
        <w:t xml:space="preserve"> ordinea, </w:t>
      </w:r>
      <w:r>
        <w:t xml:space="preserve">dar </w:t>
      </w:r>
      <w:r>
        <w:t xml:space="preserve">nu atât prin convingere, cât prin</w:t>
      </w:r>
      <w:r>
        <w:t xml:space="preserve"> uzul forţei, al violenţei</w:t>
      </w:r>
      <w:r>
        <w:t xml:space="preserve">.</w:t>
      </w:r>
      <w:r>
        <w:t xml:space="preserve"> </w:t>
      </w:r>
      <w:r/>
    </w:p>
    <w:p>
      <w:pPr>
        <w:pStyle w:val="2227"/>
        <w:pBdr/>
        <w:spacing/>
        <w:ind/>
        <w:rPr/>
      </w:pPr>
      <w:r>
        <w:t xml:space="preserve">Î</w:t>
      </w:r>
      <w:r>
        <w:t xml:space="preserve">n contrast cu </w:t>
      </w:r>
      <w:r>
        <w:t xml:space="preserve">tr</w:t>
      </w:r>
      <w:r>
        <w:t xml:space="preserve">iumfalismul constantinian</w:t>
      </w:r>
      <w:r>
        <w:t xml:space="preserve"> potrivit căruia Biserica este chemată să unifice, să pacifice </w:t>
      </w:r>
      <w:r>
        <w:t xml:space="preserve">şi să domine </w:t>
      </w:r>
      <w:r>
        <w:t xml:space="preserve">lumea, </w:t>
      </w:r>
      <w:r>
        <w:t xml:space="preserve">aducând</w:t>
      </w:r>
      <w:r>
        <w:t xml:space="preserve"> pe pământ Împărăţia lui Dumnezeu, Augustin crede că cele două </w:t>
      </w:r>
      <w:r>
        <w:t xml:space="preserve">„</w:t>
      </w:r>
      <w:r>
        <w:t xml:space="preserve">cetăţi</w:t>
      </w:r>
      <w:r>
        <w:t xml:space="preserve">”</w:t>
      </w:r>
      <w:r>
        <w:t xml:space="preserve">, Ierusalimul ceresc (care începe chiar de pe pământ) şi Babilonul,</w:t>
      </w:r>
      <w:r>
        <w:t xml:space="preserve"> </w:t>
      </w:r>
      <w:r>
        <w:t xml:space="preserve">trebuie să coexiste, ca în parabola grâului şi </w:t>
      </w:r>
      <w:r>
        <w:t xml:space="preserve">a </w:t>
      </w:r>
      <w:r>
        <w:t xml:space="preserve">neghinei,</w:t>
      </w:r>
      <w:r>
        <w:t xml:space="preserve"> până când Hristos însuşi </w:t>
      </w:r>
      <w:r>
        <w:t xml:space="preserve">va schimba istoria </w:t>
      </w:r>
      <w:r>
        <w:t xml:space="preserve">şi va instaura Împărăţia lui Dumnezeu</w:t>
      </w:r>
      <w:r>
        <w:rPr>
          <w:rStyle w:val="2248"/>
        </w:rPr>
        <w:footnoteReference w:id="7"/>
      </w:r>
      <w:r>
        <w:t xml:space="preserve">.</w:t>
      </w:r>
      <w:r>
        <w:t xml:space="preserve"> G</w:t>
      </w:r>
      <w:r>
        <w:t xml:space="preserve">ândirea politică a lui Augustin </w:t>
      </w:r>
      <w:r>
        <w:t xml:space="preserve">urmează în această</w:t>
      </w:r>
      <w:r>
        <w:t xml:space="preserve"> privinţă, eschatologia paulină</w:t>
      </w:r>
      <w:r>
        <w:rPr>
          <w:rStyle w:val="2248"/>
        </w:rPr>
        <w:footnoteReference w:id="8"/>
      </w:r>
      <w:r>
        <w:t xml:space="preserve">.</w:t>
      </w:r>
      <w:r>
        <w:t xml:space="preserve"> </w:t>
      </w:r>
      <w:r>
        <w:t xml:space="preserve">Până </w:t>
      </w:r>
      <w:r>
        <w:t xml:space="preserve">la a doua venire a lui Hristos,</w:t>
      </w:r>
      <w:r>
        <w:t xml:space="preserve"> această coexistenţă nu este nici pe </w:t>
      </w:r>
      <w:r>
        <w:t xml:space="preserve">de-a-ntregurl</w:t>
      </w:r>
      <w:r>
        <w:t xml:space="preserve"> sacră, nici </w:t>
      </w:r>
      <w:r>
        <w:t xml:space="preserve">în </w:t>
      </w:r>
      <w:r>
        <w:t xml:space="preserve">total</w:t>
      </w:r>
      <w:r>
        <w:t xml:space="preserve">itate</w:t>
      </w:r>
      <w:r>
        <w:t xml:space="preserve"> profană; nici plină de domnia divină, nici supusă în mod </w:t>
      </w:r>
      <w:r>
        <w:t xml:space="preserve">fatal</w:t>
      </w:r>
      <w:r>
        <w:t xml:space="preserve"> domniei răului. </w:t>
      </w:r>
      <w:r>
        <w:t xml:space="preserve">Teolo</w:t>
      </w:r>
      <w:r>
        <w:t xml:space="preserve">gia politică s-ar preocupa, aşadar</w:t>
      </w:r>
      <w:r>
        <w:t xml:space="preserve">, de conţinutul politic al conceptelor teologice şi de fundamentele asigurării acestei convieţuiri în contextul veacului prezent (</w:t>
      </w:r>
      <w:r>
        <w:rPr>
          <w:i/>
          <w:iCs/>
        </w:rPr>
        <w:t xml:space="preserve">saeculum</w:t>
      </w:r>
      <w:r>
        <w:t xml:space="preserve">), până la revenirea lui Hristos.</w:t>
      </w:r>
      <w:r>
        <w:t xml:space="preserve"> </w:t>
      </w:r>
      <w:r/>
    </w:p>
    <w:p>
      <w:pPr>
        <w:pStyle w:val="2227"/>
        <w:pBdr/>
        <w:spacing/>
        <w:ind/>
        <w:rPr/>
      </w:pPr>
      <w:r>
        <w:t xml:space="preserve">Abordarea augustiniană a politicii are </w:t>
      </w:r>
      <w:r>
        <w:t xml:space="preserve">evidente </w:t>
      </w:r>
      <w:r>
        <w:t xml:space="preserve">trăsături aristoteliene</w:t>
      </w:r>
      <w:r>
        <w:t xml:space="preserve"> </w:t>
      </w:r>
      <w:r>
        <w:t xml:space="preserve">în ce priveşte orientarea naturală</w:t>
      </w:r>
      <w:r>
        <w:t xml:space="preserve"> a fiinţei umane spre politică</w:t>
      </w:r>
      <w:r>
        <w:t xml:space="preserve"> (</w:t>
      </w:r>
      <w:r>
        <w:t xml:space="preserve">Aristotel afirma că </w:t>
      </w:r>
      <w:r>
        <w:t xml:space="preserve">omul </w:t>
      </w:r>
      <w:r>
        <w:t xml:space="preserve">este eminamente </w:t>
      </w:r>
      <w:r>
        <w:rPr>
          <w:i/>
          <w:iCs/>
        </w:rPr>
        <w:t xml:space="preserve">zoon politikon</w:t>
      </w:r>
      <w:r>
        <w:t xml:space="preserve">,</w:t>
      </w:r>
      <w:r>
        <w:t xml:space="preserve"> </w:t>
      </w:r>
      <w:r>
        <w:t xml:space="preserve">o </w:t>
      </w:r>
      <w:r>
        <w:t xml:space="preserve">fiinţă politică), </w:t>
      </w:r>
      <w:r>
        <w:t xml:space="preserve">dar şi deosebiri: politica la Augustin nu este </w:t>
      </w:r>
      <w:r>
        <w:t xml:space="preserve">doar </w:t>
      </w:r>
      <w:r>
        <w:t xml:space="preserve">o inclinaţie naturală şi pozitivă</w:t>
      </w:r>
      <w:r>
        <w:t xml:space="preserve"> a omului, </w:t>
      </w:r>
      <w:r>
        <w:t xml:space="preserve">ci</w:t>
      </w:r>
      <w:r>
        <w:t xml:space="preserve"> ea aparţine</w:t>
      </w:r>
      <w:r>
        <w:t xml:space="preserve"> unei omeniri decăzute, </w:t>
      </w:r>
      <w:r>
        <w:t xml:space="preserve">corupte prin păcat</w:t>
      </w:r>
      <w:r>
        <w:t xml:space="preserve">, care se depărtează tot mai mult de Dumnezeu</w:t>
      </w:r>
      <w:r>
        <w:t xml:space="preserve">. </w:t>
      </w:r>
      <w:r>
        <w:t xml:space="preserve">În ciuda scopurilor generoase, r</w:t>
      </w:r>
      <w:r>
        <w:t xml:space="preserve">ealizările politicii </w:t>
      </w:r>
      <w:r>
        <w:t xml:space="preserve">umane prezente </w:t>
      </w:r>
      <w:r>
        <w:t xml:space="preserve">sunt, astfel, limitate prin definiţie</w:t>
      </w:r>
      <w:r>
        <w:rPr>
          <w:rStyle w:val="2248"/>
        </w:rPr>
        <w:footnoteReference w:id="9"/>
      </w:r>
      <w:r>
        <w:t xml:space="preserve">.</w:t>
      </w:r>
      <w:r>
        <w:t xml:space="preserve"> </w:t>
      </w:r>
      <w:r/>
    </w:p>
    <w:p>
      <w:pPr>
        <w:pStyle w:val="2227"/>
        <w:pBdr/>
        <w:spacing/>
        <w:ind/>
        <w:rPr/>
      </w:pPr>
      <w:r>
        <w:t xml:space="preserve">În prelungirea acestei</w:t>
      </w:r>
      <w:r>
        <w:t xml:space="preserve"> abordări, o definiţie </w:t>
      </w:r>
      <w:r>
        <w:t xml:space="preserve">contemporană</w:t>
      </w:r>
      <w:r>
        <w:t xml:space="preserve"> a politicii</w:t>
      </w:r>
      <w:r>
        <w:t xml:space="preserve">, din perspective </w:t>
      </w:r>
      <w:r>
        <w:t xml:space="preserve">creştine</w:t>
      </w:r>
      <w:r>
        <w:t xml:space="preserve">,</w:t>
      </w:r>
      <w:r>
        <w:t xml:space="preserve"> ar putea privi politica drept </w:t>
      </w:r>
      <w:r>
        <w:t xml:space="preserve">o ştiinţă a conlocuirii, o activitate văzută ca </w:t>
      </w:r>
      <w:r>
        <w:t xml:space="preserve">un</w:t>
      </w:r>
      <w:r>
        <w:t xml:space="preserve"> </w:t>
      </w:r>
      <w:r>
        <w:t xml:space="preserve">„proces</w:t>
      </w:r>
      <w:r>
        <w:t xml:space="preserve"> continuu prin care se menţine comunitatea şi se recunoaşte şi conciliază conflictul, inclusiv prin utilizarea forţei, în scopul dobândirii şi folosirii</w:t>
      </w:r>
      <w:r>
        <w:t xml:space="preserve"> în comun a bunurilor seculare”</w:t>
      </w:r>
      <w:r>
        <w:rPr>
          <w:rStyle w:val="2248"/>
        </w:rPr>
        <w:footnoteReference w:id="10"/>
      </w:r>
      <w:r>
        <w:t xml:space="preserve">.</w:t>
      </w:r>
      <w:r>
        <w:t xml:space="preserve"> </w:t>
      </w:r>
      <w:r/>
    </w:p>
    <w:p>
      <w:pPr>
        <w:pStyle w:val="2227"/>
        <w:pBdr/>
        <w:spacing/>
        <w:ind/>
        <w:rPr/>
      </w:pPr>
      <w:r>
        <w:t xml:space="preserve">Unul din iniţiatorii studiului </w:t>
      </w:r>
      <w:r>
        <w:t xml:space="preserve">modern al</w:t>
      </w:r>
      <w:r>
        <w:t xml:space="preserve"> teologiei politice, cel ce a </w:t>
      </w:r>
      <w:r>
        <w:t xml:space="preserve">lansat</w:t>
      </w:r>
      <w:r>
        <w:t xml:space="preserve">, de fapt,</w:t>
      </w:r>
      <w:r>
        <w:t xml:space="preserve"> </w:t>
      </w:r>
      <w:r>
        <w:t xml:space="preserve">conceptul</w:t>
      </w:r>
      <w:r>
        <w:t xml:space="preserve">,</w:t>
      </w:r>
      <w:r>
        <w:t xml:space="preserve"> </w:t>
      </w:r>
      <w:r>
        <w:t xml:space="preserve">a fost </w:t>
      </w:r>
      <w:r>
        <w:t xml:space="preserve">C</w:t>
      </w:r>
      <w:r>
        <w:t xml:space="preserve">.</w:t>
      </w:r>
      <w:r>
        <w:t xml:space="preserve"> Schmitt (1888–1985)</w:t>
      </w:r>
      <w:r>
        <w:t xml:space="preserve"> care a rămas un apărător declarat al </w:t>
      </w:r>
      <w:r>
        <w:t xml:space="preserve">nevoii de a studia legătura dintre Biserică şi politică</w:t>
      </w:r>
      <w:r>
        <w:t xml:space="preserve"> (el însuşi fiind un romano-catolic convins)</w:t>
      </w:r>
      <w:r>
        <w:rPr>
          <w:rStyle w:val="2248"/>
        </w:rPr>
        <w:footnoteReference w:id="11"/>
      </w:r>
      <w:r>
        <w:t xml:space="preserve">.</w:t>
      </w:r>
      <w:r>
        <w:t xml:space="preserve"> </w:t>
      </w:r>
      <w:r/>
    </w:p>
    <w:p>
      <w:pPr>
        <w:pStyle w:val="2227"/>
        <w:pBdr/>
        <w:spacing/>
        <w:ind/>
        <w:rPr/>
      </w:pPr>
      <w:r>
        <w:t xml:space="preserve">Înţelesul prezent</w:t>
      </w:r>
      <w:r>
        <w:t xml:space="preserve"> al conceptu</w:t>
      </w:r>
      <w:r>
        <w:t xml:space="preserve">lui</w:t>
      </w:r>
      <w:r>
        <w:t xml:space="preserve"> </w:t>
      </w:r>
      <w:r>
        <w:t xml:space="preserve">de teologie politică</w:t>
      </w:r>
      <w:r>
        <w:t xml:space="preserve">,</w:t>
      </w:r>
      <w:r>
        <w:t xml:space="preserve"> </w:t>
      </w:r>
      <w:r>
        <w:t xml:space="preserve">după ce</w:t>
      </w:r>
      <w:r>
        <w:t xml:space="preserve"> acesta</w:t>
      </w:r>
      <w:r>
        <w:t xml:space="preserve"> a trecut printr-o perioadă de </w:t>
      </w:r>
      <w:r>
        <w:t xml:space="preserve">respingere</w:t>
      </w:r>
      <w:r>
        <w:t xml:space="preserve"> savantă</w:t>
      </w:r>
      <w:r>
        <w:t xml:space="preserve"> (E. Peterson)</w:t>
      </w:r>
      <w:r>
        <w:rPr>
          <w:rStyle w:val="2248"/>
        </w:rPr>
        <w:footnoteReference w:id="12"/>
      </w:r>
      <w:r>
        <w:t xml:space="preserve">,</w:t>
      </w:r>
      <w:r>
        <w:t xml:space="preserve"> </w:t>
      </w:r>
      <w:r>
        <w:t xml:space="preserve">pare să fie influenţat </w:t>
      </w:r>
      <w:r>
        <w:t xml:space="preserve">de </w:t>
      </w:r>
      <w:r>
        <w:t xml:space="preserve">un număr </w:t>
      </w:r>
      <w:r>
        <w:t xml:space="preserve">de alţi </w:t>
      </w:r>
      <w:r>
        <w:t xml:space="preserve">autori cum sunt</w:t>
      </w:r>
      <w:r>
        <w:t xml:space="preserve"> </w:t>
      </w:r>
      <w:r>
        <w:t xml:space="preserve">J</w:t>
      </w:r>
      <w:r>
        <w:t xml:space="preserve">.B.</w:t>
      </w:r>
      <w:r>
        <w:t xml:space="preserve"> Metz </w:t>
      </w:r>
      <w:r>
        <w:t xml:space="preserve">şi J. Moltmann</w:t>
      </w:r>
      <w:r>
        <w:rPr>
          <w:rStyle w:val="2248"/>
        </w:rPr>
        <w:footnoteReference w:id="13"/>
      </w:r>
      <w:r>
        <w:t xml:space="preserve">.</w:t>
      </w:r>
      <w:r>
        <w:t xml:space="preserve"> Pentru aceştia, </w:t>
      </w:r>
      <w:r>
        <w:t xml:space="preserve">teologia politică reprezintă </w:t>
      </w:r>
      <w:r>
        <w:t xml:space="preserve">nu </w:t>
      </w:r>
      <w:r>
        <w:t xml:space="preserve">atât </w:t>
      </w:r>
      <w:r>
        <w:t xml:space="preserve">o citire teologică a politicului, </w:t>
      </w:r>
      <w:r>
        <w:t xml:space="preserve">după cum </w:t>
      </w:r>
      <w:r>
        <w:t xml:space="preserve">nici o perspectivă politică asupra teologiei, c</w:t>
      </w:r>
      <w:r>
        <w:t xml:space="preserve">ât mai ales</w:t>
      </w:r>
      <w:r>
        <w:t xml:space="preserve"> un demers de</w:t>
      </w:r>
      <w:r>
        <w:t xml:space="preserve"> „corecţie critică” </w:t>
      </w:r>
      <w:r>
        <w:t xml:space="preserve">la adresa</w:t>
      </w:r>
      <w:r>
        <w:t xml:space="preserve"> tendinţei de separare a credinţei </w:t>
      </w:r>
      <w:r>
        <w:t xml:space="preserve">de societate,</w:t>
      </w:r>
      <w:r>
        <w:t xml:space="preserve"> deoarece teologia şi credinţa</w:t>
      </w:r>
      <w:r>
        <w:t xml:space="preserve"> au</w:t>
      </w:r>
      <w:r>
        <w:t xml:space="preserve"> tendinţa de a se cantona în sfera vieţii private, individuale sau comunitare,</w:t>
      </w:r>
      <w:r>
        <w:t xml:space="preserve"> </w:t>
      </w:r>
      <w:r>
        <w:t xml:space="preserve">în timp ce a politica</w:t>
      </w:r>
      <w:r>
        <w:t xml:space="preserve"> îşi</w:t>
      </w:r>
      <w:r>
        <w:t xml:space="preserve"> </w:t>
      </w:r>
      <w:r>
        <w:t xml:space="preserve">reclam</w:t>
      </w:r>
      <w:r>
        <w:t xml:space="preserve">ă,</w:t>
      </w:r>
      <w:r>
        <w:t xml:space="preserve"> cu exclusivitate</w:t>
      </w:r>
      <w:r>
        <w:t xml:space="preserve"> şi </w:t>
      </w:r>
      <w:r>
        <w:t xml:space="preserve">cu </w:t>
      </w:r>
      <w:r>
        <w:t xml:space="preserve">hotărâre</w:t>
      </w:r>
      <w:r>
        <w:t xml:space="preserve">,</w:t>
      </w:r>
      <w:r>
        <w:t xml:space="preserve"> domeniul </w:t>
      </w:r>
      <w:r>
        <w:t xml:space="preserve">public</w:t>
      </w:r>
      <w:r>
        <w:rPr>
          <w:rStyle w:val="2248"/>
        </w:rPr>
        <w:footnoteReference w:id="14"/>
      </w:r>
      <w:r>
        <w:t xml:space="preserve">.</w:t>
      </w:r>
      <w:r/>
    </w:p>
    <w:p>
      <w:pPr>
        <w:pStyle w:val="2227"/>
        <w:pBdr/>
        <w:spacing/>
        <w:ind/>
        <w:rPr/>
      </w:pPr>
      <w:r/>
      <w:r/>
    </w:p>
    <w:p>
      <w:pPr>
        <w:pStyle w:val="2230"/>
        <w:pBdr/>
        <w:spacing/>
        <w:ind/>
        <w:rPr>
          <w:lang w:val="ro-RO"/>
        </w:rPr>
      </w:pPr>
      <w:r/>
      <w:bookmarkStart w:id="6" w:name="_Toc252991832"/>
      <w:r>
        <w:rPr>
          <w:lang w:val="ro-RO"/>
        </w:rPr>
        <w:t xml:space="preserve">1.2 </w:t>
      </w:r>
      <w:r>
        <w:rPr>
          <w:lang w:val="ro-RO"/>
        </w:rPr>
        <w:t xml:space="preserve">O teo</w:t>
      </w:r>
      <w:r>
        <w:rPr>
          <w:lang w:val="ro-RO"/>
        </w:rPr>
        <w:t xml:space="preserve">rie a t</w:t>
      </w:r>
      <w:r>
        <w:rPr>
          <w:lang w:val="ro-RO"/>
        </w:rPr>
        <w:t xml:space="preserve">eologiei politice a NT</w:t>
      </w:r>
      <w:r>
        <w:rPr>
          <w:lang w:val="ro-RO"/>
        </w:rPr>
        <w:t xml:space="preserve">: surse şi limbaje</w:t>
      </w:r>
      <w:bookmarkEnd w:id="6"/>
      <w:r>
        <w:rPr>
          <w:lang w:val="ro-RO"/>
        </w:rPr>
      </w:r>
      <w:r>
        <w:rPr>
          <w:lang w:val="ro-RO"/>
        </w:rPr>
      </w:r>
    </w:p>
    <w:p>
      <w:pPr>
        <w:pStyle w:val="2227"/>
        <w:pBdr/>
        <w:spacing/>
        <w:ind w:firstLine="0"/>
        <w:rPr/>
      </w:pPr>
      <w:r/>
      <w:r/>
    </w:p>
    <w:p>
      <w:pPr>
        <w:pStyle w:val="2227"/>
        <w:pBdr/>
        <w:spacing/>
        <w:ind w:firstLine="0"/>
        <w:rPr/>
      </w:pPr>
      <w:r>
        <w:t xml:space="preserve">Dacă iniţial, teologia politică s-a născut ca o reflectare sau regăsire în oglindă a eclesiologiei în viaţa politică,</w:t>
      </w:r>
      <w:r>
        <w:t xml:space="preserve"> şi dacă </w:t>
      </w:r>
      <w:r>
        <w:t xml:space="preserve">politicul, </w:t>
      </w:r>
      <w:r>
        <w:t xml:space="preserve">cu stru</w:t>
      </w:r>
      <w:r>
        <w:t xml:space="preserve">cturile sale naturale teologice,</w:t>
      </w:r>
      <w:r>
        <w:t xml:space="preserve"> </w:t>
      </w:r>
      <w:r>
        <w:t xml:space="preserve">invadează toate sferele vieţii </w:t>
      </w:r>
      <w:r>
        <w:t xml:space="preserve">sociale </w:t>
      </w:r>
      <w:r>
        <w:t xml:space="preserve">(adică este ubicuu, infiltrând şi potenţ</w:t>
      </w:r>
      <w:r>
        <w:t xml:space="preserve">â</w:t>
      </w:r>
      <w:r>
        <w:t xml:space="preserve">nd însăşi Biserica), </w:t>
      </w:r>
      <w:r>
        <w:t xml:space="preserve">cartea de faţă îşi propune să ia în considerare</w:t>
      </w:r>
      <w:r>
        <w:t xml:space="preserve"> </w:t>
      </w:r>
      <w:r>
        <w:t xml:space="preserve">valenţe</w:t>
      </w:r>
      <w:r>
        <w:t xml:space="preserve">le</w:t>
      </w:r>
      <w:r>
        <w:t xml:space="preserve"> specifice ale teologiei</w:t>
      </w:r>
      <w:r>
        <w:t xml:space="preserve"> Noului Testament în raport cu teologia politică,</w:t>
      </w:r>
      <w:r>
        <w:t xml:space="preserve"> </w:t>
      </w:r>
      <w:r>
        <w:t xml:space="preserve">având în vedere că</w:t>
      </w:r>
      <w:r>
        <w:t xml:space="preserve">, în mod istoric</w:t>
      </w:r>
      <w:r>
        <w:t xml:space="preserve">,</w:t>
      </w:r>
      <w:r>
        <w:t xml:space="preserve"> </w:t>
      </w:r>
      <w:r>
        <w:t xml:space="preserve">s-ar părea </w:t>
      </w:r>
      <w:r>
        <w:t xml:space="preserve">există cel puţin </w:t>
      </w:r>
      <w:r>
        <w:t xml:space="preserve">trei</w:t>
      </w:r>
      <w:r>
        <w:t xml:space="preserve"> direcţii din care </w:t>
      </w:r>
      <w:r>
        <w:t xml:space="preserve">teologia</w:t>
      </w:r>
      <w:r>
        <w:t xml:space="preserve"> </w:t>
      </w:r>
      <w:r>
        <w:t xml:space="preserve">politică </w:t>
      </w:r>
      <w:r>
        <w:t xml:space="preserve">ar trebui</w:t>
      </w:r>
      <w:r>
        <w:t xml:space="preserve"> reafirmată: </w:t>
      </w:r>
      <w:r>
        <w:t xml:space="preserve">din punct de vedere al gândirii de tip protestant şi evanghelic</w:t>
      </w:r>
      <w:r>
        <w:t xml:space="preserve"> (caracter central al credinţei; caracter angajat al iniţiativei individuale; accentul etic – moral; </w:t>
      </w:r>
      <w:r>
        <w:t xml:space="preserve">centrarea idealistă pe valorile creştinismului primar, orientarea pe finalitatea lumii, apocaliptică, şi pe transfigurarea cerului şi a pământului)</w:t>
      </w:r>
      <w:r>
        <w:t xml:space="preserve">, </w:t>
      </w:r>
      <w:r>
        <w:t xml:space="preserve">din punct de vedere al considerării nu doar a structurilor creştine ferme, inflexibile (de tip doctrină, putere de decizie, centralism monarhic), dar şi din punct de vedere al paradoxurilor esenţiale creştine (natură dublă a lui Hristos</w:t>
      </w:r>
      <w:r>
        <w:t xml:space="preserve"> - Mesia</w:t>
      </w:r>
      <w:r>
        <w:t xml:space="preserve">, </w:t>
      </w:r>
      <w:r>
        <w:t xml:space="preserve">ca </w:t>
      </w:r>
      <w:r>
        <w:t xml:space="preserve">om şi Dumnezeu;</w:t>
      </w:r>
      <w:r>
        <w:t xml:space="preserve"> modelul treimic în viaţa şi destinul umanităţii; </w:t>
      </w:r>
      <w:r>
        <w:t xml:space="preserve">caracterul temporal şi etern al vieţii umane; trăirea în trup şi trăirea în Duh; mântuirea la nivel individual dar şi la nivel comunitar etc.).</w:t>
      </w:r>
      <w:r>
        <w:t xml:space="preserve"> </w:t>
      </w:r>
      <w:r/>
    </w:p>
    <w:p>
      <w:pPr>
        <w:pStyle w:val="2227"/>
        <w:pBdr/>
        <w:spacing/>
        <w:ind/>
        <w:rPr/>
      </w:pPr>
      <w:r>
        <w:t xml:space="preserve">Pentru </w:t>
      </w:r>
      <w:r>
        <w:t xml:space="preserve">alcătuirea unei teologii politice</w:t>
      </w:r>
      <w:r>
        <w:t xml:space="preserve"> a </w:t>
      </w:r>
      <w:r>
        <w:t xml:space="preserve">Noului Testament, </w:t>
      </w:r>
      <w:r>
        <w:t xml:space="preserve">sursele majore</w:t>
      </w:r>
      <w:r>
        <w:t xml:space="preserve"> ar trebui să fie, desigur, Noul</w:t>
      </w:r>
      <w:r>
        <w:t xml:space="preserve"> Testament</w:t>
      </w:r>
      <w:r>
        <w:t xml:space="preserve">, precum</w:t>
      </w:r>
      <w:r>
        <w:t xml:space="preserve"> şi Vechiul Testament</w:t>
      </w:r>
      <w:r>
        <w:t xml:space="preserve">, ca sursă a multor idei şi imagini fundamentale</w:t>
      </w:r>
      <w:r>
        <w:t xml:space="preserve">. </w:t>
      </w:r>
      <w:r>
        <w:t xml:space="preserve">În general,</w:t>
      </w:r>
      <w:r>
        <w:t xml:space="preserve"> </w:t>
      </w:r>
      <w:r>
        <w:t xml:space="preserve">conturarea unei teologii politice a Noului Testament </w:t>
      </w:r>
      <w:r>
        <w:t xml:space="preserve">trebuie</w:t>
      </w:r>
      <w:r>
        <w:t xml:space="preserve"> să ia </w:t>
      </w:r>
      <w:r>
        <w:t xml:space="preserve">în seamă </w:t>
      </w:r>
      <w:r>
        <w:t xml:space="preserve">revela</w:t>
      </w:r>
      <w:r>
        <w:t xml:space="preserve">rea </w:t>
      </w:r>
      <w:r>
        <w:t xml:space="preserve">fiinţei divine</w:t>
      </w:r>
      <w:r>
        <w:t xml:space="preserve"> </w:t>
      </w:r>
      <w:r>
        <w:t xml:space="preserve">în istorie (observabilă în Biblie, dar şi în istoria seculară</w:t>
      </w:r>
      <w:r>
        <w:t xml:space="preserve">)</w:t>
      </w:r>
      <w:r>
        <w:t xml:space="preserve">,</w:t>
      </w:r>
      <w:r>
        <w:t xml:space="preserve"> </w:t>
      </w:r>
      <w:r>
        <w:t xml:space="preserve">evidenţierea mecanismelor</w:t>
      </w:r>
      <w:r>
        <w:t xml:space="preserve"> observabile ale societăţii omeneşti, </w:t>
      </w:r>
      <w:r>
        <w:t xml:space="preserve">studiul psihologiei </w:t>
      </w:r>
      <w:r>
        <w:t xml:space="preserve">umane (a</w:t>
      </w:r>
      <w:r>
        <w:t xml:space="preserve">l</w:t>
      </w:r>
      <w:r>
        <w:t xml:space="preserve"> predispoziţiilor</w:t>
      </w:r>
      <w:r>
        <w:t xml:space="preserve"> şi </w:t>
      </w:r>
      <w:r>
        <w:t xml:space="preserve">a</w:t>
      </w:r>
      <w:r>
        <w:t xml:space="preserve">l</w:t>
      </w:r>
      <w:r>
        <w:t xml:space="preserve"> </w:t>
      </w:r>
      <w:r>
        <w:t xml:space="preserve">acţiu</w:t>
      </w:r>
      <w:r>
        <w:t xml:space="preserve">nilo</w:t>
      </w:r>
      <w:r>
        <w:t xml:space="preserve">r individuale şi colective), diversele</w:t>
      </w:r>
      <w:r>
        <w:t xml:space="preserve"> concepţii filosofice despre om şi societate.</w:t>
      </w:r>
      <w:r/>
    </w:p>
    <w:p>
      <w:pPr>
        <w:pStyle w:val="2227"/>
        <w:pBdr/>
        <w:spacing/>
        <w:ind/>
        <w:rPr/>
      </w:pPr>
      <w:r>
        <w:t xml:space="preserve">Biblia, ca p</w:t>
      </w:r>
      <w:r>
        <w:t xml:space="preserve">rim</w:t>
      </w:r>
      <w:r>
        <w:t xml:space="preserve">ă</w:t>
      </w:r>
      <w:r>
        <w:t xml:space="preserve"> </w:t>
      </w:r>
      <w:r>
        <w:t xml:space="preserve">sursă </w:t>
      </w:r>
      <w:r>
        <w:t xml:space="preserve">a teologiei politice</w:t>
      </w:r>
      <w:r>
        <w:t xml:space="preserve"> n</w:t>
      </w:r>
      <w:r>
        <w:t xml:space="preserve">u poate fi descrisă foarte bine</w:t>
      </w:r>
      <w:r>
        <w:t xml:space="preserve"> din punct de</w:t>
      </w:r>
      <w:r>
        <w:t xml:space="preserve"> vedere ştiinţific. Ea trebuie</w:t>
      </w:r>
      <w:r>
        <w:t xml:space="preserve"> luată în considerare</w:t>
      </w:r>
      <w:r>
        <w:t xml:space="preserve"> însă</w:t>
      </w:r>
      <w:r>
        <w:t xml:space="preserve">, cel puţin din punct de vedere </w:t>
      </w:r>
      <w:r>
        <w:t xml:space="preserve">al istoriei ideilor şi concepţiilor</w:t>
      </w:r>
      <w:r>
        <w:t xml:space="preserve">. </w:t>
      </w:r>
      <w:r>
        <w:t xml:space="preserve">Transferul de concepte dinspre Dumnezeu spre om, sau imaginarea de concepte politice şi teologice care îl implică pe Dumnezeu, implică însă un demers foarte complex, studierea teologiei trinitare, a concepţiilor despre</w:t>
      </w:r>
      <w:r>
        <w:t xml:space="preserve"> fiinţa şi prerogativele lui Dumnezeu</w:t>
      </w:r>
      <w:r>
        <w:rPr>
          <w:rStyle w:val="2248"/>
        </w:rPr>
        <w:footnoteReference w:id="15"/>
      </w:r>
      <w:r>
        <w:t xml:space="preserve">.</w:t>
      </w:r>
      <w:r>
        <w:t xml:space="preserve"> </w:t>
      </w:r>
      <w:r>
        <w:t xml:space="preserve">Fiinţa divină, în calitate </w:t>
      </w:r>
      <w:r>
        <w:t xml:space="preserve">de </w:t>
      </w:r>
      <w:r>
        <w:t xml:space="preserve">creator </w:t>
      </w:r>
      <w:r>
        <w:t xml:space="preserve">suprem </w:t>
      </w:r>
      <w:r>
        <w:t xml:space="preserve">şi suveran, este aceea care </w:t>
      </w:r>
      <w:r>
        <w:t xml:space="preserve">inspiră </w:t>
      </w:r>
      <w:r>
        <w:t xml:space="preserve">orice </w:t>
      </w:r>
      <w:r>
        <w:t xml:space="preserve">principii</w:t>
      </w:r>
      <w:r>
        <w:t xml:space="preserve"> pozitive, orice valoare.</w:t>
      </w:r>
      <w:r>
        <w:t xml:space="preserve"> Dumnezeu, în teologia biblică, stă la</w:t>
      </w:r>
      <w:r>
        <w:t xml:space="preserve"> </w:t>
      </w:r>
      <w:r>
        <w:t xml:space="preserve">originea </w:t>
      </w:r>
      <w:r>
        <w:t xml:space="preserve">demersului raţional</w:t>
      </w:r>
      <w:r>
        <w:t xml:space="preserve"> şi </w:t>
      </w:r>
      <w:r>
        <w:t xml:space="preserve">la originea valori</w:t>
      </w:r>
      <w:r>
        <w:t xml:space="preserve">lor</w:t>
      </w:r>
      <w:r>
        <w:t xml:space="preserve"> etice</w:t>
      </w:r>
      <w:r>
        <w:t xml:space="preserve">,</w:t>
      </w:r>
      <w:r>
        <w:t xml:space="preserve"> ale sfinţeniei şi dreptăţii</w:t>
      </w:r>
      <w:r>
        <w:t xml:space="preserve">.</w:t>
      </w:r>
      <w:r>
        <w:t xml:space="preserve"> </w:t>
      </w:r>
      <w:r>
        <w:t xml:space="preserve">Apoi, </w:t>
      </w:r>
      <w:r>
        <w:t xml:space="preserve">Dumnezeu însuşi este </w:t>
      </w:r>
      <w:r>
        <w:t xml:space="preserve">o </w:t>
      </w:r>
      <w:r>
        <w:t xml:space="preserve">fiinţă socială, în trinitatea</w:t>
      </w:r>
      <w:r>
        <w:t xml:space="preserve"> F</w:t>
      </w:r>
      <w:r>
        <w:t xml:space="preserve">iinţei sale, iar i</w:t>
      </w:r>
      <w:r>
        <w:t xml:space="preserve">erarhiile, conducerile, viaţa în comunitate a fiinţelor create </w:t>
      </w:r>
      <w:r>
        <w:t xml:space="preserve">de el (mai ales dacă este vorba despre om, creat după chipul şi asemănarea lui Dumnezeu), trebuie că </w:t>
      </w:r>
      <w:r>
        <w:t xml:space="preserve">reflectă, într-un fel, rânduiala şi armonia</w:t>
      </w:r>
      <w:r>
        <w:t xml:space="preserve"> existente veşnic</w:t>
      </w:r>
      <w:r>
        <w:t xml:space="preserve"> în</w:t>
      </w:r>
      <w:r>
        <w:t xml:space="preserve"> interiorul Sfintei Treimi.</w:t>
      </w:r>
      <w:r/>
    </w:p>
    <w:p>
      <w:pPr>
        <w:pStyle w:val="2227"/>
        <w:pBdr/>
        <w:spacing/>
        <w:ind/>
        <w:rPr/>
      </w:pPr>
      <w:r>
        <w:t xml:space="preserve">În al doilea rând,</w:t>
      </w:r>
      <w:r>
        <w:t xml:space="preserve"> </w:t>
      </w:r>
      <w:r>
        <w:t xml:space="preserve">o sursă </w:t>
      </w:r>
      <w:r>
        <w:t xml:space="preserve">majoră </w:t>
      </w:r>
      <w:r>
        <w:t xml:space="preserve">a</w:t>
      </w:r>
      <w:r>
        <w:t xml:space="preserve"> gândirii teologice politice</w:t>
      </w:r>
      <w:r>
        <w:t xml:space="preserve"> se află în </w:t>
      </w:r>
      <w:r>
        <w:t xml:space="preserve">societatea omenească</w:t>
      </w:r>
      <w:r>
        <w:t xml:space="preserve"> însăşi</w:t>
      </w:r>
      <w:r>
        <w:t xml:space="preserve">, </w:t>
      </w:r>
      <w:r>
        <w:t xml:space="preserve">în </w:t>
      </w:r>
      <w:r>
        <w:t xml:space="preserve">evaluarea organizării </w:t>
      </w:r>
      <w:r>
        <w:t xml:space="preserve">sociale şi politice </w:t>
      </w:r>
      <w:r>
        <w:t xml:space="preserve">ale comunităţilor umane</w:t>
      </w:r>
      <w:r>
        <w:t xml:space="preserve"> (</w:t>
      </w:r>
      <w:r>
        <w:t xml:space="preserve">comunităţi, </w:t>
      </w:r>
      <w:r>
        <w:t xml:space="preserve">etnii, popoare, imperii)</w:t>
      </w:r>
      <w:r>
        <w:t xml:space="preserve">, în </w:t>
      </w:r>
      <w:r>
        <w:t xml:space="preserve">instinctele pe care le manifestă </w:t>
      </w:r>
      <w:r>
        <w:t xml:space="preserve">acestea </w:t>
      </w:r>
      <w:r>
        <w:t xml:space="preserve">şi în istoria pe care o </w:t>
      </w:r>
      <w:r>
        <w:t xml:space="preserve">făuresc şi o consemnează în scris</w:t>
      </w:r>
      <w:r>
        <w:t xml:space="preserve">. </w:t>
      </w:r>
      <w:r>
        <w:t xml:space="preserve">Teologia politică </w:t>
      </w:r>
      <w:r>
        <w:t xml:space="preserve">funcţionează la nivelul valorificării tradiţiilor, percepţiilor, experienţelor pe care le-au avut şi le au comunităţile omeneşti</w:t>
      </w:r>
      <w:r>
        <w:t xml:space="preserve">, informate de cunoaşterea mesajului biblic</w:t>
      </w:r>
      <w:r>
        <w:t xml:space="preserve">.</w:t>
      </w:r>
      <w:r>
        <w:t xml:space="preserve"> </w:t>
      </w:r>
      <w:r/>
    </w:p>
    <w:p>
      <w:pPr>
        <w:pStyle w:val="2227"/>
        <w:pBdr/>
        <w:spacing/>
        <w:ind/>
        <w:rPr/>
      </w:pPr>
      <w:r>
        <w:t xml:space="preserve">În al</w:t>
      </w:r>
      <w:r>
        <w:t xml:space="preserve"> tre</w:t>
      </w:r>
      <w:r>
        <w:t xml:space="preserve">ilea rând, </w:t>
      </w:r>
      <w:r>
        <w:t xml:space="preserve">una dintre sursele</w:t>
      </w:r>
      <w:r>
        <w:t xml:space="preserve"> </w:t>
      </w:r>
      <w:r>
        <w:t xml:space="preserve">importante</w:t>
      </w:r>
      <w:r>
        <w:t xml:space="preserve"> a</w:t>
      </w:r>
      <w:r>
        <w:t xml:space="preserve">le</w:t>
      </w:r>
      <w:r>
        <w:t xml:space="preserve"> </w:t>
      </w:r>
      <w:r>
        <w:t xml:space="preserve">teologiei politice este chiar individul uman, </w:t>
      </w:r>
      <w:r>
        <w:t xml:space="preserve">ca atare, </w:t>
      </w:r>
      <w:r>
        <w:t xml:space="preserve">cu reflecţ</w:t>
      </w:r>
      <w:r>
        <w:t xml:space="preserve">iile şi deciziile sale</w:t>
      </w:r>
      <w:r>
        <w:t xml:space="preserve">, </w:t>
      </w:r>
      <w:r>
        <w:t xml:space="preserve">în singularitatea şi capacitatea sa </w:t>
      </w:r>
      <w:r>
        <w:t xml:space="preserve">proprie </w:t>
      </w:r>
      <w:r>
        <w:t xml:space="preserve">de analiză şi creaţie. Într-un </w:t>
      </w:r>
      <w:r>
        <w:t xml:space="preserve">anume </w:t>
      </w:r>
      <w:r>
        <w:t xml:space="preserve">fel, ace</w:t>
      </w:r>
      <w:r>
        <w:t xml:space="preserve">astă a treia sursă </w:t>
      </w:r>
      <w:r>
        <w:t xml:space="preserve">are elemente din cea </w:t>
      </w:r>
      <w:r>
        <w:t xml:space="preserve">dintâi </w:t>
      </w:r>
      <w:r>
        <w:t xml:space="preserve">resursă</w:t>
      </w:r>
      <w:r>
        <w:t xml:space="preserve"> a teologiei politice, </w:t>
      </w:r>
      <w:r>
        <w:t xml:space="preserve">din valorile divine, deoarece </w:t>
      </w:r>
      <w:r>
        <w:t xml:space="preserve">omul </w:t>
      </w:r>
      <w:r>
        <w:t xml:space="preserve">este</w:t>
      </w:r>
      <w:r>
        <w:t xml:space="preserve"> o reflectare </w:t>
      </w:r>
      <w:r>
        <w:t xml:space="preserve">a fiinţei divine, </w:t>
      </w:r>
      <w:r>
        <w:t xml:space="preserve">fiind </w:t>
      </w:r>
      <w:r>
        <w:t xml:space="preserve">creat</w:t>
      </w:r>
      <w:r>
        <w:t xml:space="preserve"> </w:t>
      </w:r>
      <w:r>
        <w:t xml:space="preserve">după </w:t>
      </w:r>
      <w:r>
        <w:t xml:space="preserve">ch</w:t>
      </w:r>
      <w:r>
        <w:t xml:space="preserve">ipul şi asemănarea lui Dumnezeu</w:t>
      </w:r>
      <w:r>
        <w:t xml:space="preserve"> (creativitate, moralitate, iniţiativă, ordine, voinţă, sentimente, </w:t>
      </w:r>
      <w:r>
        <w:t xml:space="preserve">capacitate de a se raporta social, de a construi comunitate spirituală, </w:t>
      </w:r>
      <w:r>
        <w:t xml:space="preserve">etc.)</w:t>
      </w:r>
      <w:r>
        <w:t xml:space="preserve">.</w:t>
      </w:r>
      <w:r/>
    </w:p>
    <w:p>
      <w:pPr>
        <w:pStyle w:val="2227"/>
        <w:pBdr/>
        <w:spacing/>
        <w:ind/>
        <w:rPr/>
      </w:pPr>
      <w:r>
        <w:t xml:space="preserve">Pe lângă acestea, </w:t>
      </w:r>
      <w:r>
        <w:t xml:space="preserve">unul din motivele</w:t>
      </w:r>
      <w:r>
        <w:t xml:space="preserve"> care au contribuit la</w:t>
      </w:r>
      <w:r>
        <w:t xml:space="preserve"> demararea studiului teologiei politice </w:t>
      </w:r>
      <w:r>
        <w:t xml:space="preserve">a fost </w:t>
      </w:r>
      <w:r>
        <w:t xml:space="preserve">şi </w:t>
      </w:r>
      <w:r>
        <w:t xml:space="preserve">dorinţa de a sistematiza filosofia iudeo-creştină a istoriei (divinitatea este interesată, în Biblie, de reguli pentru conducători şi comunităţi, pentru indivizi şi popoare</w:t>
      </w:r>
      <w:r>
        <w:t xml:space="preserve">; Iahv</w:t>
      </w:r>
      <w:r>
        <w:t xml:space="preserve">eh este descris ca împărat, Mesia – este liderul eficient profeţit, care poate fi preot sau rege sau profet, sau toate împreună). În Biblie</w:t>
      </w:r>
      <w:r>
        <w:t xml:space="preserve">,</w:t>
      </w:r>
      <w:r>
        <w:t xml:space="preserve"> Dumnezeu, care se delimitează adesea de organizarea şi viaţa politică a unei ţări, în particular </w:t>
      </w:r>
      <w:r>
        <w:t xml:space="preserve">de Israel în momentele acestuia</w:t>
      </w:r>
      <w:r>
        <w:t xml:space="preserve"> de apostazie – dar </w:t>
      </w:r>
      <w:r>
        <w:t xml:space="preserve">şi de popoarele răzvrătite şi păgâne,</w:t>
      </w:r>
      <w:r>
        <w:t xml:space="preserve"> continuă să rămână, totuşi, u</w:t>
      </w:r>
      <w:r>
        <w:t xml:space="preserve">n Dumnezeu al poporului său ales, precum şi</w:t>
      </w:r>
      <w:r>
        <w:t xml:space="preserve"> Dumneze</w:t>
      </w:r>
      <w:r>
        <w:t xml:space="preserve">u</w:t>
      </w:r>
      <w:r>
        <w:t xml:space="preserve"> a</w:t>
      </w:r>
      <w:r>
        <w:t xml:space="preserve">l omenirii sale</w:t>
      </w:r>
      <w:r>
        <w:t xml:space="preserve"> create</w:t>
      </w:r>
      <w:r>
        <w:t xml:space="preserve">: El se dezice adesea de conducători</w:t>
      </w:r>
      <w:r>
        <w:t xml:space="preserve">i necredincioşi</w:t>
      </w:r>
      <w:r>
        <w:t xml:space="preserve"> şi de abuzurile lor, </w:t>
      </w:r>
      <w:r>
        <w:t xml:space="preserve">de liderii nedrepţi şi </w:t>
      </w:r>
      <w:r>
        <w:t xml:space="preserve">de lipsa lor de credinţă </w:t>
      </w:r>
      <w:r>
        <w:t xml:space="preserve">şi ascultare</w:t>
      </w:r>
      <w:r>
        <w:t xml:space="preserve">, dar El însuşi rămâne dedicat poporului pe care l-a ales, credincioşilor săi – în mod individual, </w:t>
      </w:r>
      <w:r>
        <w:t xml:space="preserve">şi </w:t>
      </w:r>
      <w:r>
        <w:t xml:space="preserve">chiar omenirii, </w:t>
      </w:r>
      <w:r>
        <w:t xml:space="preserve">în ansamblu, în calitate de creaţie a sa,</w:t>
      </w:r>
      <w:r>
        <w:t xml:space="preserve"> prin planurile sale şi prin cuvintele sale</w:t>
      </w:r>
      <w:r>
        <w:t xml:space="preserve"> de mustrare, dar şi de mântuire</w:t>
      </w:r>
      <w:r>
        <w:t xml:space="preserve">, prin legămintele sale. Dumnezeul biblic rămâne, aşadar, un Dumnezeu care continuă să intervină activ în vederea mântuirii rasei umane, în vederea reconstruirii (transfigurării) finale a universului, un Dumnezeu care în timp ce există în eternitate,</w:t>
      </w:r>
      <w:r>
        <w:t xml:space="preserve"> dincolo de timp,</w:t>
      </w:r>
      <w:r>
        <w:t xml:space="preserve"> intervine în istorie pentru restaurarea universului</w:t>
      </w:r>
      <w:r>
        <w:t xml:space="preserve"> creat</w:t>
      </w:r>
      <w:r>
        <w:t xml:space="preserve">.</w:t>
      </w:r>
      <w:r/>
    </w:p>
    <w:p>
      <w:pPr>
        <w:pStyle w:val="2227"/>
        <w:pBdr/>
        <w:spacing/>
        <w:ind/>
        <w:rPr/>
      </w:pPr>
      <w:r>
        <w:t xml:space="preserve">În ce priveşte </w:t>
      </w:r>
      <w:r>
        <w:t xml:space="preserve">formatul </w:t>
      </w:r>
      <w:r>
        <w:t xml:space="preserve">şi limbajul adoptat de </w:t>
      </w:r>
      <w:r>
        <w:t xml:space="preserve">studiile de </w:t>
      </w:r>
      <w:r>
        <w:t xml:space="preserve">teolog</w:t>
      </w:r>
      <w:r>
        <w:t xml:space="preserve">ie</w:t>
      </w:r>
      <w:r>
        <w:t xml:space="preserve"> politică, </w:t>
      </w:r>
      <w:r>
        <w:t xml:space="preserve">se poate observa că </w:t>
      </w:r>
      <w:r>
        <w:t xml:space="preserve">mulţi </w:t>
      </w:r>
      <w:r>
        <w:t xml:space="preserve">autori</w:t>
      </w:r>
      <w:r>
        <w:t xml:space="preserve"> au adoptat un limbaj juridic, fiind ei înşişi de formaţie juridică. Astfel, aceştia au fost atraşi în mod natural să</w:t>
      </w:r>
      <w:r>
        <w:t xml:space="preserve"> discute </w:t>
      </w:r>
      <w:r>
        <w:t xml:space="preserve">relaţia dintre</w:t>
      </w:r>
      <w:r>
        <w:t xml:space="preserve"> sistem</w:t>
      </w:r>
      <w:r>
        <w:t xml:space="preserve">el</w:t>
      </w:r>
      <w:r>
        <w:t xml:space="preserve">e juridice şi cele teologice ori</w:t>
      </w:r>
      <w:r>
        <w:t xml:space="preserve"> politice</w:t>
      </w:r>
      <w:r>
        <w:t xml:space="preserve">, să folosea</w:t>
      </w:r>
      <w:r>
        <w:t xml:space="preserve">scă </w:t>
      </w:r>
      <w:r>
        <w:t xml:space="preserve">„ordini” </w:t>
      </w:r>
      <w:r>
        <w:t xml:space="preserve">(structuri, concepte</w:t>
      </w:r>
      <w:r>
        <w:t xml:space="preserve">, tipuri de clasificări, evaluări</w:t>
      </w:r>
      <w:r>
        <w:t xml:space="preserve">) </w:t>
      </w:r>
      <w:r>
        <w:t xml:space="preserve">or</w:t>
      </w:r>
      <w:r>
        <w:t xml:space="preserve">i</w:t>
      </w:r>
      <w:r>
        <w:t xml:space="preserve"> principii filosofice asemănătoare</w:t>
      </w:r>
      <w:r>
        <w:rPr>
          <w:rStyle w:val="2248"/>
        </w:rPr>
        <w:footnoteReference w:id="16"/>
      </w:r>
      <w:r>
        <w:t xml:space="preserve">.</w:t>
      </w:r>
      <w:r>
        <w:t xml:space="preserve"> </w:t>
      </w:r>
      <w:r>
        <w:t xml:space="preserve">Ideea acestei relaţii a fost sugerată mai întâi de G. </w:t>
      </w:r>
      <w:r>
        <w:t xml:space="preserve">W. </w:t>
      </w:r>
      <w:r>
        <w:t xml:space="preserve">Leibniz, care considera că ştiinţele juridice şi teologia (</w:t>
      </w:r>
      <w:r>
        <w:t xml:space="preserve">la autorii de mai târziu</w:t>
      </w:r>
      <w:r>
        <w:t xml:space="preserve">, politica şi teologia) sunt apropiate ca organizare şi valori, </w:t>
      </w:r>
      <w:r>
        <w:t xml:space="preserve">dar sunt diferite</w:t>
      </w:r>
      <w:r>
        <w:t xml:space="preserve">, respectiv, de ştiinţele exacte, cum </w:t>
      </w:r>
      <w:r>
        <w:t xml:space="preserve">sunt</w:t>
      </w:r>
      <w:r>
        <w:t xml:space="preserve"> matematica</w:t>
      </w:r>
      <w:r>
        <w:t xml:space="preserve">, fizica</w:t>
      </w:r>
      <w:r>
        <w:t xml:space="preserve">, sau de cele practice, c</w:t>
      </w:r>
      <w:r>
        <w:t xml:space="preserve">um este medicina</w:t>
      </w:r>
      <w:r>
        <w:rPr>
          <w:rStyle w:val="2248"/>
        </w:rPr>
        <w:footnoteReference w:id="17"/>
      </w:r>
      <w:r>
        <w:t xml:space="preserve">.</w:t>
      </w:r>
      <w:r/>
    </w:p>
    <w:p>
      <w:pPr>
        <w:pStyle w:val="2227"/>
        <w:pBdr/>
        <w:spacing/>
        <w:ind/>
        <w:rPr/>
      </w:pPr>
      <w:r>
        <w:t xml:space="preserve">De asemeni, </w:t>
      </w:r>
      <w:r>
        <w:t xml:space="preserve">se poate observă fapul că un număr de gânditori</w:t>
      </w:r>
      <w:r>
        <w:t xml:space="preserve"> remarcabili în</w:t>
      </w:r>
      <w:r>
        <w:t xml:space="preserve"> domeniul teologiei politice</w:t>
      </w:r>
      <w:r>
        <w:t xml:space="preserve"> vin din comunitatea r</w:t>
      </w:r>
      <w:r>
        <w:t xml:space="preserve">omano-catolică</w:t>
      </w:r>
      <w:r>
        <w:t xml:space="preserve">:</w:t>
      </w:r>
      <w:r>
        <w:t xml:space="preserve"> </w:t>
      </w:r>
      <w:r>
        <w:t xml:space="preserve">Joseph de Maistre; </w:t>
      </w:r>
      <w:r>
        <w:t xml:space="preserve">Jean-Jacques Rousseau; </w:t>
      </w:r>
      <w:r>
        <w:t xml:space="preserve">Carl Schmitt</w:t>
      </w:r>
      <w:r>
        <w:t xml:space="preserve">; Johann Baptist Metz; </w:t>
      </w:r>
      <w:r>
        <w:t xml:space="preserve">A. Agamben; </w:t>
      </w:r>
      <w:r>
        <w:t xml:space="preserve">Johann Baptist Assmann</w:t>
      </w:r>
      <w:r>
        <w:t xml:space="preserve"> (a</w:t>
      </w:r>
      <w:r>
        <w:t xml:space="preserve">ceastă observaţie nu implică faptul că nu există autori de aceeaşi valoare, de </w:t>
      </w:r>
      <w:r>
        <w:t xml:space="preserve">o </w:t>
      </w:r>
      <w:r>
        <w:t xml:space="preserve">altă formaţie sau confesiune </w:t>
      </w:r>
      <w:r>
        <w:t xml:space="preserve">religioasă: de exemplu, </w:t>
      </w:r>
      <w:r>
        <w:t xml:space="preserve">protestanţi</w:t>
      </w:r>
      <w:r>
        <w:t xml:space="preserve">: </w:t>
      </w:r>
      <w:r>
        <w:t xml:space="preserve">Gottfried W</w:t>
      </w:r>
      <w:r>
        <w:t xml:space="preserve">.</w:t>
      </w:r>
      <w:r>
        <w:t xml:space="preserve"> Leibniz, </w:t>
      </w:r>
      <w:r>
        <w:t xml:space="preserve">Max Weber, </w:t>
      </w:r>
      <w:r>
        <w:t xml:space="preserve">Jürgen Moltmann</w:t>
      </w:r>
      <w:r>
        <w:t xml:space="preserve">; </w:t>
      </w:r>
      <w:r>
        <w:t xml:space="preserve">sau </w:t>
      </w:r>
      <w:r>
        <w:t xml:space="preserve">evrei</w:t>
      </w:r>
      <w:r>
        <w:t xml:space="preserve">:</w:t>
      </w:r>
      <w:r>
        <w:t xml:space="preserve"> </w:t>
      </w:r>
      <w:r>
        <w:t xml:space="preserve">Hans Kelsen</w:t>
      </w:r>
      <w:r>
        <w:t xml:space="preserve">, etc.</w:t>
      </w:r>
      <w:r>
        <w:t xml:space="preserve">)</w:t>
      </w:r>
      <w:r>
        <w:rPr>
          <w:rStyle w:val="2248"/>
        </w:rPr>
        <w:footnoteReference w:id="18"/>
      </w:r>
      <w:r>
        <w:t xml:space="preserve">. </w:t>
      </w:r>
      <w:r/>
    </w:p>
    <w:p>
      <w:pPr>
        <w:pStyle w:val="2227"/>
        <w:pBdr/>
        <w:spacing/>
        <w:ind/>
        <w:rPr/>
      </w:pPr>
      <w:r>
        <w:t xml:space="preserve">Privitor la relaţia între Biserică şi teologia politică, </w:t>
      </w:r>
      <w:r>
        <w:t xml:space="preserve">sau dintre teologie şi politică, </w:t>
      </w:r>
      <w:r>
        <w:t xml:space="preserve">nu se poate lăsa deoparte citatul celebru al lui </w:t>
      </w:r>
      <w:r>
        <w:t xml:space="preserve">C. Schmitt</w:t>
      </w:r>
      <w:r>
        <w:t xml:space="preserve">, care afirma îndrăzneţ o legătură strânsă între cele două</w:t>
      </w:r>
      <w:r>
        <w:t xml:space="preserve">:</w:t>
      </w:r>
      <w:r>
        <w:t xml:space="preserve"> </w:t>
      </w:r>
      <w:r/>
    </w:p>
    <w:p>
      <w:pPr>
        <w:pStyle w:val="2227"/>
        <w:pBdr/>
        <w:spacing/>
        <w:ind/>
        <w:rPr/>
      </w:pPr>
      <w:r/>
      <w:r/>
    </w:p>
    <w:p>
      <w:pPr>
        <w:pStyle w:val="2316"/>
        <w:pBdr/>
        <w:spacing/>
        <w:ind/>
        <w:rPr/>
      </w:pPr>
      <w:r>
        <w:t xml:space="preserve">Toate conceptele semnificative ale teoriei moderne a statului sunt concepte secularizate nu doar din cauza dezvoltării lor istorice – în cursul căreia au fost transferate din teologie la teoria statului, prin care, de exemplu, </w:t>
      </w:r>
      <w:r>
        <w:t xml:space="preserve">locul lui </w:t>
      </w:r>
      <w:r>
        <w:t xml:space="preserve">Dumnezeu cel atotputernic </w:t>
      </w:r>
      <w:r>
        <w:t xml:space="preserve">este luat</w:t>
      </w:r>
      <w:r>
        <w:t xml:space="preserve"> </w:t>
      </w:r>
      <w:r>
        <w:t xml:space="preserve">de </w:t>
      </w:r>
      <w:r>
        <w:t xml:space="preserve">legislatorul cel atotputernic – dar şi din cauza structurii lor sistematice, a cărei recunoaştere este necesară din perspectiva înţelegerii sociologice a acestor aspecte</w:t>
      </w:r>
      <w:r>
        <w:t xml:space="preserve">.</w:t>
      </w:r>
      <w:r>
        <w:rPr>
          <w:rStyle w:val="2248"/>
        </w:rPr>
        <w:footnoteReference w:id="19"/>
      </w:r>
      <w:r/>
    </w:p>
    <w:p>
      <w:pPr>
        <w:pStyle w:val="2227"/>
        <w:pBdr/>
        <w:spacing/>
        <w:ind/>
        <w:rPr/>
      </w:pPr>
      <w:r/>
      <w:r/>
    </w:p>
    <w:p>
      <w:pPr>
        <w:pStyle w:val="2227"/>
        <w:pBdr/>
        <w:spacing/>
        <w:ind/>
        <w:rPr/>
      </w:pPr>
      <w:r>
        <w:t xml:space="preserve">În </w:t>
      </w:r>
      <w:r>
        <w:t xml:space="preserve">acest </w:t>
      </w:r>
      <w:r>
        <w:t xml:space="preserve">sens clasic (d</w:t>
      </w:r>
      <w:r>
        <w:t xml:space="preserve">enumit de unii </w:t>
      </w:r>
      <w:r>
        <w:t xml:space="preserve">„sens vechi”</w:t>
      </w:r>
      <w:r>
        <w:t xml:space="preserve"> al teologiei politice</w:t>
      </w:r>
      <w:r>
        <w:t xml:space="preserve">), </w:t>
      </w:r>
      <w:r>
        <w:t xml:space="preserve">teologia politică s-ar ocupa, </w:t>
      </w:r>
      <w:r>
        <w:t xml:space="preserve">aşadar,</w:t>
      </w:r>
      <w:r>
        <w:t xml:space="preserve"> de paralelismul </w:t>
      </w:r>
      <w:r>
        <w:t xml:space="preserve">dintre viaţa </w:t>
      </w:r>
      <w:r>
        <w:t xml:space="preserve">politică (</w:t>
      </w:r>
      <w:r>
        <w:t xml:space="preserve">de </w:t>
      </w:r>
      <w:r>
        <w:t xml:space="preserve">stat) şi </w:t>
      </w:r>
      <w:r>
        <w:t xml:space="preserve">cugetarea teologică</w:t>
      </w:r>
      <w:r>
        <w:t xml:space="preserve">, adică </w:t>
      </w:r>
      <w:r>
        <w:t xml:space="preserve">de paralelismul dintre</w:t>
      </w:r>
      <w:r>
        <w:t xml:space="preserve"> politică şi </w:t>
      </w:r>
      <w:r>
        <w:t xml:space="preserve">viaţa Bisericii</w:t>
      </w:r>
      <w:r>
        <w:t xml:space="preserve"> (</w:t>
      </w:r>
      <w:r>
        <w:t xml:space="preserve">problematica include subiecte clasic</w:t>
      </w:r>
      <w:r>
        <w:t xml:space="preserve">e</w:t>
      </w:r>
      <w:r>
        <w:t xml:space="preserve">, cum ar fi relaţia dintre </w:t>
      </w:r>
      <w:r>
        <w:rPr>
          <w:i/>
          <w:iCs/>
        </w:rPr>
        <w:t xml:space="preserve">auctoritas</w:t>
      </w:r>
      <w:r>
        <w:t xml:space="preserve"> </w:t>
      </w:r>
      <w:r>
        <w:t xml:space="preserve">şi</w:t>
      </w:r>
      <w:r>
        <w:t xml:space="preserve"> </w:t>
      </w:r>
      <w:r>
        <w:rPr>
          <w:i/>
          <w:iCs/>
        </w:rPr>
        <w:t xml:space="preserve">potestas</w:t>
      </w:r>
      <w:r>
        <w:t xml:space="preserve">, între</w:t>
      </w:r>
      <w:r>
        <w:t xml:space="preserve"> </w:t>
      </w:r>
      <w:r>
        <w:rPr>
          <w:i/>
          <w:iCs/>
        </w:rPr>
        <w:t xml:space="preserve">regnum</w:t>
      </w:r>
      <w:r>
        <w:t xml:space="preserve"> </w:t>
      </w:r>
      <w:r>
        <w:t xml:space="preserve">şi</w:t>
      </w:r>
      <w:r>
        <w:t xml:space="preserve"> </w:t>
      </w:r>
      <w:r>
        <w:rPr>
          <w:i/>
          <w:iCs/>
        </w:rPr>
        <w:t xml:space="preserve">gubernaculum</w:t>
      </w:r>
      <w:r>
        <w:t xml:space="preserve">, </w:t>
      </w:r>
      <w:r>
        <w:t xml:space="preserve">dintr-o perspectivă în care, </w:t>
      </w:r>
      <w:r>
        <w:t xml:space="preserve">în mod distinct</w:t>
      </w:r>
      <w:r>
        <w:t xml:space="preserve">,</w:t>
      </w:r>
      <w:r>
        <w:t xml:space="preserve"> referinţa religioasă joacă un rol major</w:t>
      </w:r>
      <w:r>
        <w:t xml:space="preserve">, fără ca prin aceasta să fie excluse şi alte puncte de vedere, cum ar fi, de exemplu, cel economic</w:t>
      </w:r>
      <w:r>
        <w:rPr>
          <w:rFonts w:ascii="EJIFGH+TimesNewRoman" w:hAnsi="EJIFGH+TimesNewRoman" w:cs="EJIFGH+TimesNewRoman"/>
          <w:color w:val="000000"/>
          <w:sz w:val="22"/>
          <w:szCs w:val="22"/>
        </w:rPr>
        <w:t xml:space="preserve">)</w:t>
      </w:r>
      <w:r>
        <w:t xml:space="preserve">.</w:t>
      </w:r>
      <w:r>
        <w:rPr>
          <w:vertAlign w:val="superscript"/>
        </w:rPr>
        <w:footnoteReference w:id="20"/>
      </w:r>
      <w:r>
        <w:t xml:space="preserve"> </w:t>
      </w:r>
      <w:r>
        <w:t xml:space="preserve">Pentru alţi autori</w:t>
      </w:r>
      <w:r>
        <w:t xml:space="preserve">, </w:t>
      </w:r>
      <w:r>
        <w:t xml:space="preserve">din perspectivă istorică, </w:t>
      </w:r>
      <w:r>
        <w:t xml:space="preserve">teologia politică </w:t>
      </w:r>
      <w:r>
        <w:t xml:space="preserve">a ajuns să se ocupe </w:t>
      </w:r>
      <w:r>
        <w:t xml:space="preserve">mai ales </w:t>
      </w:r>
      <w:r>
        <w:t xml:space="preserve">cu justificarea teologică a unui sistem politic.</w:t>
      </w:r>
      <w:r>
        <w:rPr>
          <w:vertAlign w:val="superscript"/>
        </w:rPr>
        <w:footnoteReference w:id="21"/>
      </w:r>
      <w:r>
        <w:t xml:space="preserve"> </w:t>
      </w:r>
      <w:r/>
    </w:p>
    <w:p>
      <w:pPr>
        <w:pStyle w:val="2227"/>
        <w:pBdr/>
        <w:spacing/>
        <w:ind/>
        <w:rPr/>
      </w:pPr>
      <w:r>
        <w:t xml:space="preserve">Aşa cum s-a amintit însă, î</w:t>
      </w:r>
      <w:r>
        <w:t xml:space="preserve">n a doua jumătate a secolu</w:t>
      </w:r>
      <w:r>
        <w:t xml:space="preserve">l</w:t>
      </w:r>
      <w:r>
        <w:t xml:space="preserve">ui 20, </w:t>
      </w:r>
      <w:r>
        <w:t xml:space="preserve">are loc o schimbare de paradigmă. G</w:t>
      </w:r>
      <w:r>
        <w:t xml:space="preserve">ânditori ca</w:t>
      </w:r>
      <w:r>
        <w:t xml:space="preserve"> J.B. Metz (</w:t>
      </w:r>
      <w:r>
        <w:t xml:space="preserve">discipol a</w:t>
      </w:r>
      <w:r>
        <w:t xml:space="preserve">l lui Karl</w:t>
      </w:r>
      <w:r>
        <w:t xml:space="preserve"> Rahner şi adept al „teologiei </w:t>
      </w:r>
      <w:r>
        <w:t xml:space="preserve">eliberării </w:t>
      </w:r>
      <w:r>
        <w:t xml:space="preserve">sociale”) şi Jürgen Moltmann au început să folosească </w:t>
      </w:r>
      <w:r>
        <w:t xml:space="preserve">în această perioadă </w:t>
      </w:r>
      <w:r>
        <w:t xml:space="preserve">terme</w:t>
      </w:r>
      <w:r>
        <w:t xml:space="preserve">nul de „nouă teologie politică” într-un mod nou, înţelegând</w:t>
      </w:r>
      <w:r>
        <w:t xml:space="preserve"> </w:t>
      </w:r>
      <w:r>
        <w:t xml:space="preserve">o teologie a vieţii politice prezente, </w:t>
      </w:r>
      <w:r>
        <w:t xml:space="preserve">o teologie </w:t>
      </w:r>
      <w:r>
        <w:t xml:space="preserve">aplicată, o teologie </w:t>
      </w:r>
      <w:r>
        <w:t xml:space="preserve">a libertăţilor şi demnităţii umane, o teologie </w:t>
      </w:r>
      <w:r>
        <w:t xml:space="preserve">post-idealistă şi post-iluministă</w:t>
      </w:r>
      <w:r>
        <w:t xml:space="preserve">, </w:t>
      </w:r>
      <w:r>
        <w:t xml:space="preserve">pre</w:t>
      </w:r>
      <w:r>
        <w:t xml:space="preserve">ocupată de concret şi detaliu, nu doar de macrostructuri sociale şi principii</w:t>
      </w:r>
      <w:r>
        <w:t xml:space="preserve">, </w:t>
      </w:r>
      <w:r>
        <w:t xml:space="preserve">o teologie politică </w:t>
      </w:r>
      <w:r>
        <w:t xml:space="preserve">ce </w:t>
      </w:r>
      <w:r>
        <w:t xml:space="preserve">nu transcende istoria, ci </w:t>
      </w:r>
      <w:r>
        <w:t xml:space="preserve">care </w:t>
      </w:r>
      <w:r>
        <w:t xml:space="preserve">se circumscrie acesteia</w:t>
      </w:r>
      <w:r>
        <w:t xml:space="preserve">.</w:t>
      </w:r>
      <w:r>
        <w:rPr>
          <w:vertAlign w:val="superscript"/>
        </w:rPr>
        <w:footnoteReference w:id="22"/>
      </w:r>
      <w:r>
        <w:t xml:space="preserve"> </w:t>
      </w:r>
      <w:r/>
    </w:p>
    <w:p>
      <w:pPr>
        <w:pStyle w:val="2227"/>
        <w:pBdr/>
        <w:spacing/>
        <w:ind/>
        <w:rPr>
          <w:rFonts w:ascii="Calibri" w:hAnsi="Calibri"/>
        </w:rPr>
      </w:pPr>
      <w:r>
        <w:t xml:space="preserve">În </w:t>
      </w:r>
      <w:r>
        <w:t xml:space="preserve">mod alternativ, </w:t>
      </w:r>
      <w:r>
        <w:t xml:space="preserve">p</w:t>
      </w:r>
      <w:r>
        <w:t xml:space="preserve">entru </w:t>
      </w:r>
      <w:r>
        <w:t xml:space="preserve">o altă categorie de </w:t>
      </w:r>
      <w:r>
        <w:t xml:space="preserve">autori</w:t>
      </w:r>
      <w:r>
        <w:t xml:space="preserve">,</w:t>
      </w:r>
      <w:r>
        <w:t xml:space="preserve"> creştinismul nu poate </w:t>
      </w:r>
      <w:r>
        <w:t xml:space="preserve">admite</w:t>
      </w:r>
      <w:r>
        <w:t xml:space="preserve">, ca atare, o</w:t>
      </w:r>
      <w:r>
        <w:t xml:space="preserve"> „teologie politică”, deoarece</w:t>
      </w:r>
      <w:r>
        <w:t xml:space="preserve"> interesul în viaţa cetăţii nu poate creea capitole noi în teologie, </w:t>
      </w:r>
      <w:r>
        <w:t xml:space="preserve">precum nici interesul teologic nu poate transfera adevărurile religioase în guvernare</w:t>
      </w:r>
      <w:r>
        <w:t xml:space="preserve">; </w:t>
      </w:r>
      <w:r>
        <w:t xml:space="preserve">de aceea, potrivit lor </w:t>
      </w:r>
      <w:r>
        <w:t xml:space="preserve">ar fi mai indicat să se vorbească </w:t>
      </w:r>
      <w:r>
        <w:t xml:space="preserve">despre o „metapolitică” teologică</w:t>
      </w:r>
      <w:r>
        <w:t xml:space="preserve">, decât de </w:t>
      </w:r>
      <w:r>
        <w:t xml:space="preserve">o „teologie politică”</w:t>
      </w:r>
      <w:r>
        <w:t xml:space="preserve">.</w:t>
      </w:r>
      <w:r>
        <w:rPr>
          <w:rStyle w:val="2248"/>
        </w:rPr>
        <w:footnoteReference w:id="23"/>
      </w:r>
      <w:r>
        <w:rPr>
          <w:rFonts w:ascii="Calibri" w:hAnsi="Calibri"/>
        </w:rPr>
      </w:r>
      <w:r>
        <w:rPr>
          <w:rFonts w:ascii="Calibri" w:hAnsi="Calibri"/>
        </w:rPr>
      </w:r>
    </w:p>
    <w:p>
      <w:pPr>
        <w:pStyle w:val="2227"/>
        <w:pBdr/>
        <w:spacing/>
        <w:ind/>
        <w:rPr/>
      </w:pPr>
      <w:r>
        <w:t xml:space="preserve">Înainte de intra în analiza propriu-zisă a teologiei politice a Noului Testament, </w:t>
      </w:r>
      <w:r>
        <w:t xml:space="preserve">adică a principiilor teologice pe care creştinii din primul secol se văd chemaţi să le aplice în g</w:t>
      </w:r>
      <w:r>
        <w:t xml:space="preserve">ândirea şi acţiunea lor socială şi</w:t>
      </w:r>
      <w:r>
        <w:t xml:space="preserve"> politică, </w:t>
      </w:r>
      <w:r>
        <w:t xml:space="preserve">ar </w:t>
      </w:r>
      <w:r>
        <w:t xml:space="preserve">merita discutat în ce măsură</w:t>
      </w:r>
      <w:r>
        <w:t xml:space="preserve"> valori</w:t>
      </w:r>
      <w:r>
        <w:t xml:space="preserve">le</w:t>
      </w:r>
      <w:r>
        <w:t xml:space="preserve"> politice şi teologice </w:t>
      </w:r>
      <w:r>
        <w:t xml:space="preserve">ale unui teolog – </w:t>
      </w:r>
      <w:r>
        <w:t xml:space="preserve">sau </w:t>
      </w:r>
      <w:r>
        <w:t xml:space="preserve">politician</w:t>
      </w:r>
      <w:r>
        <w:t xml:space="preserve">,</w:t>
      </w:r>
      <w:r>
        <w:t xml:space="preserve"> pot fi condiţionate</w:t>
      </w:r>
      <w:r>
        <w:t xml:space="preserve"> sau generate</w:t>
      </w:r>
      <w:r>
        <w:t xml:space="preserve">, într-o anumită măsură, de apartenenţa acestei persoane </w:t>
      </w:r>
      <w:r>
        <w:t xml:space="preserve">la teologia şi structurile Bisericii căreia îi aparţine</w:t>
      </w:r>
      <w:r>
        <w:t xml:space="preserve"> sau pe care o simpatizează.</w:t>
      </w:r>
      <w:r>
        <w:t xml:space="preserve"> De exemplu, </w:t>
      </w:r>
      <w:r>
        <w:t xml:space="preserve">e</w:t>
      </w:r>
      <w:r>
        <w:t xml:space="preserve">ste </w:t>
      </w:r>
      <w:r>
        <w:t xml:space="preserve">cumva</w:t>
      </w:r>
      <w:r>
        <w:t xml:space="preserve">, pentru un creştin Romano-catolic</w:t>
      </w:r>
      <w:r>
        <w:t xml:space="preserve">,</w:t>
      </w:r>
      <w:r>
        <w:t xml:space="preserve"> mai uşor să conceapă ideea unei conduceri centralizate,</w:t>
      </w:r>
      <w:r>
        <w:t xml:space="preserve"> </w:t>
      </w:r>
      <w:r>
        <w:t xml:space="preserve">poate chiar </w:t>
      </w:r>
      <w:r>
        <w:t xml:space="preserve">dictatura, </w:t>
      </w:r>
      <w:r>
        <w:t xml:space="preserve">ca urmare </w:t>
      </w:r>
      <w:r>
        <w:t xml:space="preserve">a faptului că accepptă o cunducere centralizată în cadrul Bisericii?</w:t>
      </w:r>
      <w:r>
        <w:t xml:space="preserve"> </w:t>
      </w:r>
      <w:r>
        <w:t xml:space="preserve">Este mai uşor, pentru o persoană din cadrul aceleeaşi </w:t>
      </w:r>
      <w:r>
        <w:t xml:space="preserve">tradiţii</w:t>
      </w:r>
      <w:r>
        <w:t xml:space="preserve">, </w:t>
      </w:r>
      <w:r>
        <w:t xml:space="preserve">să gândească o politică religioasă – bisericească </w:t>
      </w:r>
      <w:r>
        <w:t xml:space="preserve">favorabilă claselor exploatate, </w:t>
      </w:r>
      <w:r>
        <w:t xml:space="preserve">de tipul experimentului catolic în continentul sud-american prin care s-a încurajat mişcarea de eliberare socială?</w:t>
      </w:r>
      <w:r>
        <w:rPr>
          <w:rStyle w:val="2248"/>
        </w:rPr>
        <w:footnoteReference w:id="24"/>
      </w:r>
      <w:r>
        <w:t xml:space="preserve"> </w:t>
      </w:r>
      <w:r/>
    </w:p>
    <w:p>
      <w:pPr>
        <w:pStyle w:val="2227"/>
        <w:pBdr/>
        <w:spacing/>
        <w:ind/>
        <w:rPr/>
      </w:pPr>
      <w:r>
        <w:t xml:space="preserve">Ar putea fi, </w:t>
      </w:r>
      <w:r>
        <w:t xml:space="preserve">în continuare, </w:t>
      </w:r>
      <w:r>
        <w:t xml:space="preserve">mai uşor pentru un politician de tradiţie protestantă să înţeleagă sau să sprijine </w:t>
      </w:r>
      <w:r>
        <w:t xml:space="preserve">democraţia şi</w:t>
      </w:r>
      <w:r>
        <w:t xml:space="preserve"> federalismul</w:t>
      </w:r>
      <w:r>
        <w:t xml:space="preserve">,</w:t>
      </w:r>
      <w:r>
        <w:t xml:space="preserve"> autonomia,</w:t>
      </w:r>
      <w:r>
        <w:t xml:space="preserve"> subsidiaritatea</w:t>
      </w:r>
      <w:r>
        <w:rPr>
          <w:rStyle w:val="2248"/>
        </w:rPr>
        <w:footnoteReference w:id="25"/>
      </w:r>
      <w:r>
        <w:t xml:space="preserve">?</w:t>
      </w:r>
      <w:r>
        <w:t xml:space="preserve"> </w:t>
      </w:r>
      <w:r>
        <w:t xml:space="preserve">În acest context</w:t>
      </w:r>
      <w:r>
        <w:t xml:space="preserve"> ar fi interesant de discutat </w:t>
      </w:r>
      <w:r>
        <w:t xml:space="preserve">ce polarizări există în cadrul modelelor</w:t>
      </w:r>
      <w:r>
        <w:t xml:space="preserve"> de teologie pol</w:t>
      </w:r>
      <w:r>
        <w:t xml:space="preserve">itică </w:t>
      </w:r>
      <w:r>
        <w:t xml:space="preserve">spre care </w:t>
      </w:r>
      <w:r>
        <w:t xml:space="preserve">se pot îndrepta </w:t>
      </w:r>
      <w:r>
        <w:t xml:space="preserve">cercetătorii din spaţiul est-european</w:t>
      </w:r>
      <w:r>
        <w:t xml:space="preserve">, </w:t>
      </w:r>
      <w:r>
        <w:t xml:space="preserve">precum </w:t>
      </w:r>
      <w:r>
        <w:t xml:space="preserve">şi modele de organizare socială şi politică pe care </w:t>
      </w:r>
      <w:r>
        <w:t xml:space="preserve">le poate inspira</w:t>
      </w:r>
      <w:r>
        <w:t xml:space="preserve"> Ortodoxia răsăriteană</w:t>
      </w:r>
      <w:r>
        <w:t xml:space="preserve">.</w:t>
      </w:r>
      <w:r>
        <w:t xml:space="preserve"> </w:t>
      </w:r>
      <w:r/>
    </w:p>
    <w:p>
      <w:pPr>
        <w:pStyle w:val="2227"/>
        <w:pBdr/>
        <w:spacing/>
        <w:ind/>
        <w:rPr/>
      </w:pPr>
      <w:r>
        <w:t xml:space="preserve">În ce priveşte literatura de limbă română</w:t>
      </w:r>
      <w:r>
        <w:t xml:space="preserve">, scrierile </w:t>
      </w:r>
      <w:r>
        <w:t xml:space="preserve">de teologie politică </w:t>
      </w:r>
      <w:r>
        <w:t xml:space="preserve">par orientate mai mult asupra aspectelor istorice ale relaţiei </w:t>
      </w:r>
      <w:r>
        <w:t xml:space="preserve">politice dintre </w:t>
      </w:r>
      <w:r>
        <w:t xml:space="preserve">stat</w:t>
      </w:r>
      <w:r>
        <w:t xml:space="preserve"> şi</w:t>
      </w:r>
      <w:r>
        <w:t xml:space="preserve"> Bisericile</w:t>
      </w:r>
      <w:r>
        <w:t xml:space="preserve"> o</w:t>
      </w:r>
      <w:r>
        <w:t xml:space="preserve">rtodoxe</w:t>
      </w:r>
      <w:r>
        <w:t xml:space="preserve"> </w:t>
      </w:r>
      <w:r>
        <w:t xml:space="preserve">r</w:t>
      </w:r>
      <w:r>
        <w:t xml:space="preserve">ăsărite</w:t>
      </w:r>
      <w:r>
        <w:t xml:space="preserve">ne</w:t>
      </w:r>
      <w:r>
        <w:t xml:space="preserve"> (istoria imperiului Bizantin)</w:t>
      </w:r>
      <w:r>
        <w:t xml:space="preserve">,</w:t>
      </w:r>
      <w:r>
        <w:rPr>
          <w:vertAlign w:val="superscript"/>
        </w:rPr>
        <w:footnoteReference w:id="26"/>
      </w:r>
      <w:r>
        <w:t xml:space="preserve"> i</w:t>
      </w:r>
      <w:r>
        <w:t xml:space="preserve">ar în ultimile două secole </w:t>
      </w:r>
      <w:r>
        <w:t xml:space="preserve">asupra relaţiei dintre </w:t>
      </w:r>
      <w:r>
        <w:t xml:space="preserve">stat şi Biserica Ortodoxă </w:t>
      </w:r>
      <w:r>
        <w:t xml:space="preserve">Română</w:t>
      </w:r>
      <w:r>
        <w:t xml:space="preserve">, asupra relaţiei Biserică – regim comunist, în secolul 20, şi asupra aspectelor</w:t>
      </w:r>
      <w:r>
        <w:t xml:space="preserve"> </w:t>
      </w:r>
      <w:r>
        <w:t xml:space="preserve">prezente</w:t>
      </w:r>
      <w:r>
        <w:t xml:space="preserve"> ale cooperării stat </w:t>
      </w:r>
      <w:r>
        <w:t xml:space="preserve">–</w:t>
      </w:r>
      <w:r>
        <w:t xml:space="preserve"> Biserică</w:t>
      </w:r>
      <w:r>
        <w:rPr>
          <w:rStyle w:val="2248"/>
        </w:rPr>
        <w:footnoteReference w:id="27"/>
      </w:r>
      <w:r>
        <w:t xml:space="preserve">.</w:t>
      </w:r>
      <w:r>
        <w:rPr>
          <w:rFonts w:ascii="Times New Roman" w:hAnsi="Times New Roman"/>
          <w:sz w:val="19"/>
          <w:szCs w:val="19"/>
          <w:lang w:eastAsia="en-US"/>
        </w:rPr>
        <w:t xml:space="preserve"> </w:t>
      </w:r>
      <w:r/>
    </w:p>
    <w:p>
      <w:pPr>
        <w:pStyle w:val="2227"/>
        <w:pBdr/>
        <w:spacing/>
        <w:ind/>
        <w:rPr/>
      </w:pPr>
      <w:r>
        <w:t xml:space="preserve">În acest context, s-a atras atenţia că </w:t>
      </w:r>
      <w:r>
        <w:t xml:space="preserve">relaţia între teologie şi politică s-a simţit în România mai ales sub forma identificării Bisericii cu naţiunea (un fenomen întâlnit şi la sârbi şi bulgari, de altfel, şi parţial, la ruşi).</w:t>
      </w:r>
      <w:r>
        <w:rPr>
          <w:rStyle w:val="2248"/>
        </w:rPr>
        <w:footnoteReference w:id="28"/>
      </w:r>
      <w:r>
        <w:t xml:space="preserve"> </w:t>
      </w:r>
      <w:r>
        <w:t xml:space="preserve">Biserica rămâne a fost legată de stat prin Constituţiil</w:t>
      </w:r>
      <w:r>
        <w:t xml:space="preserve">e din 1923, 1938, 1991, unde i se consfinţeşte caracterul de „Biserică naţională” (Constituţiile din 1866, 1923 şi 1938 o proclamau „religiune dominantă a Statului Român”  (art. 21), sau, respectiv, „biserică dominantă în Statul român” (art. 22, art. 19), </w:t>
      </w:r>
      <w:r>
        <w:t xml:space="preserve">ori chiar „Biserică românească”:</w:t>
      </w:r>
      <w:r/>
    </w:p>
    <w:p>
      <w:pPr>
        <w:pStyle w:val="2227"/>
        <w:pBdr/>
        <w:spacing/>
        <w:ind w:firstLine="0"/>
        <w:rPr/>
      </w:pPr>
      <w:r/>
      <w:r/>
    </w:p>
    <w:p>
      <w:pPr>
        <w:pStyle w:val="2316"/>
        <w:pBdr/>
        <w:spacing/>
        <w:ind/>
        <w:rPr/>
      </w:pPr>
      <w:r>
        <w:t xml:space="preserve">Pare că statutul juridic discriminatoriu de biserică naţională este pentru ea indispensabil: ierarhia are absolută nevoie de o nouă confirmare a faptului că Ortodoxia pe care o reprezintă este </w:t>
      </w:r>
      <w:r>
        <w:rPr>
          <w:i/>
        </w:rPr>
        <w:t xml:space="preserve">o lege, nu o credinţă</w:t>
      </w:r>
      <w:r>
        <w:rPr>
          <w:i/>
        </w:rPr>
        <w:t xml:space="preserve"> </w:t>
      </w:r>
      <w:r>
        <w:t xml:space="preserve">[</w:t>
      </w:r>
      <w:r>
        <w:t xml:space="preserve">subl</w:t>
      </w:r>
      <w:r>
        <w:t xml:space="preserve">.</w:t>
      </w:r>
      <w:r>
        <w:t xml:space="preserve">mea</w:t>
      </w:r>
      <w:r>
        <w:t xml:space="preserve">, OB</w:t>
      </w:r>
      <w:r>
        <w:t xml:space="preserve">]</w:t>
      </w:r>
      <w:r>
        <w:t xml:space="preserve">. </w:t>
      </w:r>
      <w:r>
        <w:t xml:space="preserve">Dacă această recunoaştere i se va refuza, Biserica Ortodoxă Română se va simţi părăsită de stat</w:t>
      </w:r>
      <w:r>
        <w:rPr>
          <w:rStyle w:val="2248"/>
        </w:rPr>
        <w:footnoteReference w:id="29"/>
      </w:r>
      <w:r>
        <w:t xml:space="preserve">...</w:t>
      </w:r>
      <w:r/>
    </w:p>
    <w:p>
      <w:pPr>
        <w:pStyle w:val="2227"/>
        <w:pBdr/>
        <w:spacing/>
        <w:ind w:firstLine="0"/>
        <w:rPr/>
      </w:pPr>
      <w:r/>
      <w:r/>
    </w:p>
    <w:p>
      <w:pPr>
        <w:pStyle w:val="2227"/>
        <w:pBdr/>
        <w:spacing/>
        <w:ind w:firstLine="0"/>
        <w:rPr/>
      </w:pPr>
      <w:r>
        <w:t xml:space="preserve">Lucrarea de faţă va încerca să se îndepărteze de </w:t>
      </w:r>
      <w:r>
        <w:t xml:space="preserve">subiectele abordate, curent, în literatura politică -teologică de limba română,</w:t>
      </w:r>
      <w:r>
        <w:t xml:space="preserve"> focalizându-se pe </w:t>
      </w:r>
      <w:r>
        <w:t xml:space="preserve">o </w:t>
      </w:r>
      <w:r>
        <w:t xml:space="preserve">altă zonă de interes, anume pe teologia politică asociată Noului Testament şi primului secol dH.</w:t>
      </w:r>
      <w:r/>
    </w:p>
    <w:p>
      <w:pPr>
        <w:pStyle w:val="2227"/>
        <w:pBdr/>
        <w:spacing/>
        <w:ind w:firstLine="0"/>
        <w:rPr/>
      </w:pPr>
      <w:r/>
      <w:r/>
    </w:p>
    <w:p>
      <w:pPr>
        <w:pStyle w:val="2227"/>
        <w:pBdr/>
        <w:spacing/>
        <w:ind w:firstLine="0"/>
        <w:rPr/>
      </w:pPr>
      <w:r/>
      <w:r/>
    </w:p>
    <w:p>
      <w:pPr>
        <w:pStyle w:val="2230"/>
        <w:pBdr/>
        <w:spacing/>
        <w:ind/>
        <w:rPr>
          <w:lang w:val="ro-RO"/>
        </w:rPr>
      </w:pPr>
      <w:r/>
      <w:bookmarkStart w:id="7" w:name="_Toc252991833"/>
      <w:r>
        <w:rPr>
          <w:lang w:val="ro-RO"/>
        </w:rPr>
        <w:t xml:space="preserve">1.3</w:t>
      </w:r>
      <w:r>
        <w:rPr>
          <w:lang w:val="ro-RO"/>
        </w:rPr>
        <w:t xml:space="preserve"> </w:t>
      </w:r>
      <w:r>
        <w:rPr>
          <w:lang w:val="ro-RO"/>
        </w:rPr>
        <w:t xml:space="preserve">Coerenţa </w:t>
      </w:r>
      <w:r>
        <w:rPr>
          <w:lang w:val="ro-RO"/>
        </w:rPr>
        <w:t xml:space="preserve">narativă</w:t>
      </w:r>
      <w:r>
        <w:rPr>
          <w:lang w:val="ro-RO"/>
        </w:rPr>
        <w:t xml:space="preserve">: </w:t>
      </w:r>
      <w:r>
        <w:rPr>
          <w:lang w:val="ro-RO"/>
        </w:rPr>
        <w:t xml:space="preserve">teologie, politică şi psihologie</w:t>
      </w:r>
      <w:bookmarkEnd w:id="7"/>
      <w:r>
        <w:rPr>
          <w:lang w:val="ro-RO"/>
        </w:rPr>
      </w:r>
      <w:r>
        <w:rPr>
          <w:lang w:val="ro-RO"/>
        </w:rPr>
      </w:r>
    </w:p>
    <w:p>
      <w:pPr>
        <w:pStyle w:val="2227"/>
        <w:pBdr/>
        <w:spacing/>
        <w:ind/>
        <w:rPr/>
      </w:pPr>
      <w:r/>
      <w:r/>
    </w:p>
    <w:p>
      <w:pPr>
        <w:pStyle w:val="2227"/>
        <w:pBdr/>
        <w:spacing/>
        <w:ind w:firstLine="0"/>
        <w:rPr/>
      </w:pPr>
      <w:r>
        <w:t xml:space="preserve">După cum arată cercetările şi analizele, t</w:t>
      </w:r>
      <w:r>
        <w:t xml:space="preserve">eologia şi politica </w:t>
      </w:r>
      <w:r>
        <w:t xml:space="preserve">au în comun </w:t>
      </w:r>
      <w:r>
        <w:t xml:space="preserve">nu </w:t>
      </w:r>
      <w:r>
        <w:t xml:space="preserve">doar </w:t>
      </w:r>
      <w:r>
        <w:t xml:space="preserve">elemente </w:t>
      </w:r>
      <w:r>
        <w:t xml:space="preserve">de interes </w:t>
      </w:r>
      <w:r>
        <w:t xml:space="preserve">şi </w:t>
      </w:r>
      <w:r>
        <w:t xml:space="preserve">de limbaj</w:t>
      </w:r>
      <w:r>
        <w:t xml:space="preserve">, ci </w:t>
      </w:r>
      <w:r>
        <w:t xml:space="preserve">şi elemente de p</w:t>
      </w:r>
      <w:r>
        <w:t xml:space="preserve">sihologia</w:t>
      </w:r>
      <w:r>
        <w:t xml:space="preserve"> relaţiilor şi </w:t>
      </w:r>
      <w:r>
        <w:t xml:space="preserve">a </w:t>
      </w:r>
      <w:r>
        <w:t xml:space="preserve">acţiunii umane</w:t>
      </w:r>
      <w:r>
        <w:t xml:space="preserve">. </w:t>
      </w:r>
      <w:r>
        <w:t xml:space="preserve">L</w:t>
      </w:r>
      <w:r>
        <w:t xml:space="preserve">egăturile între teologie şi politic</w:t>
      </w:r>
      <w:r>
        <w:t xml:space="preserve">ă </w:t>
      </w:r>
      <w:r>
        <w:t xml:space="preserve">se regăsesc</w:t>
      </w:r>
      <w:r>
        <w:t xml:space="preserve">, în continuare,</w:t>
      </w:r>
      <w:r>
        <w:t xml:space="preserve"> </w:t>
      </w:r>
      <w:r>
        <w:t xml:space="preserve">şi </w:t>
      </w:r>
      <w:r>
        <w:t xml:space="preserve">la un nivel </w:t>
      </w:r>
      <w:r>
        <w:t xml:space="preserve">mai puţin </w:t>
      </w:r>
      <w:r>
        <w:t xml:space="preserve">aşteptat, </w:t>
      </w:r>
      <w:r>
        <w:t xml:space="preserve">anume la nivelul </w:t>
      </w:r>
      <w:r>
        <w:rPr>
          <w:i/>
          <w:iCs/>
        </w:rPr>
        <w:t xml:space="preserve">naraţiun</w:t>
      </w:r>
      <w:r>
        <w:rPr>
          <w:i/>
          <w:iCs/>
        </w:rPr>
        <w:t xml:space="preserve">ii</w:t>
      </w:r>
      <w:r>
        <w:rPr>
          <w:i/>
          <w:iCs/>
        </w:rPr>
        <w:t xml:space="preserve"> </w:t>
      </w:r>
      <w:r>
        <w:t xml:space="preserve">şi </w:t>
      </w:r>
      <w:r>
        <w:t xml:space="preserve">al</w:t>
      </w:r>
      <w:r>
        <w:t xml:space="preserve"> </w:t>
      </w:r>
      <w:r>
        <w:rPr>
          <w:i/>
          <w:iCs/>
        </w:rPr>
        <w:t xml:space="preserve">coerenţei</w:t>
      </w:r>
      <w:r>
        <w:rPr>
          <w:i/>
          <w:iCs/>
        </w:rPr>
        <w:t xml:space="preserve"> narativ</w:t>
      </w:r>
      <w:r>
        <w:rPr>
          <w:i/>
          <w:iCs/>
        </w:rPr>
        <w:t xml:space="preserve">e</w:t>
      </w:r>
      <w:r>
        <w:t xml:space="preserve">, două concepte întâlnite de obicei în studiile literare şi de psihologie.</w:t>
      </w:r>
      <w:r/>
    </w:p>
    <w:p>
      <w:pPr>
        <w:pStyle w:val="2227"/>
        <w:pBdr/>
        <w:spacing/>
        <w:ind/>
        <w:rPr/>
      </w:pPr>
      <w:r>
        <w:t xml:space="preserve">În general</w:t>
      </w:r>
      <w:r>
        <w:t xml:space="preserve">, </w:t>
      </w:r>
      <w:r>
        <w:t xml:space="preserve">în literatură, </w:t>
      </w:r>
      <w:r>
        <w:t xml:space="preserve">naraţiunea este definită ca expunere, </w:t>
      </w:r>
      <w:r>
        <w:t xml:space="preserve">ca </w:t>
      </w:r>
      <w:r>
        <w:t xml:space="preserve">relatare a unor fapte; ca povestire, ca formă de expunere s</w:t>
      </w:r>
      <w:r>
        <w:t xml:space="preserve">pecifică genului epic. Sensul cu</w:t>
      </w:r>
      <w:r>
        <w:t xml:space="preserve"> care este folosit</w:t>
      </w:r>
      <w:r>
        <w:t xml:space="preserve">ă</w:t>
      </w:r>
      <w:r>
        <w:t xml:space="preserve"> în teologia politică</w:t>
      </w:r>
      <w:r>
        <w:t xml:space="preserve"> este sensul de ideologie coerentă, de viziune de viaţă, de construct conceptual, realist sau idealist, de ansamblu de idei şi simboluri care se interconectează şi care pot comunica unui </w:t>
      </w:r>
      <w:r>
        <w:t xml:space="preserve">receptor</w:t>
      </w:r>
      <w:r>
        <w:t xml:space="preserve"> o concepţie globală</w:t>
      </w:r>
      <w:r>
        <w:t xml:space="preserve"> despre lume şi viaţă</w:t>
      </w:r>
      <w:r>
        <w:t xml:space="preserve">, un univers de valori coer</w:t>
      </w:r>
      <w:r>
        <w:t xml:space="preserve">ente cu care acesta</w:t>
      </w:r>
      <w:r>
        <w:t xml:space="preserve"> se poate identifica şi de unde, în final, îşi </w:t>
      </w:r>
      <w:r>
        <w:t xml:space="preserve">va extrage motivaţiile şi deciziile de acţiune</w:t>
      </w:r>
      <w:r>
        <w:t xml:space="preserve"> (un sens întâlnit mai degrabă în studiile de psihologie)</w:t>
      </w:r>
      <w:r>
        <w:t xml:space="preserve">.</w:t>
      </w:r>
      <w:r>
        <w:t xml:space="preserve"> Acest al doilea sens s-a impus în a doua jumătate a secolului 20 când, p</w:t>
      </w:r>
      <w:r>
        <w:t xml:space="preserve">relucrând anumite abordări din teoria literaturii (cf. J. Derrida), </w:t>
      </w:r>
      <w:r>
        <w:t xml:space="preserve">psihologii </w:t>
      </w:r>
      <w:r>
        <w:t xml:space="preserve">au afirmat din ce mai mult nevoia unei</w:t>
      </w:r>
      <w:r>
        <w:t xml:space="preserve"> abordări „narative” a recuperării psihice a unei persoane, adică a capacităţii sale de a se integra într-o concepţie de viaţă, potrivit căreia îşi înţelege şi organizează episoadele, acţiunile, relatările, înţelegerea despre cauzalitate şi despre devenire</w:t>
      </w:r>
      <w:r>
        <w:rPr>
          <w:rStyle w:val="2248"/>
        </w:rPr>
        <w:footnoteReference w:id="30"/>
      </w:r>
      <w:r>
        <w:t xml:space="preserve">. </w:t>
      </w:r>
      <w:r/>
    </w:p>
    <w:p>
      <w:pPr>
        <w:pStyle w:val="2227"/>
        <w:pBdr/>
        <w:spacing/>
        <w:ind/>
        <w:rPr/>
      </w:pPr>
      <w:r>
        <w:t xml:space="preserve">Pe fondul relativizării şi pragmatizării comunicării politice, în general, în lumea partidelor şi a programelor politice s-a sesizat, începând din anii 1990, importanţa „naraţiunii”, a conceptului de ansamblu, de </w:t>
      </w:r>
      <w:r>
        <w:rPr>
          <w:rFonts w:ascii="Calibri" w:hAnsi="Calibri"/>
          <w:lang w:bidi="he-IL"/>
        </w:rPr>
        <w:t xml:space="preserve">„</w:t>
      </w:r>
      <w:r>
        <w:t xml:space="preserve">mit”, pe care liderii îl comunică cetăţenilor şi prin care cetăţenii percep portre</w:t>
      </w:r>
      <w:r>
        <w:t xml:space="preserve">tul liderilor. Astfel, lideri cum sunt</w:t>
      </w:r>
      <w:r>
        <w:t xml:space="preserve"> R. Reagan, M. Thatcher, </w:t>
      </w:r>
      <w:r>
        <w:t xml:space="preserve">au început să îşi conceptualizeze şi să îşi „mitizeze”</w:t>
      </w:r>
      <w:r>
        <w:t xml:space="preserve"> stilul de conducere, </w:t>
      </w:r>
      <w:r>
        <w:t xml:space="preserve">tipul de politică, </w:t>
      </w:r>
      <w:r>
        <w:t xml:space="preserve">lansând termeni</w:t>
      </w:r>
      <w:r>
        <w:t xml:space="preserve"> şi curente economice şi politice</w:t>
      </w:r>
      <w:r>
        <w:t xml:space="preserve"> sub denumiri sugestive</w:t>
      </w:r>
      <w:r>
        <w:t xml:space="preserve"> de tip „reaganics” şi „thatcherism”</w:t>
      </w:r>
      <w:r>
        <w:t xml:space="preserve">. Standardele </w:t>
      </w:r>
      <w:r>
        <w:t xml:space="preserve">comunicării publice au început să se bazeze nu doar pe idei şi strategii, ci şi pe „atmosferă” şi etos, pe natura captivantă a epopeii (naraţiunii) oferite ascultătorului</w:t>
      </w:r>
      <w:r>
        <w:t xml:space="preserve">, cu invitaţia şi promisiunea că</w:t>
      </w:r>
      <w:r>
        <w:t xml:space="preserve"> şi destinul acestuia poate intra în noua aventură, poate fi parte din noul proiect</w:t>
      </w:r>
      <w:r>
        <w:t xml:space="preserve"> economico-social</w:t>
      </w:r>
      <w:r>
        <w:t xml:space="preserve">.</w:t>
      </w:r>
      <w:r/>
    </w:p>
    <w:p>
      <w:pPr>
        <w:pStyle w:val="2227"/>
        <w:pBdr/>
        <w:spacing/>
        <w:ind/>
        <w:rPr/>
      </w:pPr>
      <w:r>
        <w:t xml:space="preserve"> Efectele durabile ale </w:t>
      </w:r>
      <w:r>
        <w:t xml:space="preserve">unei astfel de conceptualizări</w:t>
      </w:r>
      <w:r>
        <w:t xml:space="preserve"> politice şi ale creării unor simboluri de tip „logo” publicitar, de „marcă” pentru anumite persoane sau </w:t>
      </w:r>
      <w:r>
        <w:t xml:space="preserve">pentru anumite </w:t>
      </w:r>
      <w:r>
        <w:t xml:space="preserve">pachete de măsuri</w:t>
      </w:r>
      <w:r>
        <w:t xml:space="preserve"> politic</w:t>
      </w:r>
      <w:r>
        <w:t xml:space="preserve">e</w:t>
      </w:r>
      <w:r>
        <w:t xml:space="preserve">, în </w:t>
      </w:r>
      <w:r>
        <w:t xml:space="preserve">demersul de </w:t>
      </w:r>
      <w:r>
        <w:t xml:space="preserve"> comunicare a mesajului politic, nu au trecut neobservate în rândurile opoziţiei. Astfel, T. Blair şi consilieri</w:t>
      </w:r>
      <w:r>
        <w:t xml:space="preserve">i săi au încercat </w:t>
      </w:r>
      <w:r>
        <w:t xml:space="preserve">imitare</w:t>
      </w:r>
      <w:r>
        <w:t xml:space="preserve">a</w:t>
      </w:r>
      <w:r>
        <w:t xml:space="preserve"> </w:t>
      </w:r>
      <w:r>
        <w:t xml:space="preserve">şi contrare</w:t>
      </w:r>
      <w:r>
        <w:t xml:space="preserve">a acestor conceptualizări pentru a aduce partidul laburist la conducere</w:t>
      </w:r>
      <w:r>
        <w:t xml:space="preserve">, în 1997,</w:t>
      </w:r>
      <w:r>
        <w:t xml:space="preserve"> şi în felul acesta</w:t>
      </w:r>
      <w:r>
        <w:t xml:space="preserve">, s-a ajuns la folosirea ideii de „New Labour” (noul partid laburist, noua viziune laburistă), care înainte de orice explicitare, oferea un cadru </w:t>
      </w:r>
      <w:r>
        <w:t xml:space="preserve">văzut ca un cadru </w:t>
      </w:r>
      <w:r>
        <w:t xml:space="preserve">progresist, un </w:t>
      </w:r>
      <w:r>
        <w:t xml:space="preserve">nou </w:t>
      </w:r>
      <w:r>
        <w:t xml:space="preserve">context, o atitudine </w:t>
      </w:r>
      <w:r>
        <w:t xml:space="preserve">dinamică </w:t>
      </w:r>
      <w:r>
        <w:t xml:space="preserve">de decodificare a demersului politic.</w:t>
      </w:r>
      <w:r>
        <w:rPr>
          <w:rStyle w:val="2248"/>
        </w:rPr>
        <w:footnoteReference w:id="31"/>
      </w:r>
      <w:r>
        <w:t xml:space="preserve"> În</w:t>
      </w:r>
      <w:r>
        <w:t xml:space="preserve">tr-un</w:t>
      </w:r>
      <w:r>
        <w:t xml:space="preserve"> mod similar, </w:t>
      </w:r>
      <w:r>
        <w:t xml:space="preserve">B.H. Obama</w:t>
      </w:r>
      <w:r>
        <w:t xml:space="preserve"> şi-a bazat </w:t>
      </w:r>
      <w:r>
        <w:t xml:space="preserve">şi el </w:t>
      </w:r>
      <w:r>
        <w:t xml:space="preserve">campania </w:t>
      </w:r>
      <w:r>
        <w:t xml:space="preserve">electorală </w:t>
      </w:r>
      <w:r>
        <w:t xml:space="preserve">pe ideea schimbării societăţii</w:t>
      </w:r>
      <w:r>
        <w:t xml:space="preserve">, idee ilustrată prin sloganul „Change!”</w:t>
      </w:r>
      <w:r>
        <w:t xml:space="preserve">, precum</w:t>
      </w:r>
      <w:r>
        <w:t xml:space="preserve"> şi pe afirmarea posibilităţii depline</w:t>
      </w:r>
      <w:r>
        <w:t xml:space="preserve"> a unei astfel de schimbări</w:t>
      </w:r>
      <w:r>
        <w:t xml:space="preserve">, a oportunităţii </w:t>
      </w:r>
      <w:r>
        <w:t xml:space="preserve">ei, în care scop s-a folosit un alt slogan, extrem de pozitiv şi dinamic: „Yes</w:t>
      </w:r>
      <w:r>
        <w:t xml:space="preserve">,</w:t>
      </w:r>
      <w:r>
        <w:t xml:space="preserve"> we can!”</w:t>
      </w:r>
      <w:r>
        <w:t xml:space="preserve"> (</w:t>
      </w:r>
      <w:r>
        <w:t xml:space="preserve">„</w:t>
      </w:r>
      <w:r>
        <w:t xml:space="preserve">da, noi putem!</w:t>
      </w:r>
      <w:r>
        <w:t xml:space="preserve">”</w:t>
      </w:r>
      <w:r>
        <w:t xml:space="preserve">)</w:t>
      </w:r>
      <w:r>
        <w:t xml:space="preserve">. </w:t>
      </w:r>
      <w:r>
        <w:t xml:space="preserve">Seria simb</w:t>
      </w:r>
      <w:r>
        <w:t xml:space="preserve">olurilor imagistice nu s-a oprit aici: deoarece s-a dorit maximizarea efectului publicistic în cadrul tinerilor consumatori de internet şi reţele de socializare de tip HI5 sau Facebook, or Twitter, s-a recurs la folosirea de numeroase spoturi publicitare, </w:t>
      </w:r>
      <w:r>
        <w:t xml:space="preserve">foto-montaje, </w:t>
      </w:r>
      <w:r>
        <w:t xml:space="preserve">comercializare de căni, tricouri, şi alte tipuri de</w:t>
      </w:r>
      <w:r>
        <w:t xml:space="preserve"> souveniruri, de</w:t>
      </w:r>
      <w:r>
        <w:t xml:space="preserve"> </w:t>
      </w:r>
      <w:r>
        <w:rPr>
          <w:i/>
          <w:iCs/>
        </w:rPr>
        <w:t xml:space="preserve">memorabilia</w:t>
      </w:r>
      <w:r>
        <w:t xml:space="preserve">.</w:t>
      </w:r>
      <w:r>
        <w:t xml:space="preserve"> Tehnica aceasta nu a trecut neobservată nici pe malurile Dâmboviţei şi, astfel, politicienii au invadat masiv lumea blogurilor şi a reţelelor de socializare pe internet, ca factor activ şi alternativ de comunicare a mesajului politic. </w:t>
      </w:r>
      <w:r>
        <w:t xml:space="preserve">Bătălia aceasta a fost la fel de importantă ca şi cea dusă în cadrul principalelor mijloace mass-media, cum sunt ziarele, radioul şi programele tv.</w:t>
      </w:r>
      <w:r/>
    </w:p>
    <w:p>
      <w:pPr>
        <w:pStyle w:val="2227"/>
        <w:pBdr/>
        <w:spacing/>
        <w:ind/>
        <w:rPr/>
      </w:pPr>
      <w:r>
        <w:t xml:space="preserve">În toate aceste situaţii, nu s-a </w:t>
      </w:r>
      <w:r>
        <w:t xml:space="preserve">urmărit doar prezentarea unei persoane, a unui candidat, ci prezentarea şi promovarea unui </w:t>
      </w:r>
      <w:r>
        <w:rPr>
          <w:i/>
          <w:iCs/>
        </w:rPr>
        <w:t xml:space="preserve">psuche</w:t>
      </w:r>
      <w:r>
        <w:t xml:space="preserve"> (a unei stări mintale, sufleteşti), a unei concepţii, a unui mit, a unei imagini. Acest fel de „poveste” este naraţiunea despre care s-a discutat mai sus, o naraţiune înţelească ca</w:t>
      </w:r>
      <w:r>
        <w:t xml:space="preserve"> ideologie, ca etos, în calitate de cheie </w:t>
      </w:r>
      <w:r>
        <w:t xml:space="preserve">hermeneutică </w:t>
      </w:r>
      <w:r>
        <w:t xml:space="preserve">şi </w:t>
      </w:r>
      <w:r>
        <w:t xml:space="preserve">de </w:t>
      </w:r>
      <w:r>
        <w:t xml:space="preserve">cadru hermeneutic pentru un discurs</w:t>
      </w:r>
      <w:r>
        <w:t xml:space="preserve"> dat</w:t>
      </w:r>
      <w:r>
        <w:t xml:space="preserve">. În această accepţiune, naraţiunea este un cadru psihologic, o istorisire idealizată,</w:t>
      </w:r>
      <w:r>
        <w:t xml:space="preserve"> aproape mitic</w:t>
      </w:r>
      <w:r>
        <w:t xml:space="preserve">ă, ce este </w:t>
      </w:r>
      <w:r>
        <w:t xml:space="preserve">furnizat</w:t>
      </w:r>
      <w:r>
        <w:t xml:space="preserve">ă</w:t>
      </w:r>
      <w:r>
        <w:t xml:space="preserve"> populaţiei, </w:t>
      </w:r>
      <w:r>
        <w:t xml:space="preserve">astfel încât aceasta să se identifice cu ea şi de unde, în final, să </w:t>
      </w:r>
      <w:r>
        <w:t xml:space="preserve">îşi de</w:t>
      </w:r>
      <w:r>
        <w:t xml:space="preserve">rive idealul, planul de acţiune. Naraţiune este aici înţeleasă</w:t>
      </w:r>
      <w:r>
        <w:t xml:space="preserve"> ca simbolistică, ori imagistică, ori coerenţă </w:t>
      </w:r>
      <w:r>
        <w:t xml:space="preserve">psihologică ideală, </w:t>
      </w:r>
      <w:r>
        <w:t xml:space="preserve">a discursului de valori. </w:t>
      </w:r>
      <w:r/>
    </w:p>
    <w:p>
      <w:pPr>
        <w:pStyle w:val="2227"/>
        <w:pBdr/>
        <w:spacing/>
        <w:ind/>
        <w:rPr/>
      </w:pPr>
      <w:r>
        <w:t xml:space="preserve">Din acest punct de vedere, se poate observa că teologia biblică este</w:t>
      </w:r>
      <w:r>
        <w:t xml:space="preserve">, şi ea,</w:t>
      </w:r>
      <w:r>
        <w:t xml:space="preserve"> narativă prin excelenţă. Astfel, Israelul modern îşi susţine</w:t>
      </w:r>
      <w:r>
        <w:t xml:space="preserve"> dreptul istoric </w:t>
      </w:r>
      <w:r>
        <w:t xml:space="preserve">de a poseda teritoriul său</w:t>
      </w:r>
      <w:r>
        <w:t xml:space="preserve"> palestinian</w:t>
      </w:r>
      <w:r>
        <w:t xml:space="preserve">, prin apelul la naraţiunea </w:t>
      </w:r>
      <w:r>
        <w:t xml:space="preserve">biblică a chemării lui Avraam</w:t>
      </w:r>
      <w:r>
        <w:t xml:space="preserve"> de către Dumnezeu, ca să vină şi să locuiască în Canaan. Această naraţiune funcţionează ca un simbol ideologic, ca o istorie </w:t>
      </w:r>
      <w:r>
        <w:t xml:space="preserve">de drept divin </w:t>
      </w:r>
      <w:r>
        <w:t xml:space="preserve">cu care </w:t>
      </w:r>
      <w:r>
        <w:t xml:space="preserve">evreii contemporani se pot identifica, cu care </w:t>
      </w:r>
      <w:r>
        <w:t xml:space="preserve">se </w:t>
      </w:r>
      <w:r>
        <w:t xml:space="preserve">po</w:t>
      </w:r>
      <w:r>
        <w:t xml:space="preserve">a</w:t>
      </w:r>
      <w:r>
        <w:t xml:space="preserve">t</w:t>
      </w:r>
      <w:r>
        <w:t xml:space="preserve">e</w:t>
      </w:r>
      <w:r>
        <w:t xml:space="preserve"> activa comportamentul </w:t>
      </w:r>
      <w:r>
        <w:t xml:space="preserve">lor </w:t>
      </w:r>
      <w:r>
        <w:t xml:space="preserve">patriotic, sau cu care pot</w:t>
      </w:r>
      <w:r>
        <w:t xml:space="preserve"> fi </w:t>
      </w:r>
      <w:r>
        <w:t xml:space="preserve"> exacerba</w:t>
      </w:r>
      <w:r>
        <w:t xml:space="preserve">te</w:t>
      </w:r>
      <w:r>
        <w:t xml:space="preserve"> manifestările de tip naţionalist.</w:t>
      </w:r>
      <w:r/>
    </w:p>
    <w:p>
      <w:pPr>
        <w:pStyle w:val="2227"/>
        <w:pBdr/>
        <w:spacing/>
        <w:ind/>
        <w:rPr/>
      </w:pPr>
      <w:r>
        <w:t xml:space="preserve">Într-un alt exemplu de imagologie narativă, </w:t>
      </w:r>
      <w:r>
        <w:t xml:space="preserve">elibe</w:t>
      </w:r>
      <w:r>
        <w:t xml:space="preserve">rarea de sub jugul filistenilor,</w:t>
      </w:r>
      <w:r>
        <w:t xml:space="preserve"> prin conducerea lui Samson, </w:t>
      </w:r>
      <w:r>
        <w:t xml:space="preserve">a creat un simbol naţional extrem de puternic. Simbolul lui Samson, un fel de Heracles evreu</w:t>
      </w:r>
      <w:r>
        <w:t xml:space="preserve"> – sau de Odys</w:t>
      </w:r>
      <w:r>
        <w:t xml:space="preserve">s</w:t>
      </w:r>
      <w:r>
        <w:t xml:space="preserve">eu</w:t>
      </w:r>
      <w:r>
        <w:t xml:space="preserve"> (Ulise)</w:t>
      </w:r>
      <w:r>
        <w:t xml:space="preserve"> evreu</w:t>
      </w:r>
      <w:r>
        <w:t xml:space="preserve">, </w:t>
      </w:r>
      <w:r>
        <w:t xml:space="preserve">a devenit </w:t>
      </w:r>
      <w:r>
        <w:t xml:space="preserve">sursa unei ideologii extrem de influente </w:t>
      </w:r>
      <w:r>
        <w:t xml:space="preserve">în lupta împotriva oricărei ocupaţii, </w:t>
      </w:r>
      <w:r>
        <w:t xml:space="preserve">aşa cum, pe de altă parte, </w:t>
      </w:r>
      <w:r>
        <w:t xml:space="preserve">a devenit şi parabolă etică.</w:t>
      </w:r>
      <w:r>
        <w:t xml:space="preserve"> Paradigmele eliberării includ, bineînţeles, </w:t>
      </w:r>
      <w:r>
        <w:t xml:space="preserve">istoriile unor </w:t>
      </w:r>
      <w:r>
        <w:t xml:space="preserve">personaje ca Moise, G</w:t>
      </w:r>
      <w:r>
        <w:t xml:space="preserve">h</w:t>
      </w:r>
      <w:r>
        <w:t xml:space="preserve">edeon, precum şi pe cele ale regalităţii victorioase, ale expansiunii</w:t>
      </w:r>
      <w:r>
        <w:t xml:space="preserve"> împărăţiei</w:t>
      </w:r>
      <w:r>
        <w:t xml:space="preserve"> – văzută ca împărăţie a lui Iahveh</w:t>
      </w:r>
      <w:r>
        <w:t xml:space="preserve">, între care se  numără </w:t>
      </w:r>
      <w:r>
        <w:t xml:space="preserve">vieţile şi </w:t>
      </w:r>
      <w:r>
        <w:t xml:space="preserve">portretele unor regi vestiţi ai antichităţii evreieşti, </w:t>
      </w:r>
      <w:r>
        <w:t xml:space="preserve">cum sunt  David, Solomon, Iosia, etc.</w:t>
      </w:r>
      <w:r>
        <w:t xml:space="preserve"> </w:t>
      </w:r>
      <w:r/>
    </w:p>
    <w:p>
      <w:pPr>
        <w:pStyle w:val="2227"/>
        <w:pBdr/>
        <w:spacing/>
        <w:ind/>
        <w:rPr/>
      </w:pPr>
      <w:r>
        <w:t xml:space="preserve">În cadrul tradiţiei culturale europene</w:t>
      </w:r>
      <w:r>
        <w:t xml:space="preserve"> </w:t>
      </w:r>
      <w:r>
        <w:t xml:space="preserve">operează,</w:t>
      </w:r>
      <w:r>
        <w:t xml:space="preserve"> de fapt, un număr destul de mare de</w:t>
      </w:r>
      <w:r>
        <w:t xml:space="preserve"> asemenea</w:t>
      </w:r>
      <w:r>
        <w:t xml:space="preserve"> paradigme</w:t>
      </w:r>
      <w:r>
        <w:t xml:space="preserve"> biblice</w:t>
      </w:r>
      <w:r>
        <w:t xml:space="preserve">. De exemplu, o paradigmă ilustrată la nivel popular românesc de zicala „buturuga mică răstoarnă carul mare” este ilustrată cu mult succes, la nivel cult, de paradigma confruntării inegale</w:t>
      </w:r>
      <w:r>
        <w:t xml:space="preserve">,</w:t>
      </w:r>
      <w:r>
        <w:t xml:space="preserve"> </w:t>
      </w:r>
      <w:r>
        <w:t xml:space="preserve">dar victorioase, </w:t>
      </w:r>
      <w:r>
        <w:t xml:space="preserve">dintre David şi Goliat; într-un alt exemplu biblic, </w:t>
      </w:r>
      <w:r>
        <w:t xml:space="preserve">relatarea despre trădarea lui Hristos de către </w:t>
      </w:r>
      <w:r>
        <w:t xml:space="preserve">Iuda</w:t>
      </w:r>
      <w:r>
        <w:t xml:space="preserve">,</w:t>
      </w:r>
      <w:r>
        <w:t xml:space="preserve"> furnizează</w:t>
      </w:r>
      <w:r>
        <w:t xml:space="preserve"> paradigma clasică a trădării printr-un prieten; </w:t>
      </w:r>
      <w:r>
        <w:t xml:space="preserve">tot aşa, </w:t>
      </w:r>
      <w:r>
        <w:t xml:space="preserve">naraţiunea despre Moise şi plecarea din Egipt</w:t>
      </w:r>
      <w:r>
        <w:t xml:space="preserve"> a poporului Israel</w:t>
      </w:r>
      <w:r>
        <w:t xml:space="preserve">, a furnizat paradigma conducerii de succes, </w:t>
      </w:r>
      <w:r>
        <w:t xml:space="preserve">cu viziune, </w:t>
      </w:r>
      <w:r>
        <w:t xml:space="preserve">în ciuda dificultăţilor, şi cu aprobare </w:t>
      </w:r>
      <w:r>
        <w:t xml:space="preserve">(chemare) </w:t>
      </w:r>
      <w:r>
        <w:t xml:space="preserve">divină.</w:t>
      </w:r>
      <w:r>
        <w:t xml:space="preserve"> Verificare</w:t>
      </w:r>
      <w:r>
        <w:t xml:space="preserve">a</w:t>
      </w:r>
      <w:r>
        <w:t xml:space="preserve"> autenticităţii şi conformităţii esenţiale este ilustrată prin istorisi</w:t>
      </w:r>
      <w:r>
        <w:t xml:space="preserve">rea despre testarea efraimiţilor</w:t>
      </w:r>
      <w:r>
        <w:t xml:space="preserve"> fugari cu parola ŞIBOLET, pe care nu o puteau pronunţa ca restul evreilor şi o rosteau SIBOLET</w:t>
      </w:r>
      <w:r>
        <w:t xml:space="preserve"> (Jud. 12:5-7)</w:t>
      </w:r>
      <w:r>
        <w:t xml:space="preserve">.</w:t>
      </w:r>
      <w:r>
        <w:t xml:space="preserve"> </w:t>
      </w:r>
      <w:r>
        <w:t xml:space="preserve">O altă formulă uzitată în acelaşi sens al stabilirea veridicităţii este referinţa la „vocea adevărată a lui Iacov”, o referire la faptul că patriarhul Iacov s-a dat drept fratele său, Esau, iar părintele lor, Isaac, </w:t>
      </w:r>
      <w:r>
        <w:t xml:space="preserve">nevăzător din cauza bătrâneţii, fiind în dubiu, </w:t>
      </w:r>
      <w:r>
        <w:t xml:space="preserve">a </w:t>
      </w:r>
      <w:r>
        <w:t xml:space="preserve">dat glas celebrei dileme: </w:t>
      </w:r>
      <w:r>
        <w:t xml:space="preserve">„</w:t>
      </w:r>
      <w:r>
        <w:t xml:space="preserve">Glasul este glasul lui Iacov, da</w:t>
      </w:r>
      <w:r>
        <w:t xml:space="preserve">r mâinile sunt mâinile lui Esau” (Gen. 27:22).</w:t>
      </w:r>
      <w:r>
        <w:t xml:space="preserve"> </w:t>
      </w:r>
      <w:r>
        <w:t xml:space="preserve">Lista exemplelor poate continua cu uşurinţă.</w:t>
      </w:r>
      <w:r/>
    </w:p>
    <w:p>
      <w:pPr>
        <w:pStyle w:val="2227"/>
        <w:pBdr/>
        <w:spacing/>
        <w:ind/>
        <w:rPr/>
      </w:pPr>
      <w:r>
        <w:t xml:space="preserve">Credinţa creştină, </w:t>
      </w:r>
      <w:r>
        <w:t xml:space="preserve">astfel,</w:t>
      </w:r>
      <w:r>
        <w:t xml:space="preserve"> nu este construită în jurul unor precepte lansate de </w:t>
      </w:r>
      <w:r>
        <w:t xml:space="preserve">vre</w:t>
      </w:r>
      <w:r>
        <w:t xml:space="preserve">un strălucit teoretician sau profet</w:t>
      </w:r>
      <w:r>
        <w:t xml:space="preserve">, ci ea este </w:t>
      </w:r>
      <w:r>
        <w:t xml:space="preserve">legată de dramatismul unor</w:t>
      </w:r>
      <w:r>
        <w:t xml:space="preserve"> vieţi complete,</w:t>
      </w:r>
      <w:r>
        <w:t xml:space="preserve"> </w:t>
      </w:r>
      <w:r>
        <w:t xml:space="preserve">impresionante, </w:t>
      </w:r>
      <w:r>
        <w:t xml:space="preserve">prin care Dumnezeu s-a revelat, de anumite persoane şi vieţi remarcabile, </w:t>
      </w:r>
      <w:r>
        <w:t xml:space="preserve">încercate</w:t>
      </w:r>
      <w:r>
        <w:t xml:space="preserve"> cu nec</w:t>
      </w:r>
      <w:r>
        <w:t xml:space="preserve">azuri şi suferinţă</w:t>
      </w:r>
      <w:r>
        <w:t xml:space="preserve">, dar adesea</w:t>
      </w:r>
      <w:r>
        <w:t xml:space="preserve"> şi răsplătite</w:t>
      </w:r>
      <w:r>
        <w:t xml:space="preserve"> cu împliniri deosebite</w:t>
      </w:r>
      <w:r>
        <w:t xml:space="preserve">, </w:t>
      </w:r>
      <w:r>
        <w:t xml:space="preserve">iar </w:t>
      </w:r>
      <w:r>
        <w:t xml:space="preserve">în final</w:t>
      </w:r>
      <w:r>
        <w:t xml:space="preserve">, cu recunoaştere divină;</w:t>
      </w:r>
      <w:r>
        <w:t xml:space="preserve"> dintre ele, bineînţeles, se remarcă în mod fundamental viaţa inegalabilă, de la naştere</w:t>
      </w:r>
      <w:r>
        <w:t xml:space="preserve"> (întrupare)</w:t>
      </w:r>
      <w:r>
        <w:t xml:space="preserve"> la pătimirea pe cruce, de la suferinţă </w:t>
      </w:r>
      <w:r>
        <w:t xml:space="preserve">şi </w:t>
      </w:r>
      <w:r>
        <w:t xml:space="preserve">până la</w:t>
      </w:r>
      <w:r>
        <w:t xml:space="preserve"> victoria învierii şi înălţării</w:t>
      </w:r>
      <w:r>
        <w:t xml:space="preserve"> la ceruri, a </w:t>
      </w:r>
      <w:r>
        <w:t xml:space="preserve">Mântuitorului Isus Hristos. </w:t>
      </w:r>
      <w:r/>
    </w:p>
    <w:p>
      <w:pPr>
        <w:pStyle w:val="2227"/>
        <w:pBdr/>
        <w:spacing/>
        <w:ind/>
        <w:rPr/>
      </w:pPr>
      <w:r>
        <w:t xml:space="preserve">Ca paradigmă, v</w:t>
      </w:r>
      <w:r>
        <w:t xml:space="preserve">iaţa lui Isus </w:t>
      </w:r>
      <w:r>
        <w:t xml:space="preserve">prezintă </w:t>
      </w:r>
      <w:r>
        <w:t xml:space="preserve">multe elemente devenite</w:t>
      </w:r>
      <w:r>
        <w:t xml:space="preserve"> esenţiale pentru </w:t>
      </w:r>
      <w:r>
        <w:t xml:space="preserve">psyche-ul sau ethos-ul</w:t>
      </w:r>
      <w:r>
        <w:t xml:space="preserve"> politic</w:t>
      </w:r>
      <w:r>
        <w:t xml:space="preserve"> european, pentru </w:t>
      </w:r>
      <w:r>
        <w:t xml:space="preserve">cultura </w:t>
      </w:r>
      <w:r>
        <w:t xml:space="preserve">de tip european</w:t>
      </w:r>
      <w:r>
        <w:t xml:space="preserve">, cum ar fi</w:t>
      </w:r>
      <w:r>
        <w:t xml:space="preserve"> </w:t>
      </w:r>
      <w:r>
        <w:t xml:space="preserve">legătura profetică </w:t>
      </w:r>
      <w:r>
        <w:t xml:space="preserve">dintre trecut şi viitor</w:t>
      </w:r>
      <w:r>
        <w:t xml:space="preserve"> (tema împlinirii profeţiilor, a unui viitor bazat pe</w:t>
      </w:r>
      <w:r>
        <w:t xml:space="preserve"> </w:t>
      </w:r>
      <w:r>
        <w:t xml:space="preserve">profeţiile</w:t>
      </w:r>
      <w:r>
        <w:t xml:space="preserve"> mesianice</w:t>
      </w:r>
      <w:r>
        <w:t xml:space="preserve"> şi pe mesajul Apocalipsei)</w:t>
      </w:r>
      <w:r>
        <w:t xml:space="preserve">; </w:t>
      </w:r>
      <w:r>
        <w:t xml:space="preserve">tema copilului providenţial (naşterea lui Isus, afirmarea precocităţii sale -</w:t>
      </w:r>
      <w:r>
        <w:t xml:space="preserve"> </w:t>
      </w:r>
      <w:r>
        <w:t xml:space="preserve">Isus la 12 ani în Templu</w:t>
      </w:r>
      <w:r>
        <w:t xml:space="preserve">, </w:t>
      </w:r>
      <w:r>
        <w:t xml:space="preserve">confirmarea la botez, la Muntele Schimbării la faţă, </w:t>
      </w:r>
      <w:r>
        <w:t xml:space="preserve">etc</w:t>
      </w:r>
      <w:r>
        <w:t xml:space="preserve">)</w:t>
      </w:r>
      <w:r>
        <w:t xml:space="preserve">; tema liderului însoţit de ucenici (12 apostoli, 70-72 de ucenici</w:t>
      </w:r>
      <w:r>
        <w:t xml:space="preserve">, de cei vindecaţi şi deveniţi recunoscători etc.</w:t>
      </w:r>
      <w:r>
        <w:t xml:space="preserve">);</w:t>
      </w:r>
      <w:r>
        <w:t xml:space="preserve"> </w:t>
      </w:r>
      <w:r>
        <w:t xml:space="preserve">tema trădării şi singurătăţii; </w:t>
      </w:r>
      <w:r>
        <w:t xml:space="preserve">tema crucii şi a suferinţei </w:t>
      </w:r>
      <w:r>
        <w:t xml:space="preserve">sacrificiale </w:t>
      </w:r>
      <w:r>
        <w:t xml:space="preserve">care </w:t>
      </w:r>
      <w:r>
        <w:t xml:space="preserve">îi </w:t>
      </w:r>
      <w:r>
        <w:t xml:space="preserve">mântuieşte</w:t>
      </w:r>
      <w:r>
        <w:t xml:space="preserve"> pe alţii</w:t>
      </w:r>
      <w:r>
        <w:t xml:space="preserve">;</w:t>
      </w:r>
      <w:r>
        <w:t xml:space="preserve"> </w:t>
      </w:r>
      <w:r>
        <w:t xml:space="preserve">tema învierii, a victoriei finale</w:t>
      </w:r>
      <w:r>
        <w:t xml:space="preserve">. </w:t>
      </w:r>
      <w:r>
        <w:t xml:space="preserve">În timp ce, a</w:t>
      </w:r>
      <w:r>
        <w:t xml:space="preserve">şa cum nu o dată au afirmat teologii, f</w:t>
      </w:r>
      <w:r>
        <w:t xml:space="preserve">orţa clasică a creştinismului este </w:t>
      </w:r>
      <w:r>
        <w:t xml:space="preserve">împlinirea unei relaţii</w:t>
      </w:r>
      <w:r>
        <w:t xml:space="preserve"> </w:t>
      </w:r>
      <w:r>
        <w:t xml:space="preserve">de credinţă </w:t>
      </w:r>
      <w:r>
        <w:t xml:space="preserve">cu Isus, </w:t>
      </w:r>
      <w:r>
        <w:t xml:space="preserve">mântuitor</w:t>
      </w:r>
      <w:r>
        <w:t xml:space="preserve">ul cel</w:t>
      </w:r>
      <w:r>
        <w:t xml:space="preserve"> viu</w:t>
      </w:r>
      <w:r>
        <w:t xml:space="preserve"> </w:t>
      </w:r>
      <w:r>
        <w:t xml:space="preserve">de-a pururi</w:t>
      </w:r>
      <w:r>
        <w:t xml:space="preserve">, glorificat</w:t>
      </w:r>
      <w:r>
        <w:t xml:space="preserve"> la dreapta Tatălui</w:t>
      </w:r>
      <w:r>
        <w:t xml:space="preserve">,</w:t>
      </w:r>
      <w:r>
        <w:t xml:space="preserve"> </w:t>
      </w:r>
      <w:r>
        <w:t xml:space="preserve">se observă că</w:t>
      </w:r>
      <w:r>
        <w:t xml:space="preserve"> </w:t>
      </w:r>
      <w:r>
        <w:t xml:space="preserve">la nivel discursiv, </w:t>
      </w:r>
      <w:r>
        <w:t xml:space="preserve">cultural, </w:t>
      </w:r>
      <w:r>
        <w:t xml:space="preserve">nimeni nu poate nega importanţa </w:t>
      </w:r>
      <w:r>
        <w:t xml:space="preserve">paradigmatică a vieţii lui, a </w:t>
      </w:r>
      <w:r>
        <w:t xml:space="preserve">acestei „naraţiuni” </w:t>
      </w:r>
      <w:r>
        <w:t xml:space="preserve">ideale</w:t>
      </w:r>
      <w:r>
        <w:t xml:space="preserve">, </w:t>
      </w:r>
      <w:r>
        <w:t xml:space="preserve">în coerenţa căreia se întreţese coerenţa </w:t>
      </w:r>
      <w:r>
        <w:t xml:space="preserve">destinelor individuale şi colective ale oamenilor</w:t>
      </w:r>
      <w:r>
        <w:t xml:space="preserve">, împreună cu</w:t>
      </w:r>
      <w:r>
        <w:t xml:space="preserve"> destinul întregului </w:t>
      </w:r>
      <w:r>
        <w:t xml:space="preserve">Univers.</w:t>
      </w:r>
      <w:r/>
    </w:p>
    <w:p>
      <w:pPr>
        <w:pStyle w:val="2227"/>
        <w:pBdr/>
        <w:spacing/>
        <w:ind/>
        <w:rPr/>
      </w:pPr>
      <w:r>
        <w:t xml:space="preserve">Pe ansamblu, s</w:t>
      </w:r>
      <w:r>
        <w:t xml:space="preserve">eria paradigmelor relevante din Vechiul Testament şi din Noul Testament realizează o tranziţie </w:t>
      </w:r>
      <w:r>
        <w:t xml:space="preserve">majoră </w:t>
      </w:r>
      <w:r>
        <w:t xml:space="preserve">între arhetip şi eschatip, conturând aşteptările eschatologice ale omenirii.</w:t>
      </w:r>
      <w:r>
        <w:rPr>
          <w:rStyle w:val="2248"/>
        </w:rPr>
        <w:footnoteReference w:id="32"/>
      </w:r>
      <w:r/>
    </w:p>
    <w:p>
      <w:pPr>
        <w:pStyle w:val="2227"/>
        <w:pBdr/>
        <w:spacing/>
        <w:ind/>
        <w:rPr/>
      </w:pPr>
      <w:r>
        <w:t xml:space="preserve">T</w:t>
      </w:r>
      <w:r>
        <w:t xml:space="preserve">eologia biblică are </w:t>
      </w:r>
      <w:r>
        <w:t xml:space="preserve">o conexiune directă</w:t>
      </w:r>
      <w:r>
        <w:t xml:space="preserve">, aşadar,</w:t>
      </w:r>
      <w:r>
        <w:t xml:space="preserve"> cu gândirea politică, prin importanţa </w:t>
      </w:r>
      <w:r>
        <w:t xml:space="preserve">paradigmelor, a </w:t>
      </w:r>
      <w:r>
        <w:t xml:space="preserve">naraţiunii integratoare, a constructului </w:t>
      </w:r>
      <w:r>
        <w:t xml:space="preserve">ideologic şi teologic </w:t>
      </w:r>
      <w:r>
        <w:t xml:space="preserve">care </w:t>
      </w:r>
      <w:r>
        <w:t xml:space="preserve">îşi </w:t>
      </w:r>
      <w:r>
        <w:t xml:space="preserve">invită cititorul să opteze </w:t>
      </w:r>
      <w:r>
        <w:t xml:space="preserve">pentru el, să se identifice cu el.</w:t>
      </w:r>
      <w:r>
        <w:t xml:space="preserve"> Teoria politicii</w:t>
      </w:r>
      <w:r>
        <w:t xml:space="preserve"> nu </w:t>
      </w:r>
      <w:r>
        <w:t xml:space="preserve">poate face abstracţie de teologie şi </w:t>
      </w:r>
      <w:r>
        <w:t xml:space="preserve">de </w:t>
      </w:r>
      <w:r>
        <w:t xml:space="preserve">naraţiunile ei</w:t>
      </w:r>
      <w:r>
        <w:t xml:space="preserve"> biblice</w:t>
      </w:r>
      <w:r>
        <w:t xml:space="preserve">, </w:t>
      </w:r>
      <w:r>
        <w:t xml:space="preserve">pentru că aici se regăsesc simbolurile fundamentale ale propriului discurs</w:t>
      </w:r>
      <w:r>
        <w:t xml:space="preserve"> european, de tradiţie creştină</w:t>
      </w:r>
      <w:r>
        <w:t xml:space="preserve">.</w:t>
      </w:r>
      <w:r/>
    </w:p>
    <w:p>
      <w:pPr>
        <w:pStyle w:val="2227"/>
        <w:pBdr/>
        <w:spacing/>
        <w:ind/>
        <w:rPr/>
      </w:pPr>
      <w:r>
        <w:t xml:space="preserve"> </w:t>
      </w:r>
      <w:r/>
    </w:p>
    <w:p>
      <w:pPr>
        <w:pStyle w:val="2230"/>
        <w:pBdr/>
        <w:spacing/>
        <w:ind/>
        <w:rPr>
          <w:lang w:val="ro-RO"/>
        </w:rPr>
      </w:pPr>
      <w:r/>
      <w:bookmarkStart w:id="8" w:name="_Toc252991834"/>
      <w:r>
        <w:rPr>
          <w:lang w:val="ro-RO"/>
        </w:rPr>
        <w:t xml:space="preserve">1.4</w:t>
      </w:r>
      <w:r>
        <w:rPr>
          <w:lang w:val="ro-RO"/>
        </w:rPr>
        <w:t xml:space="preserve"> </w:t>
      </w:r>
      <w:r>
        <w:rPr>
          <w:lang w:val="ro-RO"/>
        </w:rPr>
        <w:t xml:space="preserve">Conţinutul </w:t>
      </w:r>
      <w:r>
        <w:rPr>
          <w:lang w:val="ro-RO"/>
        </w:rPr>
        <w:t xml:space="preserve">politic al </w:t>
      </w:r>
      <w:r>
        <w:rPr>
          <w:lang w:val="ro-RO"/>
        </w:rPr>
        <w:t xml:space="preserve">teologiei NT</w:t>
      </w:r>
      <w:bookmarkEnd w:id="8"/>
      <w:r>
        <w:rPr>
          <w:lang w:val="ro-RO"/>
        </w:rPr>
      </w:r>
      <w:r>
        <w:rPr>
          <w:lang w:val="ro-RO"/>
        </w:rPr>
      </w:r>
    </w:p>
    <w:p>
      <w:pPr>
        <w:pStyle w:val="2227"/>
        <w:pBdr/>
        <w:spacing/>
        <w:ind w:firstLine="0"/>
        <w:rPr/>
      </w:pPr>
      <w:r/>
      <w:r/>
    </w:p>
    <w:p>
      <w:pPr>
        <w:pStyle w:val="2227"/>
        <w:pBdr/>
        <w:spacing/>
        <w:ind w:firstLine="0"/>
        <w:rPr/>
      </w:pPr>
      <w:r>
        <w:t xml:space="preserve">Teologia politică a Noului Testament ar </w:t>
      </w:r>
      <w:r>
        <w:t xml:space="preserve">putea </w:t>
      </w:r>
      <w:r>
        <w:t xml:space="preserve">folosi, astfel, </w:t>
      </w:r>
      <w:r>
        <w:t xml:space="preserve">etosul biblic ca să medieze şi să recreeze reţeaua relaţiilor dintre cetatea lui Dumnezeu şi cetatea lumii, atât pentru scopul convieţuirii în </w:t>
      </w:r>
      <w:r>
        <w:rPr>
          <w:i/>
          <w:iCs/>
        </w:rPr>
        <w:t xml:space="preserve">saeculum</w:t>
      </w:r>
      <w:r>
        <w:t xml:space="preserve">, cât şi pentru motivul unei mărturii </w:t>
      </w:r>
      <w:r>
        <w:t xml:space="preserve">cât mai vii despre esenţa împărăţiei lui Dumnezeu.</w:t>
      </w:r>
      <w:r>
        <w:t xml:space="preserve"> </w:t>
      </w:r>
      <w:r>
        <w:t xml:space="preserve">Ea ar încerca, în acelaşi timp, nu doar să găsească răspunsuri pentru nevoile şi interesele</w:t>
      </w:r>
      <w:r>
        <w:t xml:space="preserve"> individuale, private, cât să le ia în calcul pe acestea</w:t>
      </w:r>
      <w:r>
        <w:t xml:space="preserve"> alături de cele generale ale comunităţii.</w:t>
      </w:r>
      <w:r>
        <w:t xml:space="preserve"> </w:t>
      </w:r>
      <w:r>
        <w:t xml:space="preserve">J.B. Metz notează, astfel, că </w:t>
      </w:r>
      <w:r>
        <w:t xml:space="preserve">„</w:t>
      </w:r>
      <w:r>
        <w:t xml:space="preserve">promisiunile centrale ale domniei lui Dumnezeu privitoare la libertate, pace, dreptate, împăcare, nu </w:t>
      </w:r>
      <w:r>
        <w:t xml:space="preserve">pot fi reduse în mod radical la nivelul unor interese private. Ele nu pot fi în întregime interiorizate şi spiritualizate ca dorinţe persoale după pace şi libertate”.</w:t>
      </w:r>
      <w:r>
        <w:rPr>
          <w:rStyle w:val="2248"/>
        </w:rPr>
        <w:footnoteReference w:id="33"/>
      </w:r>
      <w:r>
        <w:t xml:space="preserve"> Cu </w:t>
      </w:r>
      <w:r>
        <w:t xml:space="preserve">alte cuvinte, teologia politică</w:t>
      </w:r>
      <w:r>
        <w:t xml:space="preserve"> încearcă să </w:t>
      </w:r>
      <w:r>
        <w:t xml:space="preserve">re</w:t>
      </w:r>
      <w:r>
        <w:t xml:space="preserve">aducă în atenţie </w:t>
      </w:r>
      <w:r>
        <w:t xml:space="preserve">perspectiva divină asupra relaţiei dintre </w:t>
      </w:r>
      <w:r>
        <w:t xml:space="preserve">interesul privat </w:t>
      </w:r>
      <w:r>
        <w:t xml:space="preserve">şi cel colectiv,</w:t>
      </w:r>
      <w:r>
        <w:t xml:space="preserve"> </w:t>
      </w:r>
      <w:r>
        <w:t xml:space="preserve">încercând o sinteză între </w:t>
      </w:r>
      <w:r>
        <w:rPr>
          <w:i/>
          <w:iCs/>
        </w:rPr>
        <w:t xml:space="preserve">oikos</w:t>
      </w:r>
      <w:r>
        <w:t xml:space="preserve"> (casa) şi </w:t>
      </w:r>
      <w:r>
        <w:rPr>
          <w:i/>
          <w:iCs/>
        </w:rPr>
        <w:t xml:space="preserve">polis</w:t>
      </w:r>
      <w:r>
        <w:t xml:space="preserve"> (cetatea), </w:t>
      </w:r>
      <w:r>
        <w:t xml:space="preserve">ceea ce este văzut ca una din </w:t>
      </w:r>
      <w:r>
        <w:t xml:space="preserve">slujirile</w:t>
      </w:r>
      <w:r>
        <w:t xml:space="preserve"> şi chemările</w:t>
      </w:r>
      <w:r>
        <w:t xml:space="preserve"> remarcabile ale </w:t>
      </w:r>
      <w:r>
        <w:rPr>
          <w:i/>
          <w:iCs/>
        </w:rPr>
        <w:t xml:space="preserve">ekklesiei</w:t>
      </w:r>
      <w:r>
        <w:t xml:space="preserve">, ale Bisericii</w:t>
      </w:r>
      <w:r>
        <w:t xml:space="preserve">.</w:t>
      </w:r>
      <w:r>
        <w:rPr>
          <w:rStyle w:val="2248"/>
        </w:rPr>
        <w:footnoteReference w:id="34"/>
      </w:r>
      <w:r>
        <w:t xml:space="preserve"> Complexul hibrid </w:t>
      </w:r>
      <w:r>
        <w:rPr>
          <w:i/>
          <w:iCs/>
        </w:rPr>
        <w:t xml:space="preserve">oikos-polis</w:t>
      </w:r>
      <w:r>
        <w:t xml:space="preserve"> reprezintă o reaşezare a intereselor şi principiilor, în concordanţă cu voinţa divină şi perspectivele eschatologice divine.</w:t>
      </w:r>
      <w:r>
        <w:t xml:space="preserve"> În acest cadru se redefinesc responsabilităţile bărbaţilor şi femeilor, ale părinţilor şi copiilor, ale patronilor şi angajaţilor, ale conducătorilor şi ale celor conduşi, </w:t>
      </w:r>
      <w:r>
        <w:t xml:space="preserve">concepţia despre viitor (eschatologia), </w:t>
      </w:r>
      <w:r>
        <w:t xml:space="preserve">etc., toate reprezentând teme importante ale Noului Testament.</w:t>
      </w:r>
      <w:r/>
    </w:p>
    <w:p>
      <w:pPr>
        <w:pStyle w:val="2227"/>
        <w:pBdr/>
        <w:spacing/>
        <w:ind/>
        <w:rPr/>
      </w:pPr>
      <w:r>
        <w:t xml:space="preserve">Printre subiectele majore ce vor fi </w:t>
      </w:r>
      <w:r>
        <w:t xml:space="preserve">luate în considerare</w:t>
      </w:r>
      <w:r>
        <w:t xml:space="preserve"> </w:t>
      </w:r>
      <w:r>
        <w:t xml:space="preserve">în </w:t>
      </w:r>
      <w:r>
        <w:t xml:space="preserve">cadrul acestui</w:t>
      </w:r>
      <w:r>
        <w:t xml:space="preserve"> studiu de teologie po</w:t>
      </w:r>
      <w:r>
        <w:t xml:space="preserve">litică a Noului Testament </w:t>
      </w:r>
      <w:r>
        <w:t xml:space="preserve">se numără</w:t>
      </w:r>
      <w:r>
        <w:t xml:space="preserve">, astfel, tema</w:t>
      </w:r>
      <w:r>
        <w:t xml:space="preserve"> poporul</w:t>
      </w:r>
      <w:r>
        <w:t xml:space="preserve">ui</w:t>
      </w:r>
      <w:r>
        <w:t xml:space="preserve"> lui Dumnezeu (antropologie b</w:t>
      </w:r>
      <w:r>
        <w:t xml:space="preserve">iblică, teologia</w:t>
      </w:r>
      <w:r>
        <w:t xml:space="preserve"> </w:t>
      </w:r>
      <w:r>
        <w:t xml:space="preserve">despre Israel ca popor al Dumnezeu; teologia despre Biserică - </w:t>
      </w:r>
      <w:r>
        <w:rPr>
          <w:i/>
          <w:iCs/>
        </w:rPr>
        <w:t xml:space="preserve">ekklesia</w:t>
      </w:r>
      <w:r>
        <w:t xml:space="preserve">, văzută ca nou popor al lui Dumnezeu</w:t>
      </w:r>
      <w:r>
        <w:t xml:space="preserve">); importanţa cetăţii şi a capitalei (Ierusalim, </w:t>
      </w:r>
      <w:r>
        <w:rPr>
          <w:i/>
          <w:iCs/>
        </w:rPr>
        <w:t xml:space="preserve">polis</w:t>
      </w:r>
      <w:r>
        <w:rPr>
          <w:i/>
          <w:iCs/>
        </w:rPr>
        <w:t xml:space="preserve"> </w:t>
      </w:r>
      <w:r>
        <w:t xml:space="preserve">şi </w:t>
      </w:r>
      <w:r>
        <w:rPr>
          <w:i/>
          <w:iCs/>
        </w:rPr>
        <w:t xml:space="preserve">metropolis</w:t>
      </w:r>
      <w:r>
        <w:t xml:space="preserve">, teologia cetăţii</w:t>
      </w:r>
      <w:r>
        <w:t xml:space="preserve"> şi a capitalei</w:t>
      </w:r>
      <w:r>
        <w:t xml:space="preserve">); geografia ideologică şi împărăţia divină (</w:t>
      </w:r>
      <w:r>
        <w:rPr>
          <w:i/>
          <w:iCs/>
        </w:rPr>
        <w:t xml:space="preserve">basileia</w:t>
      </w:r>
      <w:r>
        <w:rPr>
          <w:i/>
          <w:iCs/>
        </w:rPr>
        <w:t xml:space="preserve"> tou theou</w:t>
      </w:r>
      <w:r>
        <w:t xml:space="preserve">, </w:t>
      </w:r>
      <w:r>
        <w:rPr>
          <w:i/>
          <w:iCs/>
        </w:rPr>
        <w:t xml:space="preserve">imperium</w:t>
      </w:r>
      <w:r>
        <w:t xml:space="preserve">; viziunea despre imperiu şi gândirea apocaliptică; monarhie, judecători, păstori); relaţiile sociale-economice în societate şi în familie (</w:t>
      </w:r>
      <w:r>
        <w:t xml:space="preserve">relaţii </w:t>
      </w:r>
      <w:r>
        <w:t xml:space="preserve">sărăci – bogaţi; angajaţi - patroni, soţ-soţie, părinţi-copii; coduri de laudă şi onoare; relaţii ierarhice</w:t>
      </w:r>
      <w:r>
        <w:t xml:space="preserve">; ; relaţia între stat şi cetăţenii creştini</w:t>
      </w:r>
      <w:r>
        <w:t xml:space="preserve">); relaţia dintre eschatologie şi ideologie (speranţa în înviere şi comport</w:t>
      </w:r>
      <w:r>
        <w:t xml:space="preserve">amentul social;</w:t>
      </w:r>
      <w:r>
        <w:t xml:space="preserve"> curajul mesianic şi implicarea politică); relaţia dintre evanghelie şi mărturia socială (</w:t>
      </w:r>
      <w:r>
        <w:t xml:space="preserve">creştinul şi societatea păgână; tema confruntărilor şi tema mărturiei).</w:t>
      </w:r>
      <w:r/>
    </w:p>
    <w:p>
      <w:pPr>
        <w:pStyle w:val="2227"/>
        <w:pBdr/>
        <w:spacing/>
        <w:ind/>
        <w:rPr>
          <w:lang w:eastAsia="en-US" w:bidi="he-IL"/>
        </w:rPr>
      </w:pPr>
      <w:r>
        <w:t xml:space="preserve">În esenţă, întrebarea la ca</w:t>
      </w:r>
      <w:r>
        <w:t xml:space="preserve">re doreşte să răspundă această analiză a teologiei politice</w:t>
      </w:r>
      <w:r>
        <w:t xml:space="preserve"> a Noului Testament</w:t>
      </w:r>
      <w:r>
        <w:t xml:space="preserve"> este în ce măsură principiile teologice a</w:t>
      </w:r>
      <w:r>
        <w:t xml:space="preserve">le Noului Te</w:t>
      </w:r>
      <w:r>
        <w:t xml:space="preserve">stament conţin concepte politice de care poate ţine seama Biserica astăzi, sau creştinii implicaţi în politică, pentru a </w:t>
      </w:r>
      <w:r>
        <w:t xml:space="preserve">înţelege rolul comunităţilor creştine în stat, î</w:t>
      </w:r>
      <w:r>
        <w:t xml:space="preserve">n lumea pluralistă prezentă, pentru a</w:t>
      </w:r>
      <w:r>
        <w:t xml:space="preserve"> fi activi şi eficienţi în acest rol. </w:t>
      </w:r>
      <w:r>
        <w:t xml:space="preserve">În cuvintele lui Bretherton, </w:t>
      </w:r>
      <w:r>
        <w:t xml:space="preserve">pentru a avea o Biserică activă şi efi</w:t>
      </w:r>
      <w:r>
        <w:t xml:space="preserve">ci</w:t>
      </w:r>
      <w:r>
        <w:t xml:space="preserve">entă sunt importante relaţiile </w:t>
      </w:r>
      <w:r>
        <w:t xml:space="preserve">dintre creştinism, identitate şi localizare spaţio-temporală, </w:t>
      </w:r>
      <w:r>
        <w:t xml:space="preserve">precum şi relaţiile dintre </w:t>
      </w:r>
      <w:r>
        <w:t xml:space="preserve">dintre Biserică, societate civilă, piaţă, şi stat.</w:t>
      </w:r>
      <w:r>
        <w:rPr>
          <w:rStyle w:val="2248"/>
        </w:rPr>
        <w:footnoteReference w:id="35"/>
      </w:r>
      <w:r>
        <w:t xml:space="preserve"> Sau, este important cum va putea să acţioneze </w:t>
      </w:r>
      <w:r>
        <w:t xml:space="preserve">B</w:t>
      </w:r>
      <w:r>
        <w:t xml:space="preserve">iserica</w:t>
      </w:r>
      <w:r>
        <w:t xml:space="preserve">, pe baza acestor principii,</w:t>
      </w:r>
      <w:r>
        <w:t xml:space="preserve"> aşa încât să medieze şi</w:t>
      </w:r>
      <w:r>
        <w:t xml:space="preserve"> să negocieze o viaţă comună cu celelalte componente ne-creştine ale societăţii, în raport cu statul şi cu piaţa</w:t>
      </w:r>
      <w:r>
        <w:t xml:space="preserve">, </w:t>
      </w:r>
      <w:r>
        <w:t xml:space="preserve">intervenind prin implicare ecclesială specifică.</w:t>
      </w:r>
      <w:r>
        <w:rPr>
          <w:rStyle w:val="2248"/>
        </w:rPr>
        <w:footnoteReference w:id="36"/>
      </w:r>
      <w:r>
        <w:t xml:space="preserve"> Biserica nu are nevoie să se identifice cu un sistem politic specific (cum, de exemplu, argumentau Jacques Maritain, Reinhold Niebuhr şi alţii, la mijocul secolului 20, că </w:t>
      </w:r>
      <w:r>
        <w:t xml:space="preserve">există o compatibilitate evidentă între democraţia liberală şi creştinism, </w:t>
      </w:r>
      <w:r>
        <w:t xml:space="preserve">precum şi o</w:t>
      </w:r>
      <w:r>
        <w:t xml:space="preserve"> incompatibilitate clară </w:t>
      </w:r>
      <w:r>
        <w:t xml:space="preserve">între creştinism şi totali</w:t>
      </w:r>
      <w:r>
        <w:t xml:space="preserve">t</w:t>
      </w:r>
      <w:r>
        <w:t xml:space="preserve">arianism ori</w:t>
      </w:r>
      <w:r>
        <w:t xml:space="preserve"> între creştinism şi</w:t>
      </w:r>
      <w:r>
        <w:t xml:space="preserve"> liberalismul secular).</w:t>
      </w:r>
      <w:r>
        <w:rPr>
          <w:rStyle w:val="2248"/>
        </w:rPr>
        <w:footnoteReference w:id="37"/>
      </w:r>
      <w:r>
        <w:t xml:space="preserve"> </w:t>
      </w:r>
      <w:r>
        <w:t xml:space="preserve">Biserica</w:t>
      </w:r>
      <w:r>
        <w:t xml:space="preserve"> ar trebui să aibe propria ei viziune despre rezolvarea problemelor sociale şi politice (S. Hauerwas).</w:t>
      </w:r>
      <w:r>
        <w:t xml:space="preserve"> </w:t>
      </w:r>
      <w:r>
        <w:rPr>
          <w:lang w:eastAsia="en-US" w:bidi="he-IL"/>
        </w:rPr>
      </w:r>
      <w:r>
        <w:rPr>
          <w:lang w:eastAsia="en-US" w:bidi="he-IL"/>
        </w:rPr>
      </w:r>
    </w:p>
    <w:p>
      <w:pPr>
        <w:pStyle w:val="2227"/>
        <w:pBdr/>
        <w:spacing/>
        <w:ind/>
        <w:rPr>
          <w:lang w:eastAsia="en-US" w:bidi="he-IL"/>
        </w:rPr>
      </w:pPr>
      <w:r>
        <w:rPr>
          <w:lang w:eastAsia="en-US" w:bidi="he-IL"/>
        </w:rPr>
        <w:t xml:space="preserve">De fapt, aceasta este şi imaginea Bisericii în Noul Testament. Biserica primară se vede parte a </w:t>
      </w:r>
      <w:r>
        <w:rPr>
          <w:lang w:eastAsia="en-US" w:bidi="he-IL"/>
        </w:rPr>
        <w:t xml:space="preserve">unui imperiu uriaş, păgân – ca şi Israelul, altădată, în diversele </w:t>
      </w:r>
      <w:r>
        <w:rPr>
          <w:lang w:eastAsia="en-US" w:bidi="he-IL"/>
        </w:rPr>
        <w:t xml:space="preserve">sale exiluri în </w:t>
      </w:r>
      <w:r>
        <w:rPr>
          <w:lang w:eastAsia="en-US" w:bidi="he-IL"/>
        </w:rPr>
        <w:t xml:space="preserve">cetăţile şi impărăţiile păgâne ale lumeii </w:t>
      </w:r>
      <w:r>
        <w:rPr>
          <w:lang w:eastAsia="en-US" w:bidi="he-IL"/>
        </w:rPr>
        <w:t xml:space="preserve">etape ale </w:t>
      </w:r>
      <w:r>
        <w:rPr>
          <w:lang w:eastAsia="en-US" w:bidi="he-IL"/>
        </w:rPr>
        <w:t xml:space="preserve">şirurilor sale de exiluri</w:t>
      </w:r>
      <w:r>
        <w:rPr>
          <w:lang w:eastAsia="en-US" w:bidi="he-IL"/>
        </w:rPr>
        <w:t xml:space="preserve"> (în Egipt, în Babilon, în Ninive, sub persani</w:t>
      </w:r>
      <w:r>
        <w:rPr>
          <w:lang w:eastAsia="en-US" w:bidi="he-IL"/>
        </w:rPr>
        <w:t xml:space="preserve">, sub sirieni</w:t>
      </w:r>
      <w:r>
        <w:rPr>
          <w:lang w:eastAsia="en-US" w:bidi="he-IL"/>
        </w:rPr>
        <w:t xml:space="preserve"> şi sub romani)</w:t>
      </w:r>
      <w:r>
        <w:rPr>
          <w:lang w:eastAsia="en-US" w:bidi="he-IL"/>
        </w:rPr>
      </w:r>
      <w:r>
        <w:rPr>
          <w:lang w:eastAsia="en-US" w:bidi="he-IL"/>
        </w:rPr>
      </w:r>
    </w:p>
    <w:p>
      <w:pPr>
        <w:pStyle w:val="2227"/>
        <w:pBdr/>
        <w:spacing/>
        <w:ind/>
        <w:rPr/>
      </w:pPr>
      <w:r>
        <w:t xml:space="preserve">S-ar putea, din acest punct de vedere, să </w:t>
      </w:r>
      <w:r>
        <w:t xml:space="preserve">se observe că în ciuda vehiculării intense, în ultimile decenii, a ideii că societatea se îndreaptă ireversibil spre secularizare, </w:t>
      </w:r>
      <w:r>
        <w:t xml:space="preserve">să </w:t>
      </w:r>
      <w:r>
        <w:t xml:space="preserve">se constate că în prezent se trăieşte la fel de intens religios, ca oricând altcândva în istorie, şi că societatea prezintă un tablou pluralist, aproape de cel al lumii din primul secol dH.</w:t>
      </w:r>
      <w:r>
        <w:rPr>
          <w:rStyle w:val="2248"/>
        </w:rPr>
        <w:footnoteReference w:id="38"/>
      </w:r>
      <w:r>
        <w:t xml:space="preserve"> Compatibilitatea dintre concepţia Noului Testament şi lumea contemporană s-ar putea, aşadar, să fie mult mai mare decât s-ar întrezări la prima vedere.</w:t>
      </w:r>
      <w:r/>
    </w:p>
    <w:p>
      <w:pPr>
        <w:pStyle w:val="2227"/>
        <w:pBdr/>
        <w:spacing/>
        <w:ind/>
        <w:rPr/>
      </w:pPr>
      <w:r>
        <w:t xml:space="preserve">Conţinutul teologic al </w:t>
      </w:r>
      <w:r>
        <w:t xml:space="preserve">NT (</w:t>
      </w:r>
      <w:r>
        <w:t xml:space="preserve">cu învăţătura sa despre T</w:t>
      </w:r>
      <w:r>
        <w:t xml:space="preserve">rinitate, creaţie, </w:t>
      </w:r>
      <w:r>
        <w:t xml:space="preserve">hristologie, ispăşire, spirit, B</w:t>
      </w:r>
      <w:r>
        <w:t xml:space="preserve">iserică, escatologie) are</w:t>
      </w:r>
      <w:r>
        <w:t xml:space="preserve"> implicaţii politice i</w:t>
      </w:r>
      <w:r>
        <w:t xml:space="preserve">mportante </w:t>
      </w:r>
      <w:r>
        <w:t xml:space="preserve">(</w:t>
      </w:r>
      <w:r>
        <w:t xml:space="preserve">învăţătura</w:t>
      </w:r>
      <w:r>
        <w:t xml:space="preserve"> despre Trinitate </w:t>
      </w:r>
      <w:r>
        <w:t xml:space="preserve">sugerează</w:t>
      </w:r>
      <w:r>
        <w:t xml:space="preserve"> modele de conducere, </w:t>
      </w:r>
      <w:r>
        <w:t xml:space="preserve">de </w:t>
      </w:r>
      <w:r>
        <w:t xml:space="preserve">divizare</w:t>
      </w:r>
      <w:r>
        <w:t xml:space="preserve"> şi raportare a puterii, </w:t>
      </w:r>
      <w:r>
        <w:t xml:space="preserve">valori etice, paradigme de organizare; </w:t>
      </w:r>
      <w:r>
        <w:t xml:space="preserve">informaţiile despre</w:t>
      </w:r>
      <w:r>
        <w:t xml:space="preserve"> </w:t>
      </w:r>
      <w:r>
        <w:t xml:space="preserve">creaţie conferă valoare </w:t>
      </w:r>
      <w:r>
        <w:t xml:space="preserve">şi identitate </w:t>
      </w:r>
      <w:r>
        <w:t xml:space="preserve">omului, lumii </w:t>
      </w:r>
      <w:r>
        <w:t xml:space="preserve">înconjurătoare</w:t>
      </w:r>
      <w:r>
        <w:t xml:space="preserve">;</w:t>
      </w:r>
      <w:r>
        <w:t xml:space="preserve"> </w:t>
      </w:r>
      <w:r>
        <w:t xml:space="preserve">învăţăturile</w:t>
      </w:r>
      <w:r>
        <w:t xml:space="preserve"> de</w:t>
      </w:r>
      <w:r>
        <w:t xml:space="preserve">spre</w:t>
      </w:r>
      <w:r>
        <w:t xml:space="preserve"> hristologie vorbesc despre</w:t>
      </w:r>
      <w:r>
        <w:t xml:space="preserve"> implicarea divini</w:t>
      </w:r>
      <w:r>
        <w:t xml:space="preserve">tăţii în lumea creată</w:t>
      </w:r>
      <w:r>
        <w:t xml:space="preserve"> prin întruparea Fiului lui Dumnezeu ca om</w:t>
      </w:r>
      <w:r>
        <w:t xml:space="preserve">, Isus Hristos</w:t>
      </w:r>
      <w:r>
        <w:t xml:space="preserve">, reproiectează destinul umanităţii şi al lumii create</w:t>
      </w:r>
      <w:r>
        <w:t xml:space="preserve">, </w:t>
      </w:r>
      <w:r>
        <w:t xml:space="preserve">redimensionează </w:t>
      </w:r>
      <w:r>
        <w:t xml:space="preserve">noţiune</w:t>
      </w:r>
      <w:r>
        <w:t xml:space="preserve">a</w:t>
      </w:r>
      <w:r>
        <w:t xml:space="preserve"> de slujire</w:t>
      </w:r>
      <w:r>
        <w:t xml:space="preserve">, de jertfă</w:t>
      </w:r>
      <w:r>
        <w:t xml:space="preserve">; </w:t>
      </w:r>
      <w:r>
        <w:t xml:space="preserve">cele despre ispăşire</w:t>
      </w:r>
      <w:r>
        <w:t xml:space="preserve"> – </w:t>
      </w:r>
      <w:r>
        <w:t xml:space="preserve">mântuire prin </w:t>
      </w:r>
      <w:r>
        <w:t xml:space="preserve">jertfa salvatoare</w:t>
      </w:r>
      <w:r>
        <w:t xml:space="preserve"> a Mântuitorului</w:t>
      </w:r>
      <w:r>
        <w:t xml:space="preserve">, aduc</w:t>
      </w:r>
      <w:r>
        <w:t xml:space="preserve"> concepte majore despre cauza răului, </w:t>
      </w:r>
      <w:r>
        <w:t xml:space="preserve">despre </w:t>
      </w:r>
      <w:r>
        <w:t xml:space="preserve">starea prezentă a umanităţii şi perspectivele de viitor; înţelegerea lumii spirituale </w:t>
      </w:r>
      <w:r>
        <w:t xml:space="preserve">vizavi de lumea materială descrie</w:t>
      </w:r>
      <w:r>
        <w:t xml:space="preserve"> un spaţiu mai larg </w:t>
      </w:r>
      <w:r>
        <w:t xml:space="preserve">pentru definirea vieţii, în general, şi a</w:t>
      </w:r>
      <w:r>
        <w:t xml:space="preserve"> valorilor umane, în special; </w:t>
      </w:r>
      <w:r>
        <w:t xml:space="preserve">învăţătura despre B</w:t>
      </w:r>
      <w:r>
        <w:t xml:space="preserve">iserică – </w:t>
      </w:r>
      <w:r>
        <w:t xml:space="preserve">despre </w:t>
      </w:r>
      <w:r>
        <w:t xml:space="preserve">omenirea salvată organizată în Împărăţia lui Dumnezeu şi în Biserică (împreună cu Israel) redefineşte paradigmele corporatiste ale umanităţii, viaţa socială</w:t>
      </w:r>
      <w:r>
        <w:t xml:space="preserve">, teologia naţiunilor</w:t>
      </w:r>
      <w:r>
        <w:t xml:space="preserve">;</w:t>
      </w:r>
      <w:r>
        <w:t xml:space="preserve"> în fine, cele despre</w:t>
      </w:r>
      <w:r>
        <w:t xml:space="preserve"> esc</w:t>
      </w:r>
      <w:r>
        <w:t xml:space="preserve">h</w:t>
      </w:r>
      <w:r>
        <w:t xml:space="preserve">atologie – viziunea despre viitor şi drumul spre acest viitor</w:t>
      </w:r>
      <w:r>
        <w:t xml:space="preserve">,</w:t>
      </w:r>
      <w:r>
        <w:t xml:space="preserve"> remodelează valorile şi atitudinile etice şi politice</w:t>
      </w:r>
      <w:r>
        <w:t xml:space="preserve"> ale prezentului, în funcţie de felul de viitor aşteptat</w:t>
      </w:r>
      <w:r>
        <w:t xml:space="preserve">).</w:t>
      </w:r>
      <w:r/>
    </w:p>
    <w:p>
      <w:pPr>
        <w:pStyle w:val="2227"/>
        <w:pBdr/>
        <w:spacing/>
        <w:ind/>
        <w:rPr/>
      </w:pPr>
      <w:r/>
      <w:r/>
    </w:p>
    <w:p>
      <w:pPr>
        <w:pStyle w:val="2230"/>
        <w:pBdr/>
        <w:spacing/>
        <w:ind/>
        <w:rPr>
          <w:lang w:val="ro-RO"/>
        </w:rPr>
      </w:pPr>
      <w:r/>
      <w:bookmarkStart w:id="9" w:name="_Toc252991835"/>
      <w:r>
        <w:rPr>
          <w:lang w:val="ro-RO"/>
        </w:rPr>
        <w:t xml:space="preserve">1.5 </w:t>
      </w:r>
      <w:r>
        <w:rPr>
          <w:lang w:val="ro-RO"/>
        </w:rPr>
        <w:t xml:space="preserve">Problema formei şi a fondului</w:t>
      </w:r>
      <w:r>
        <w:rPr>
          <w:lang w:val="ro-RO"/>
        </w:rPr>
        <w:t xml:space="preserve"> în t</w:t>
      </w:r>
      <w:r>
        <w:rPr>
          <w:lang w:val="ro-RO"/>
        </w:rPr>
        <w:t xml:space="preserve">eologia politică</w:t>
      </w:r>
      <w:bookmarkEnd w:id="9"/>
      <w:r>
        <w:rPr>
          <w:lang w:val="ro-RO"/>
        </w:rPr>
      </w:r>
      <w:r>
        <w:rPr>
          <w:lang w:val="ro-RO"/>
        </w:rPr>
      </w:r>
    </w:p>
    <w:p>
      <w:pPr>
        <w:pStyle w:val="2227"/>
        <w:pBdr/>
        <w:spacing/>
        <w:ind w:firstLine="0"/>
        <w:rPr/>
      </w:pPr>
      <w:r/>
      <w:r/>
    </w:p>
    <w:p>
      <w:pPr>
        <w:pStyle w:val="2227"/>
        <w:pBdr/>
        <w:spacing/>
        <w:ind w:firstLine="0"/>
        <w:rPr/>
      </w:pPr>
      <w:r>
        <w:t xml:space="preserve">Studiul </w:t>
      </w:r>
      <w:r>
        <w:t xml:space="preserve">teologiei politice a Noului Testament</w:t>
      </w:r>
      <w:r>
        <w:t xml:space="preserve"> este interesa</w:t>
      </w:r>
      <w:r>
        <w:t xml:space="preserve">nt</w:t>
      </w:r>
      <w:r>
        <w:t xml:space="preserve"> şi din alt punct de vedere. </w:t>
      </w:r>
      <w:r>
        <w:t xml:space="preserve">El atrage atenţia că t</w:t>
      </w:r>
      <w:r>
        <w:t xml:space="preserve">eoriile politice dezvoltate în lumea vestică, </w:t>
      </w:r>
      <w:r>
        <w:t xml:space="preserve">valorile democratice</w:t>
      </w:r>
      <w:r>
        <w:t xml:space="preserve">, </w:t>
      </w:r>
      <w:r>
        <w:t xml:space="preserve">doctrinele politice </w:t>
      </w:r>
      <w:r>
        <w:t xml:space="preserve">în asamblul lor, </w:t>
      </w:r>
      <w:r>
        <w:t xml:space="preserve">pot</w:t>
      </w:r>
      <w:r>
        <w:t xml:space="preserve"> fi</w:t>
      </w:r>
      <w:r>
        <w:t xml:space="preserve"> </w:t>
      </w:r>
      <w:r>
        <w:t xml:space="preserve">adoptate şi folosite</w:t>
      </w:r>
      <w:r>
        <w:t xml:space="preserve"> în unele state ca un fel de „formă fără fond”</w:t>
      </w:r>
      <w:r>
        <w:t xml:space="preserve">, anume acolo unde nu există un fundament tradiţional creştin al filosofiei politice.</w:t>
      </w:r>
      <w:r>
        <w:t xml:space="preserve"> </w:t>
      </w:r>
      <w:r>
        <w:t xml:space="preserve">Întrucât teologicul impregnează mai bine socialul decât </w:t>
      </w:r>
      <w:r>
        <w:t xml:space="preserve">politicul, se poate spune că teologicul este cel care </w:t>
      </w:r>
      <w:r>
        <w:t xml:space="preserve">formează prima bază ideologică pentru gândirea politică. </w:t>
      </w:r>
      <w:r/>
    </w:p>
    <w:p>
      <w:pPr>
        <w:pStyle w:val="2227"/>
        <w:pBdr/>
        <w:spacing/>
        <w:ind/>
        <w:rPr/>
      </w:pPr>
      <w:r>
        <w:t xml:space="preserve">Se realizează astfel</w:t>
      </w:r>
      <w:r>
        <w:t xml:space="preserve"> ideea</w:t>
      </w:r>
      <w:r>
        <w:t xml:space="preserve"> că, pentru a </w:t>
      </w:r>
      <w:r>
        <w:t xml:space="preserve">promova</w:t>
      </w:r>
      <w:r>
        <w:t xml:space="preserve"> politici </w:t>
      </w:r>
      <w:r>
        <w:t xml:space="preserve">comune la nivel global, </w:t>
      </w:r>
      <w:r>
        <w:t xml:space="preserve">este necesar să se asigure un fond de dialog teologic </w:t>
      </w:r>
      <w:r>
        <w:t xml:space="preserve">şi filosofic </w:t>
      </w:r>
      <w:r>
        <w:t xml:space="preserve">preliminar</w:t>
      </w:r>
      <w:r>
        <w:t xml:space="preserve">.</w:t>
      </w:r>
      <w:r>
        <w:t xml:space="preserve"> </w:t>
      </w:r>
      <w:r>
        <w:t xml:space="preserve">Studiul teologiei politice </w:t>
      </w:r>
      <w:r>
        <w:t xml:space="preserve">a NT furnizează, astfel, şi o bază pentru cunoaşterea</w:t>
      </w:r>
      <w:r>
        <w:t xml:space="preserve">, prin paralelism</w:t>
      </w:r>
      <w:r>
        <w:t xml:space="preserve">, a altor fundamente poli</w:t>
      </w:r>
      <w:r>
        <w:t xml:space="preserve">tice, a altor teologii politice, bazate pe alte fundamente teologice, necreştine.</w:t>
      </w:r>
      <w:r/>
    </w:p>
    <w:p>
      <w:pPr>
        <w:pStyle w:val="2227"/>
        <w:pBdr/>
        <w:spacing/>
        <w:ind/>
        <w:rPr/>
      </w:pPr>
      <w:r>
        <w:t xml:space="preserve">Deşi până aici</w:t>
      </w:r>
      <w:r>
        <w:t xml:space="preserve"> a fost amintit </w:t>
      </w:r>
      <w:r>
        <w:t xml:space="preserve">numai </w:t>
      </w:r>
      <w:r>
        <w:t xml:space="preserve">creştinismul, </w:t>
      </w:r>
      <w:r>
        <w:t xml:space="preserve">trebuie spus că, în principiul, se p</w:t>
      </w:r>
      <w:r>
        <w:t xml:space="preserve">oate face o teologie politică şi din perspectiva iudaismului, a islamului, a</w:t>
      </w:r>
      <w:r>
        <w:t xml:space="preserve"> budismului, a</w:t>
      </w:r>
      <w:r>
        <w:t xml:space="preserve"> hinduismului, etc., </w:t>
      </w:r>
      <w:r>
        <w:t xml:space="preserve">din perspectiva fiecărei religii care şi-a împletit dezvoltarea şi viaţa de închinare cu cea de organizare a societăţii. </w:t>
      </w:r>
      <w:r>
        <w:t xml:space="preserve">Cel puţin la nivelul iudaismului şi al islamului există numeroase studii</w:t>
      </w:r>
      <w:r>
        <w:t xml:space="preserve"> punctuale</w:t>
      </w:r>
      <w:r>
        <w:t xml:space="preserve"> de teologie politică. </w:t>
      </w:r>
      <w:r>
        <w:t xml:space="preserve">Se poate</w:t>
      </w:r>
      <w:r>
        <w:t xml:space="preserve"> pune</w:t>
      </w:r>
      <w:r>
        <w:t xml:space="preserve">, în acelaşi timp, şi</w:t>
      </w:r>
      <w:r>
        <w:t xml:space="preserve"> întrebarea în ce măsură teologiile politice de tip islamic sau hindus pot favoriza, şi ele, anumite </w:t>
      </w:r>
      <w:r>
        <w:t xml:space="preserve">linii politice, anumite perspective s</w:t>
      </w:r>
      <w:r>
        <w:t xml:space="preserve">tatale, etice, etnice, sociale, etc.</w:t>
      </w:r>
      <w:r>
        <w:t xml:space="preserve">, şi în ce măsură existenţa a unor diverse teologii politice poate fi o bază pentru o teorie politică globală</w:t>
      </w:r>
      <w:r>
        <w:t xml:space="preserve">.</w:t>
      </w:r>
      <w:r>
        <w:rPr>
          <w:rStyle w:val="2248"/>
        </w:rPr>
        <w:footnoteReference w:id="39"/>
      </w:r>
      <w:r/>
    </w:p>
    <w:p>
      <w:pPr>
        <w:pStyle w:val="2227"/>
        <w:pBdr/>
        <w:spacing/>
        <w:ind/>
        <w:rPr/>
      </w:pPr>
      <w:r>
        <w:t xml:space="preserve">În ce priveşte lucrarea de faţă, ea se orientează în mod clar pe analiza teologiei biblice a Noului Testament, o perspectivă de tradiţie creştină declarată.</w:t>
      </w:r>
      <w:r/>
    </w:p>
    <w:p>
      <w:pPr>
        <w:pStyle w:val="2227"/>
        <w:pBdr/>
        <w:spacing/>
        <w:ind/>
        <w:rPr/>
      </w:pPr>
      <w:r>
        <w:t xml:space="preserve">Ca metodă, </w:t>
      </w:r>
      <w:r>
        <w:t xml:space="preserve">se va analiza mai întâi contextul politic şi social al lumii Noului Testament (</w:t>
      </w:r>
      <w:r>
        <w:t xml:space="preserve">iudaic, </w:t>
      </w:r>
      <w:r>
        <w:t xml:space="preserve">greco-roman; creştin</w:t>
      </w:r>
      <w:r>
        <w:t xml:space="preserve"> timpuriu</w:t>
      </w:r>
      <w:r>
        <w:t xml:space="preserve">)</w:t>
      </w:r>
      <w:r>
        <w:t xml:space="preserve">, cu </w:t>
      </w:r>
      <w:r>
        <w:t xml:space="preserve">parcurgerea</w:t>
      </w:r>
      <w:r>
        <w:t xml:space="preserve"> </w:t>
      </w:r>
      <w:r>
        <w:t xml:space="preserve">textelor semnificative din </w:t>
      </w:r>
      <w:r>
        <w:t xml:space="preserve">NT şi a unor pagini de literatură secundară. </w:t>
      </w:r>
      <w:r>
        <w:t xml:space="preserve">Apoi</w:t>
      </w:r>
      <w:r>
        <w:t xml:space="preserve">, </w:t>
      </w:r>
      <w:r>
        <w:t xml:space="preserve">analiza va continua îmbinând perspectivele</w:t>
      </w:r>
      <w:r>
        <w:t xml:space="preserve"> sincronice </w:t>
      </w:r>
      <w:r>
        <w:t xml:space="preserve">(comparaţii între culturile antice majore şi mesajul creştin) </w:t>
      </w:r>
      <w:r>
        <w:t xml:space="preserve">şi </w:t>
      </w:r>
      <w:r>
        <w:t xml:space="preserve">a </w:t>
      </w:r>
      <w:r>
        <w:t xml:space="preserve">celor </w:t>
      </w:r>
      <w:r>
        <w:t xml:space="preserve">diacronice</w:t>
      </w:r>
      <w:r>
        <w:t xml:space="preserve"> (</w:t>
      </w:r>
      <w:r>
        <w:t xml:space="preserve">perceperea </w:t>
      </w:r>
      <w:r>
        <w:t xml:space="preserve">nuanţe</w:t>
      </w:r>
      <w:r>
        <w:t xml:space="preserve">lor</w:t>
      </w:r>
      <w:r>
        <w:t xml:space="preserve"> teologice dezvoltate în timp</w:t>
      </w:r>
      <w:r>
        <w:t xml:space="preserve">, în cadrul gândirii creştine timpurii</w:t>
      </w:r>
      <w:r>
        <w:t xml:space="preserve">)</w:t>
      </w:r>
      <w:r>
        <w:t xml:space="preserve">. Perioada generală avută în vedere acoperă anii</w:t>
      </w:r>
      <w:r>
        <w:t xml:space="preserve"> </w:t>
      </w:r>
      <w:r>
        <w:t xml:space="preserve">150 îH – 1</w:t>
      </w:r>
      <w:r>
        <w:t xml:space="preserve">50</w:t>
      </w:r>
      <w:r>
        <w:t xml:space="preserve"> </w:t>
      </w:r>
      <w:r>
        <w:t xml:space="preserve">dH.</w:t>
      </w:r>
      <w:r/>
    </w:p>
    <w:p>
      <w:pPr>
        <w:pStyle w:val="2227"/>
        <w:pBdr/>
        <w:spacing/>
        <w:ind/>
        <w:rPr/>
      </w:pPr>
      <w:r/>
      <w:r/>
    </w:p>
    <w:p>
      <w:pPr>
        <w:pStyle w:val="2227"/>
        <w:pBdr/>
        <w:spacing/>
        <w:ind/>
        <w:rPr/>
      </w:pPr>
      <w:r/>
      <w:r/>
    </w:p>
    <w:p>
      <w:pPr>
        <w:pStyle w:val="2227"/>
        <w:pBdr/>
        <w:spacing/>
        <w:ind/>
        <w:rPr/>
      </w:pPr>
      <w:r>
        <w:br w:type="page" w:clear="all"/>
      </w:r>
      <w:r/>
    </w:p>
    <w:p>
      <w:pPr>
        <w:pStyle w:val="2229"/>
        <w:pBdr/>
        <w:spacing/>
        <w:ind w:firstLine="0"/>
        <w:rPr/>
      </w:pPr>
      <w:r/>
      <w:bookmarkStart w:id="10" w:name="_Toc252991836"/>
      <w:r>
        <w:t xml:space="preserve">Capitolul</w:t>
      </w:r>
      <w:r>
        <w:t xml:space="preserve"> 2. </w:t>
      </w:r>
      <w:r>
        <w:t xml:space="preserve">Repere </w:t>
      </w:r>
      <w:r>
        <w:t xml:space="preserve">politice</w:t>
      </w:r>
      <w:r>
        <w:t xml:space="preserve"> ale Orientului </w:t>
      </w:r>
      <w:r>
        <w:t xml:space="preserve">antic</w:t>
      </w:r>
      <w:bookmarkEnd w:id="10"/>
      <w:r>
        <w:t xml:space="preserve"> </w:t>
      </w:r>
      <w:r/>
    </w:p>
    <w:p>
      <w:pPr>
        <w:pStyle w:val="2227"/>
        <w:pBdr/>
        <w:spacing/>
        <w:ind/>
        <w:rPr/>
      </w:pPr>
      <w:r/>
      <w:r/>
    </w:p>
    <w:p>
      <w:pPr>
        <w:pStyle w:val="2227"/>
        <w:pBdr/>
        <w:spacing/>
        <w:ind w:firstLine="0"/>
        <w:rPr/>
      </w:pPr>
      <w:r>
        <w:t xml:space="preserve">Teologiile politice</w:t>
      </w:r>
      <w:r>
        <w:t xml:space="preserve"> a</w:t>
      </w:r>
      <w:r>
        <w:t xml:space="preserve">le</w:t>
      </w:r>
      <w:r>
        <w:t xml:space="preserve"> </w:t>
      </w:r>
      <w:r>
        <w:t xml:space="preserve">V</w:t>
      </w:r>
      <w:r>
        <w:t xml:space="preserve">echiului şi Noului </w:t>
      </w:r>
      <w:r>
        <w:t xml:space="preserve">T</w:t>
      </w:r>
      <w:r>
        <w:t xml:space="preserve">estament</w:t>
      </w:r>
      <w:r>
        <w:t xml:space="preserve"> </w:t>
      </w:r>
      <w:r>
        <w:t xml:space="preserve">au </w:t>
      </w:r>
      <w:r>
        <w:t xml:space="preserve">în comun </w:t>
      </w:r>
      <w:r>
        <w:t xml:space="preserve">câteva </w:t>
      </w:r>
      <w:r>
        <w:t xml:space="preserve">concepte </w:t>
      </w:r>
      <w:r>
        <w:t xml:space="preserve">majore care îşi au originea </w:t>
      </w:r>
      <w:r>
        <w:t xml:space="preserve">în istoria antică şi prezintă </w:t>
      </w:r>
      <w:r>
        <w:t xml:space="preserve">numeroase</w:t>
      </w:r>
      <w:r>
        <w:t xml:space="preserve"> corespondenţe cu civilizaţiile </w:t>
      </w:r>
      <w:r>
        <w:t xml:space="preserve">vechi din Orientul apropiat.</w:t>
      </w:r>
      <w:r>
        <w:t xml:space="preserve"> </w:t>
      </w:r>
      <w:r>
        <w:t xml:space="preserve">Printre ele</w:t>
      </w:r>
      <w:r>
        <w:t xml:space="preserve"> po</w:t>
      </w:r>
      <w:r>
        <w:t xml:space="preserve">a</w:t>
      </w:r>
      <w:r>
        <w:t xml:space="preserve">t</w:t>
      </w:r>
      <w:r>
        <w:t xml:space="preserve">e</w:t>
      </w:r>
      <w:r>
        <w:t xml:space="preserve"> fi </w:t>
      </w:r>
      <w:r>
        <w:t xml:space="preserve">amintit tiparul alianţelor politice (tiparul covenantal), deoarece</w:t>
      </w:r>
      <w:r>
        <w:t xml:space="preserve"> </w:t>
      </w:r>
      <w:r>
        <w:t xml:space="preserve">conceptul de legământ stă</w:t>
      </w:r>
      <w:r>
        <w:t xml:space="preserve"> </w:t>
      </w:r>
      <w:r>
        <w:t xml:space="preserve">la baza </w:t>
      </w:r>
      <w:r>
        <w:t xml:space="preserve">relaţiilor economice şi politice orientale şi, de asemeni, şi la baza teologiei care descrie relaţia dintre om – Dumnezeu</w:t>
      </w:r>
      <w:r>
        <w:t xml:space="preserve">. Alături de teologia şi conotaţiile</w:t>
      </w:r>
      <w:r>
        <w:t xml:space="preserve"> politice ale legământului, s-a</w:t>
      </w:r>
      <w:r>
        <w:t xml:space="preserve"> dezvoltat şi o serie de simboluri specifice, asociate, cum ar fi </w:t>
      </w:r>
      <w:r>
        <w:t xml:space="preserve">pentru Israel</w:t>
      </w:r>
      <w:r>
        <w:t xml:space="preserve">, în Vechiul Testament</w:t>
      </w:r>
      <w:r>
        <w:t xml:space="preserve">: ţara</w:t>
      </w:r>
      <w:r>
        <w:t xml:space="preserve"> – teritoriul</w:t>
      </w:r>
      <w:r>
        <w:t xml:space="preserve">, circumcizia</w:t>
      </w:r>
      <w:r>
        <w:t xml:space="preserve"> (semnul legământului)</w:t>
      </w:r>
      <w:r>
        <w:t xml:space="preserve">, Tora</w:t>
      </w:r>
      <w:r>
        <w:t xml:space="preserve"> – adică Legea</w:t>
      </w:r>
      <w:r>
        <w:t xml:space="preserve"> (sau Scriptura, în general)</w:t>
      </w:r>
      <w:r>
        <w:t xml:space="preserve">; </w:t>
      </w:r>
      <w:r>
        <w:t xml:space="preserve">iar </w:t>
      </w:r>
      <w:r>
        <w:t xml:space="preserve">pentru creştini:</w:t>
      </w:r>
      <w:r>
        <w:t xml:space="preserve"> botezul, euharistia, Scriptura </w:t>
      </w:r>
      <w:r>
        <w:t xml:space="preserve">integrală</w:t>
      </w:r>
      <w:r>
        <w:t xml:space="preserve"> (Vechiul şi Noul Testament)</w:t>
      </w:r>
      <w:r>
        <w:t xml:space="preserve">. La acestea se pot adăuga diverse discuţii şi perspective istorice bazate pe noţiunile de revelaţie şi drept divin.</w:t>
      </w:r>
      <w:r/>
    </w:p>
    <w:p>
      <w:pPr>
        <w:pStyle w:val="2227"/>
        <w:pBdr/>
        <w:spacing/>
        <w:ind/>
        <w:rPr/>
      </w:pPr>
      <w:r/>
      <w:r/>
    </w:p>
    <w:p>
      <w:pPr>
        <w:pStyle w:val="2230"/>
        <w:pBdr/>
        <w:spacing/>
        <w:ind/>
        <w:rPr>
          <w:lang w:val="ro-RO"/>
        </w:rPr>
      </w:pPr>
      <w:r/>
      <w:bookmarkStart w:id="11" w:name="_Toc252991837"/>
      <w:r>
        <w:rPr>
          <w:lang w:val="ro-RO"/>
        </w:rPr>
        <w:t xml:space="preserve">2.1 </w:t>
      </w:r>
      <w:r>
        <w:rPr>
          <w:lang w:val="ro-RO"/>
        </w:rPr>
        <w:t xml:space="preserve">Importanţa </w:t>
      </w:r>
      <w:r>
        <w:rPr>
          <w:lang w:val="ro-RO"/>
        </w:rPr>
        <w:t xml:space="preserve">Legământul</w:t>
      </w:r>
      <w:r>
        <w:rPr>
          <w:lang w:val="ro-RO"/>
        </w:rPr>
        <w:t xml:space="preserve">ui</w:t>
      </w:r>
      <w:bookmarkEnd w:id="11"/>
      <w:r>
        <w:rPr>
          <w:lang w:val="ro-RO"/>
        </w:rPr>
      </w:r>
      <w:r>
        <w:rPr>
          <w:lang w:val="ro-RO"/>
        </w:rPr>
      </w:r>
    </w:p>
    <w:p>
      <w:pPr>
        <w:pStyle w:val="2227"/>
        <w:pBdr/>
        <w:spacing/>
        <w:ind/>
        <w:rPr/>
      </w:pPr>
      <w:r/>
      <w:r/>
    </w:p>
    <w:p>
      <w:pPr>
        <w:pStyle w:val="2227"/>
        <w:pBdr/>
        <w:spacing/>
        <w:ind w:firstLine="0"/>
        <w:rPr/>
      </w:pPr>
      <w:r>
        <w:t xml:space="preserve">Destul de devreme în istorie, s-a observat că pentru o eficientă şi responsabilă organizare a societăţii</w:t>
      </w:r>
      <w:r>
        <w:t xml:space="preserve"> </w:t>
      </w:r>
      <w:r>
        <w:t xml:space="preserve">este esenţială </w:t>
      </w:r>
      <w:r>
        <w:t xml:space="preserve">ideea de legământ sau</w:t>
      </w:r>
      <w:r>
        <w:t xml:space="preserve"> </w:t>
      </w:r>
      <w:r>
        <w:t xml:space="preserve">de alianţă – </w:t>
      </w:r>
      <w:r>
        <w:t xml:space="preserve">ori</w:t>
      </w:r>
      <w:r>
        <w:t xml:space="preserve"> </w:t>
      </w:r>
      <w:r>
        <w:t xml:space="preserve">de testament. Angajarea persoanei umane sau a comunităţilor în relaţii bazate pe legământ este o caracteristică majoră a umanităţii care se întâlneşte la diverse niveluri, în căsătorie, în relaţii economice, în viaţa religioasă, în relaţiile politice.</w:t>
      </w:r>
      <w:r>
        <w:t xml:space="preserve"> </w:t>
      </w:r>
      <w:r/>
    </w:p>
    <w:p>
      <w:pPr>
        <w:pStyle w:val="2227"/>
        <w:pBdr/>
        <w:spacing/>
        <w:ind/>
        <w:rPr/>
      </w:pPr>
      <w:r>
        <w:t xml:space="preserve">La nivel politic, l</w:t>
      </w:r>
      <w:r>
        <w:t xml:space="preserve">egământul </w:t>
      </w:r>
      <w:r>
        <w:t xml:space="preserve">reprezenta, cel mai adesea,</w:t>
      </w:r>
      <w:r>
        <w:t xml:space="preserve"> o înţelegere între un suzeran şi un vasal</w:t>
      </w:r>
      <w:r>
        <w:t xml:space="preserve"> (deşi nu este exclusă în nici un fel înţelegerea dintre egali)</w:t>
      </w:r>
      <w:r>
        <w:t xml:space="preserve">, cu stipularea responsabilităţilor fiecărei părţi şi cu întărirea </w:t>
      </w:r>
      <w:r>
        <w:t xml:space="preserve">acestor îndatoriri</w:t>
      </w:r>
      <w:r>
        <w:t xml:space="preserve"> prin jurăminte de maximă </w:t>
      </w:r>
      <w:r>
        <w:t xml:space="preserve">tărie (</w:t>
      </w:r>
      <w:r>
        <w:t xml:space="preserve">unele implicau pedepse aspr</w:t>
      </w:r>
      <w:r>
        <w:t xml:space="preserve">e</w:t>
      </w:r>
      <w:r>
        <w:t xml:space="preserve"> sau intervenţii divine, pierderi grele sau chiar moartea, în caz de nerespectare</w:t>
      </w:r>
      <w:r>
        <w:t xml:space="preserve">).</w:t>
      </w:r>
      <w:r>
        <w:rPr>
          <w:vertAlign w:val="superscript"/>
        </w:rPr>
        <w:footnoteReference w:id="40"/>
      </w:r>
      <w:r>
        <w:t xml:space="preserve"> </w:t>
      </w:r>
      <w:r/>
    </w:p>
    <w:p>
      <w:pPr>
        <w:pStyle w:val="2227"/>
        <w:pBdr/>
        <w:spacing/>
        <w:ind/>
        <w:rPr/>
      </w:pPr>
      <w:r>
        <w:t xml:space="preserve">Structura unui legământ </w:t>
      </w:r>
      <w:r>
        <w:t xml:space="preserve">în Orientul Apropiat</w:t>
      </w:r>
      <w:r>
        <w:t xml:space="preserve"> este bine ilustrată </w:t>
      </w:r>
      <w:r>
        <w:t xml:space="preserve">în documentele hittite </w:t>
      </w:r>
      <w:r>
        <w:t xml:space="preserve">din </w:t>
      </w:r>
      <w:r>
        <w:t xml:space="preserve">mileniul doi îH, </w:t>
      </w:r>
      <w:r>
        <w:t xml:space="preserve">iar în Biblie, în</w:t>
      </w:r>
      <w:r>
        <w:t xml:space="preserve"> legământul </w:t>
      </w:r>
      <w:r>
        <w:t xml:space="preserve">dintre divinitate şi poporul Israel, mijlocit de Moise pe muntele Si</w:t>
      </w:r>
      <w:r>
        <w:t xml:space="preserve">nai</w:t>
      </w:r>
      <w:r>
        <w:t xml:space="preserve"> din deşertul Arabiei</w:t>
      </w:r>
      <w:r>
        <w:t xml:space="preserve"> (</w:t>
      </w:r>
      <w:r>
        <w:t xml:space="preserve">cf. Deuteronom 11</w:t>
      </w:r>
      <w:r>
        <w:t xml:space="preserve">)</w:t>
      </w:r>
      <w:r>
        <w:t xml:space="preserve">; de asemeni, este destul de bine ilustrat şi în cazul altor legăminte biblice cum ar fi </w:t>
      </w:r>
      <w:r>
        <w:t xml:space="preserve">legământul </w:t>
      </w:r>
      <w:r>
        <w:t xml:space="preserve">lui Dumnezeu </w:t>
      </w:r>
      <w:r>
        <w:t xml:space="preserve">cu</w:t>
      </w:r>
      <w:r>
        <w:t xml:space="preserve"> Noe, cu</w:t>
      </w:r>
      <w:r>
        <w:t xml:space="preserve"> Avraam,</w:t>
      </w:r>
      <w:r>
        <w:t xml:space="preserve"> Isaac, Iacov, cu David,</w:t>
      </w:r>
      <w:r>
        <w:t xml:space="preserve"> etc.</w:t>
      </w:r>
      <w:r>
        <w:t xml:space="preserve"> </w:t>
      </w:r>
      <w:r>
        <w:t xml:space="preserve">L</w:t>
      </w:r>
      <w:r>
        <w:t xml:space="preserve">egământul</w:t>
      </w:r>
      <w:r>
        <w:t xml:space="preserve"> politic antic</w:t>
      </w:r>
      <w:r>
        <w:t xml:space="preserve"> avea</w:t>
      </w:r>
      <w:r>
        <w:t xml:space="preserve">, în esenţă, următoarele părţi</w:t>
      </w:r>
      <w:r>
        <w:t xml:space="preserve">:</w:t>
      </w:r>
      <w:r>
        <w:rPr>
          <w:rStyle w:val="2248"/>
        </w:rPr>
        <w:footnoteReference w:id="41"/>
      </w:r>
      <w:r/>
    </w:p>
    <w:p>
      <w:pPr>
        <w:pStyle w:val="2227"/>
        <w:pBdr/>
        <w:spacing/>
        <w:ind/>
        <w:rPr/>
      </w:pPr>
      <w:r/>
      <w:r/>
    </w:p>
    <w:p>
      <w:pPr>
        <w:pStyle w:val="2227"/>
        <w:pBdr/>
        <w:spacing/>
        <w:ind w:firstLine="18" w:left="270"/>
        <w:rPr/>
      </w:pPr>
      <w:r>
        <w:t xml:space="preserve">1. </w:t>
      </w:r>
      <w:r>
        <w:rPr>
          <w:b/>
          <w:bCs/>
        </w:rPr>
        <w:t xml:space="preserve">Preambul</w:t>
      </w:r>
      <w:r>
        <w:t xml:space="preserve"> </w:t>
      </w:r>
      <w:r>
        <w:t xml:space="preserve">–</w:t>
      </w:r>
      <w:r>
        <w:t xml:space="preserve"> </w:t>
      </w:r>
      <w:r>
        <w:t xml:space="preserve">precizarea participanţilor</w:t>
      </w:r>
      <w:r>
        <w:t xml:space="preserve"> </w:t>
      </w:r>
      <w:r/>
    </w:p>
    <w:p>
      <w:pPr>
        <w:pStyle w:val="2227"/>
        <w:pBdr/>
        <w:spacing/>
        <w:ind w:firstLine="18" w:left="270"/>
        <w:rPr/>
      </w:pPr>
      <w:r>
        <w:t xml:space="preserve">2. </w:t>
      </w:r>
      <w:r>
        <w:rPr>
          <w:b/>
          <w:bCs/>
        </w:rPr>
        <w:t xml:space="preserve">Prolog</w:t>
      </w:r>
      <w:r>
        <w:t xml:space="preserve"> – </w:t>
      </w:r>
      <w:r>
        <w:t xml:space="preserve">prezentarea </w:t>
      </w:r>
      <w:r>
        <w:t xml:space="preserve">subiectul</w:t>
      </w:r>
      <w:r>
        <w:t xml:space="preserve">ui</w:t>
      </w:r>
      <w:r>
        <w:t xml:space="preserve">, </w:t>
      </w:r>
      <w:r>
        <w:t xml:space="preserve">a relaţiei majore aflate</w:t>
      </w:r>
      <w:r>
        <w:t xml:space="preserve"> </w:t>
      </w:r>
      <w:r>
        <w:t xml:space="preserve">în discuţie</w:t>
      </w:r>
      <w:r>
        <w:t xml:space="preserve"> </w:t>
      </w:r>
      <w:r/>
    </w:p>
    <w:p>
      <w:pPr>
        <w:pStyle w:val="2227"/>
        <w:pBdr/>
        <w:spacing/>
        <w:ind w:firstLine="18" w:left="270"/>
        <w:rPr/>
      </w:pPr>
      <w:r>
        <w:t xml:space="preserve">3. </w:t>
      </w:r>
      <w:r>
        <w:rPr>
          <w:b/>
          <w:bCs/>
        </w:rPr>
        <w:t xml:space="preserve">Condiţii</w:t>
      </w:r>
      <w:r>
        <w:t xml:space="preserve"> – legi, reguli, coduri de comportament </w:t>
      </w:r>
      <w:r/>
    </w:p>
    <w:p>
      <w:pPr>
        <w:pStyle w:val="2227"/>
        <w:pBdr/>
        <w:spacing/>
        <w:ind w:firstLine="18" w:left="270"/>
        <w:rPr/>
      </w:pPr>
      <w:r>
        <w:t xml:space="preserve">4. </w:t>
      </w:r>
      <w:r>
        <w:rPr>
          <w:b/>
          <w:bCs/>
        </w:rPr>
        <w:t xml:space="preserve">Anexe şi clauze secundare</w:t>
      </w:r>
      <w:r>
        <w:t xml:space="preserve"> – </w:t>
      </w:r>
      <w:r>
        <w:t xml:space="preserve">locul şi modul în care va fi păstrat actul legământului; referinţe generale</w:t>
      </w:r>
      <w:r>
        <w:t xml:space="preserve"> </w:t>
      </w:r>
      <w:r/>
    </w:p>
    <w:p>
      <w:pPr>
        <w:pStyle w:val="2227"/>
        <w:pBdr/>
        <w:spacing/>
        <w:ind w:firstLine="18" w:left="270"/>
        <w:rPr>
          <w:rFonts w:ascii="Calibri" w:hAnsi="Calibri"/>
          <w:lang w:bidi="he-IL"/>
        </w:rPr>
      </w:pPr>
      <w:r>
        <w:t xml:space="preserve">5. </w:t>
      </w:r>
      <w:r>
        <w:rPr>
          <w:b/>
          <w:bCs/>
        </w:rPr>
        <w:t xml:space="preserve">Martori</w:t>
      </w:r>
      <w:r>
        <w:t xml:space="preserve"> – notaţ</w:t>
      </w:r>
      <w:r>
        <w:t xml:space="preserve">i pentru a da autoritate actului; adesea aici erau incluse diverse zeităţi.</w:t>
      </w:r>
      <w:r>
        <w:rPr>
          <w:rStyle w:val="2248"/>
        </w:rPr>
        <w:footnoteReference w:id="42"/>
      </w:r>
      <w:r>
        <w:rPr>
          <w:rFonts w:ascii="Calibri" w:hAnsi="Calibri"/>
          <w:lang w:bidi="he-IL"/>
        </w:rPr>
      </w:r>
      <w:r>
        <w:rPr>
          <w:rFonts w:ascii="Calibri" w:hAnsi="Calibri"/>
          <w:lang w:bidi="he-IL"/>
        </w:rPr>
      </w:r>
    </w:p>
    <w:p>
      <w:pPr>
        <w:pStyle w:val="2227"/>
        <w:pBdr/>
        <w:spacing/>
        <w:ind w:firstLine="18" w:left="270"/>
        <w:rPr/>
      </w:pPr>
      <w:r>
        <w:t xml:space="preserve">6. </w:t>
      </w:r>
      <w:r>
        <w:rPr>
          <w:b/>
          <w:bCs/>
        </w:rPr>
        <w:t xml:space="preserve">Sancţiuni</w:t>
      </w:r>
      <w:r>
        <w:rPr>
          <w:b/>
          <w:bCs/>
        </w:rPr>
        <w:t xml:space="preserve"> </w:t>
      </w:r>
      <w:r>
        <w:t xml:space="preserve">– binecuvântări şi blesteme</w:t>
      </w:r>
      <w:r>
        <w:t xml:space="preserve"> (invocarea divinului şi a magiei, pentru a impune actul </w:t>
      </w:r>
      <w:r>
        <w:t xml:space="preserve">semnat </w:t>
      </w:r>
      <w:r>
        <w:t xml:space="preserve">prin atractivitatea răsplătirii sau de teama pedepsei)</w:t>
      </w:r>
      <w:r>
        <w:t xml:space="preserve"> </w:t>
      </w:r>
      <w:r/>
    </w:p>
    <w:p>
      <w:pPr>
        <w:pStyle w:val="2227"/>
        <w:pBdr/>
        <w:spacing/>
        <w:ind w:firstLine="18" w:left="270"/>
        <w:rPr/>
      </w:pPr>
      <w:r>
        <w:t xml:space="preserve">7. </w:t>
      </w:r>
      <w:r>
        <w:rPr>
          <w:b/>
          <w:bCs/>
        </w:rPr>
        <w:t xml:space="preserve">Semnare solemnă</w:t>
      </w:r>
      <w:r>
        <w:rPr>
          <w:b/>
          <w:bCs/>
        </w:rPr>
        <w:t xml:space="preserve"> şi jurăminte</w:t>
      </w:r>
      <w:r/>
    </w:p>
    <w:p>
      <w:pPr>
        <w:pStyle w:val="2227"/>
        <w:pBdr/>
        <w:spacing/>
        <w:ind w:firstLine="18" w:left="270"/>
        <w:rPr/>
      </w:pPr>
      <w:r>
        <w:t xml:space="preserve">8. </w:t>
      </w:r>
      <w:r>
        <w:rPr>
          <w:b/>
          <w:bCs/>
        </w:rPr>
        <w:t xml:space="preserve">Contra-măsur</w:t>
      </w:r>
      <w:r>
        <w:rPr>
          <w:b/>
          <w:bCs/>
        </w:rPr>
        <w:t xml:space="preserve">i politice </w:t>
      </w:r>
      <w:r>
        <w:t xml:space="preserve">(</w:t>
      </w:r>
      <w:r>
        <w:t xml:space="preserve">acţiuni militare, pedepse)</w:t>
      </w:r>
      <w:r/>
    </w:p>
    <w:p>
      <w:pPr>
        <w:pStyle w:val="2227"/>
        <w:pBdr/>
        <w:spacing/>
        <w:ind/>
        <w:rPr/>
      </w:pPr>
      <w:r/>
      <w:r/>
    </w:p>
    <w:p>
      <w:pPr>
        <w:pStyle w:val="2227"/>
        <w:pBdr/>
        <w:spacing/>
        <w:ind/>
        <w:rPr/>
      </w:pPr>
      <w:r>
        <w:t xml:space="preserve">Aceste elemente se regăsesc parţial în div</w:t>
      </w:r>
      <w:r>
        <w:t xml:space="preserve">erse texte biblice, mai ales în cartea Deuteronom, după cum urmează</w:t>
      </w:r>
      <w:r>
        <w:t xml:space="preserve">:</w:t>
      </w:r>
      <w:r/>
    </w:p>
    <w:p>
      <w:pPr>
        <w:pStyle w:val="2227"/>
        <w:pBdr/>
        <w:spacing/>
        <w:ind/>
        <w:rPr/>
      </w:pPr>
      <w:r/>
      <w:r/>
    </w:p>
    <w:p>
      <w:pPr>
        <w:pStyle w:val="2227"/>
        <w:pBdr/>
        <w:spacing/>
        <w:ind/>
        <w:rPr/>
      </w:pPr>
      <w:r>
        <w:t xml:space="preserve">P</w:t>
      </w:r>
      <w:r>
        <w:t xml:space="preserve">reambul</w:t>
      </w:r>
      <w:r>
        <w:t xml:space="preserve"> (c</w:t>
      </w:r>
      <w:r>
        <w:t xml:space="preserve">f Deut. </w:t>
      </w:r>
      <w:r>
        <w:t xml:space="preserve">1:1-4)</w:t>
      </w:r>
      <w:r/>
    </w:p>
    <w:p>
      <w:pPr>
        <w:pStyle w:val="2227"/>
        <w:pBdr/>
        <w:spacing/>
        <w:ind/>
        <w:rPr/>
      </w:pPr>
      <w:r>
        <w:t xml:space="preserve">Prolog istoric</w:t>
      </w:r>
      <w:r>
        <w:t xml:space="preserve"> (</w:t>
      </w:r>
      <w:r>
        <w:t xml:space="preserve">cf. Deut. </w:t>
      </w:r>
      <w:r>
        <w:t xml:space="preserve">1:5-3:29)</w:t>
      </w:r>
      <w:r/>
    </w:p>
    <w:p>
      <w:pPr>
        <w:pStyle w:val="2227"/>
        <w:pBdr/>
        <w:spacing/>
        <w:ind/>
        <w:rPr/>
      </w:pPr>
      <w:r>
        <w:t xml:space="preserve">Condiţii</w:t>
      </w:r>
      <w:r>
        <w:t xml:space="preserve"> (</w:t>
      </w:r>
      <w:r>
        <w:t xml:space="preserve">cf. Deut.</w:t>
      </w:r>
      <w:r>
        <w:t xml:space="preserve"> 4-26)</w:t>
      </w:r>
      <w:r/>
    </w:p>
    <w:p>
      <w:pPr>
        <w:pStyle w:val="2227"/>
        <w:pBdr/>
        <w:spacing/>
        <w:ind/>
        <w:rPr/>
      </w:pPr>
      <w:r>
        <w:t xml:space="preserve">Anexe şi clauze (cf. Deut.</w:t>
      </w:r>
      <w:r>
        <w:t xml:space="preserve"> 27)</w:t>
      </w:r>
      <w:r/>
    </w:p>
    <w:p>
      <w:pPr>
        <w:pStyle w:val="2227"/>
        <w:pBdr/>
        <w:spacing/>
        <w:ind/>
        <w:rPr/>
      </w:pPr>
      <w:r>
        <w:t xml:space="preserve">Sancţiuni: blesteme şi binecuvântări (cf. Deut.</w:t>
      </w:r>
      <w:r>
        <w:t xml:space="preserve"> 28; </w:t>
      </w:r>
      <w:r/>
    </w:p>
    <w:p>
      <w:pPr>
        <w:pStyle w:val="2227"/>
        <w:pBdr/>
        <w:spacing/>
        <w:ind/>
        <w:rPr/>
      </w:pPr>
      <w:r>
        <w:t xml:space="preserve">31-34).</w:t>
      </w:r>
      <w:r/>
    </w:p>
    <w:p>
      <w:pPr>
        <w:pStyle w:val="2227"/>
        <w:pBdr/>
        <w:spacing/>
        <w:ind/>
        <w:rPr/>
      </w:pPr>
      <w:r/>
      <w:r/>
    </w:p>
    <w:p>
      <w:pPr>
        <w:pStyle w:val="2227"/>
        <w:pBdr/>
        <w:spacing/>
        <w:ind/>
        <w:rPr/>
      </w:pPr>
      <w:r>
        <w:t xml:space="preserve">Conform detaliilor de mai sus, e</w:t>
      </w:r>
      <w:r>
        <w:t xml:space="preserve">ste interesant că </w:t>
      </w:r>
      <w:r>
        <w:t xml:space="preserve">în descrierea legăturii între divi</w:t>
      </w:r>
      <w:r>
        <w:t xml:space="preserve">nitate şi om</w:t>
      </w:r>
      <w:r>
        <w:t xml:space="preserve"> </w:t>
      </w:r>
      <w:r>
        <w:t xml:space="preserve">Biblia </w:t>
      </w:r>
      <w:r>
        <w:t xml:space="preserve">se foloseşte </w:t>
      </w:r>
      <w:r>
        <w:t xml:space="preserve">de </w:t>
      </w:r>
      <w:r>
        <w:t xml:space="preserve">un limbaj </w:t>
      </w:r>
      <w:r>
        <w:t xml:space="preserve">comun cu cel al vieţii politice</w:t>
      </w:r>
      <w:r>
        <w:t xml:space="preserve">.</w:t>
      </w:r>
      <w:r>
        <w:t xml:space="preserve"> </w:t>
      </w:r>
      <w:r>
        <w:t xml:space="preserve">În acest context se poate pune într</w:t>
      </w:r>
      <w:r>
        <w:t xml:space="preserve">ebarea dacă autoritatea divină</w:t>
      </w:r>
      <w:r>
        <w:t xml:space="preserve"> este înţeleasă </w:t>
      </w:r>
      <w:r>
        <w:t xml:space="preserve">în termeni politici</w:t>
      </w:r>
      <w:r>
        <w:t xml:space="preserve"> </w:t>
      </w:r>
      <w:r>
        <w:t xml:space="preserve">de către om</w:t>
      </w:r>
      <w:r>
        <w:t xml:space="preserve">, la nivelul la care se află acesta, şi </w:t>
      </w:r>
      <w:r>
        <w:t xml:space="preserve">dacă Du</w:t>
      </w:r>
      <w:r>
        <w:t xml:space="preserve">mnezeu </w:t>
      </w:r>
      <w:r>
        <w:t xml:space="preserve">foloseşte astfel de paradigme vorbindu-i pe înţelesul său</w:t>
      </w:r>
      <w:r>
        <w:t xml:space="preserve">, sau dacă nu cumva folosirea aces</w:t>
      </w:r>
      <w:r>
        <w:t xml:space="preserve">tui limbaj face parte dintr-o concepţie mai largă de construcţie comună politică şi socială, teologică, a relaţiilor, sursa concepţiei fiind divinitatea însăşi</w:t>
      </w:r>
      <w:r>
        <w:t xml:space="preserve"> (</w:t>
      </w:r>
      <w:r>
        <w:t xml:space="preserve">a</w:t>
      </w:r>
      <w:r>
        <w:t xml:space="preserve"> fost acest limbaj inspirat </w:t>
      </w:r>
      <w:r>
        <w:t xml:space="preserve">de divinitate </w:t>
      </w:r>
      <w:r>
        <w:t xml:space="preserve">tocmai în vederea modelării sociale a existenţei omului, sau </w:t>
      </w:r>
      <w:r>
        <w:t xml:space="preserve">a fost adoptat </w:t>
      </w:r>
      <w:r>
        <w:t xml:space="preserve">avându-se în vedere </w:t>
      </w:r>
      <w:r>
        <w:t xml:space="preserve">că acesta </w:t>
      </w:r>
      <w:r>
        <w:t xml:space="preserve">va fi </w:t>
      </w:r>
      <w:r>
        <w:t xml:space="preserve">un limbaj </w:t>
      </w:r>
      <w:r>
        <w:t xml:space="preserve">accesibil, din cauza tipului de relaţii sociale pe care omul este dispus şi capabil să le stabilească</w:t>
      </w:r>
      <w:r>
        <w:t xml:space="preserve">? </w:t>
      </w:r>
      <w:r>
        <w:t xml:space="preserve">Este în ace</w:t>
      </w:r>
      <w:r>
        <w:t xml:space="preserve">st caz noţiunea de legământ, o noţiune</w:t>
      </w:r>
      <w:r>
        <w:t xml:space="preserve"> care </w:t>
      </w:r>
      <w:r>
        <w:t xml:space="preserve">reflectă de fapt chiar fiinţa divină, </w:t>
      </w:r>
      <w:r>
        <w:t xml:space="preserve">modul de desfăşurare a existenţei divine</w:t>
      </w:r>
      <w:r>
        <w:t xml:space="preserve"> în Sf. Treime, iar lumea umană se foloseşte de noţiune din cauză că, în mod fundamental</w:t>
      </w:r>
      <w:r>
        <w:t xml:space="preserve">, ea a fost </w:t>
      </w:r>
      <w:r>
        <w:t xml:space="preserve">făcută după chipul şi asemănarea lui Dumnezeu</w:t>
      </w:r>
      <w:r>
        <w:t xml:space="preserve">, sau este o evidenţă a unei adaptări divine la o realitate umană</w:t>
      </w:r>
      <w:r>
        <w:t xml:space="preserve">?).</w:t>
      </w:r>
      <w:r>
        <w:rPr>
          <w:rStyle w:val="2248"/>
        </w:rPr>
        <w:footnoteReference w:id="43"/>
      </w:r>
      <w:r>
        <w:t xml:space="preserve"> </w:t>
      </w:r>
      <w:r/>
    </w:p>
    <w:p>
      <w:pPr>
        <w:pStyle w:val="2227"/>
        <w:pBdr/>
        <w:spacing/>
        <w:ind/>
        <w:rPr>
          <w:b/>
          <w:bCs/>
          <w:sz w:val="16"/>
          <w:szCs w:val="16"/>
        </w:rPr>
      </w:pPr>
      <w:r>
        <w:t xml:space="preserve">În general, se poate vorbi despre două tipuri de legăminte, de tip obligatoriu (ca legământul Legii, pe muntele Sinai, mediat de Moise între Dumnezeu şi Israel),</w:t>
      </w:r>
      <w:r>
        <w:t xml:space="preserve"> şi legământ bazat pe făgăduinţe</w:t>
      </w:r>
      <w:r>
        <w:t xml:space="preserve"> (cum ar fi, de exemplu, legământul între Dumnezeu şi Avraam, sau </w:t>
      </w:r>
      <w:r>
        <w:t xml:space="preserve">între </w:t>
      </w:r>
      <w:r>
        <w:t xml:space="preserve">Dumnezeu şi David).</w:t>
      </w:r>
      <w:r>
        <w:rPr>
          <w:rStyle w:val="2248"/>
        </w:rPr>
        <w:footnoteReference w:id="44"/>
      </w:r>
      <w:r>
        <w:rPr>
          <w:b/>
          <w:bCs/>
          <w:sz w:val="16"/>
          <w:szCs w:val="16"/>
        </w:rPr>
      </w:r>
      <w:r>
        <w:rPr>
          <w:b/>
          <w:bCs/>
          <w:sz w:val="16"/>
          <w:szCs w:val="16"/>
        </w:rPr>
      </w:r>
    </w:p>
    <w:p>
      <w:pPr>
        <w:pStyle w:val="2227"/>
        <w:pBdr/>
        <w:spacing/>
        <w:ind/>
        <w:rPr/>
      </w:pPr>
      <w:r>
        <w:t xml:space="preserve">Teologia c</w:t>
      </w:r>
      <w:r>
        <w:t xml:space="preserve">ovenantal</w:t>
      </w:r>
      <w:r>
        <w:t xml:space="preserve">ă</w:t>
      </w:r>
      <w:r>
        <w:t xml:space="preserve"> împarte marile legăminte ale divinităţii cu omenirea, din Biblie în trei mari categorii teologice</w:t>
      </w:r>
      <w:r>
        <w:t xml:space="preserve"> (care nu apar explicit în Biblie, ci sunt </w:t>
      </w:r>
      <w:r>
        <w:t xml:space="preserve">clasificate ca atare de teologi</w:t>
      </w:r>
      <w:r>
        <w:t xml:space="preserve">)</w:t>
      </w:r>
      <w:r>
        <w:t xml:space="preserve">:</w:t>
      </w:r>
      <w:r/>
    </w:p>
    <w:p>
      <w:pPr>
        <w:pStyle w:val="2227"/>
        <w:pBdr/>
        <w:spacing/>
        <w:ind/>
        <w:rPr/>
      </w:pPr>
      <w:r/>
      <w:r/>
    </w:p>
    <w:p>
      <w:pPr>
        <w:pStyle w:val="2227"/>
        <w:numPr>
          <w:ilvl w:val="0"/>
          <w:numId w:val="7"/>
        </w:numPr>
        <w:pBdr/>
        <w:spacing/>
        <w:ind/>
        <w:rPr/>
      </w:pPr>
      <w:r>
        <w:t xml:space="preserve">Legământul Mântuirii (</w:t>
      </w:r>
      <w:r>
        <w:t xml:space="preserve">Pactum Salutis)</w:t>
      </w:r>
      <w:r/>
    </w:p>
    <w:p>
      <w:pPr>
        <w:pStyle w:val="2227"/>
        <w:numPr>
          <w:ilvl w:val="0"/>
          <w:numId w:val="7"/>
        </w:numPr>
        <w:pBdr/>
        <w:spacing/>
        <w:ind/>
        <w:rPr/>
      </w:pPr>
      <w:r>
        <w:t xml:space="preserve">Legământul Faptelor (</w:t>
      </w:r>
      <w:r>
        <w:t xml:space="preserve">Foedus Operum)</w:t>
      </w:r>
      <w:r/>
    </w:p>
    <w:p>
      <w:pPr>
        <w:pStyle w:val="2227"/>
        <w:numPr>
          <w:ilvl w:val="0"/>
          <w:numId w:val="7"/>
        </w:numPr>
        <w:pBdr/>
        <w:spacing/>
        <w:ind/>
        <w:rPr/>
      </w:pPr>
      <w:r>
        <w:t xml:space="preserve">Legământul Harului - Graţiei (</w:t>
      </w:r>
      <w:r>
        <w:t xml:space="preserve">Foedus Gratiae)</w:t>
      </w:r>
      <w:r/>
    </w:p>
    <w:p>
      <w:pPr>
        <w:pStyle w:val="2227"/>
        <w:pBdr/>
        <w:spacing/>
        <w:ind/>
        <w:rPr/>
      </w:pPr>
      <w:r/>
      <w:r/>
    </w:p>
    <w:p>
      <w:pPr>
        <w:pStyle w:val="2227"/>
        <w:pBdr/>
        <w:spacing/>
        <w:ind/>
        <w:rPr/>
      </w:pPr>
      <w:r>
        <w:t xml:space="preserve">Conform acestei teologii, Dumnezeu a stabilit </w:t>
      </w:r>
      <w:r>
        <w:t xml:space="preserve">două serii de legăminte în vederea mântuirii neamului omenesc, un legământ în sânul Sfintei Treimi, din eternitate, privitor la întrupare şi Cruce, şi un altă serie de legăminte, cu oamenii, cele două tipuri de legăminte fiind în legătură unul cu celălalt.</w:t>
      </w:r>
      <w:r/>
    </w:p>
    <w:p>
      <w:pPr>
        <w:pStyle w:val="2227"/>
        <w:pBdr/>
        <w:spacing/>
        <w:ind/>
        <w:rPr/>
      </w:pPr>
      <w:r>
        <w:t xml:space="preserve">Legământul mântuirii ar cuprinde primul legământ, cel etern, din interiorul Sfintei Treimi (Filipeni</w:t>
      </w:r>
      <w:r>
        <w:t xml:space="preserve"> 2:5-11</w:t>
      </w:r>
      <w:r>
        <w:t xml:space="preserve">; Apocalipsa 5:9-10; Ps. 110).</w:t>
      </w:r>
      <w:r/>
    </w:p>
    <w:p>
      <w:pPr>
        <w:pStyle w:val="2227"/>
        <w:pBdr/>
        <w:spacing/>
        <w:ind/>
        <w:rPr/>
      </w:pPr>
      <w:r>
        <w:t xml:space="preserve">Legământul faptelor</w:t>
      </w:r>
      <w:r>
        <w:t xml:space="preserve"> – sau legământul creaţiei</w:t>
      </w:r>
      <w:r>
        <w:t xml:space="preserve">, ar cuprinde legământul din Eden, între Dumnezeu şi Adam, ca reprezentant al omenirii (Gen. </w:t>
      </w:r>
      <w:r>
        <w:t xml:space="preserve">2-3</w:t>
      </w:r>
      <w:r>
        <w:t xml:space="preserve">; Romani 5:12-21), şi a fost încălcat de Adam şi Eva.</w:t>
      </w:r>
      <w:r/>
    </w:p>
    <w:p>
      <w:pPr>
        <w:pStyle w:val="2227"/>
        <w:pBdr/>
        <w:spacing/>
        <w:ind/>
        <w:rPr/>
      </w:pPr>
      <w:r>
        <w:t xml:space="preserve">Legământul harului </w:t>
      </w:r>
      <w:r>
        <w:t xml:space="preserve">începe</w:t>
      </w:r>
      <w:r>
        <w:t xml:space="preserve"> seria de legăminte care </w:t>
      </w:r>
      <w:r>
        <w:t xml:space="preserve">vorbesc despre răscumpărare</w:t>
      </w:r>
      <w:r>
        <w:t xml:space="preserve">a şi restaurarea omenirii, prin intervenţie divină, şi </w:t>
      </w:r>
      <w:r>
        <w:t xml:space="preserve">are drept prim legământ</w:t>
      </w:r>
      <w:r>
        <w:t xml:space="preserve"> care aduce promisiunea mântuirii</w:t>
      </w:r>
      <w:r>
        <w:t xml:space="preserve"> către Adam şi Eva, şi către întreaga omenire</w:t>
      </w:r>
      <w:r>
        <w:t xml:space="preserve"> (Geneza 3:15</w:t>
      </w:r>
      <w:r>
        <w:t xml:space="preserve">; </w:t>
      </w:r>
      <w:r>
        <w:t xml:space="preserve">cf. Osea 6:7; Ieremia </w:t>
      </w:r>
      <w:r>
        <w:t xml:space="preserve">31:</w:t>
      </w:r>
      <w:r>
        <w:t xml:space="preserve">35-36; </w:t>
      </w:r>
      <w:r>
        <w:t xml:space="preserve">33:</w:t>
      </w:r>
      <w:r>
        <w:t xml:space="preserve">20-26).</w:t>
      </w:r>
      <w:r>
        <w:t xml:space="preserve"> Lor le este promisă venirea Seminţei care va zdrobi capul şarpelui, adică a lui Mesia (Hristos).</w:t>
      </w:r>
      <w:r/>
    </w:p>
    <w:p>
      <w:pPr>
        <w:pStyle w:val="2227"/>
        <w:pBdr/>
        <w:spacing/>
        <w:ind/>
        <w:rPr/>
      </w:pPr>
      <w:r>
        <w:t xml:space="preserve">Legămintele </w:t>
      </w:r>
      <w:r>
        <w:t xml:space="preserve">care îi urmează, în aceeaşi categorie sunt:</w:t>
      </w:r>
      <w:r/>
    </w:p>
    <w:p>
      <w:pPr>
        <w:pStyle w:val="2227"/>
        <w:pBdr/>
        <w:spacing/>
        <w:ind w:firstLine="0"/>
        <w:rPr/>
      </w:pPr>
      <w:r>
        <w:t xml:space="preserve">Legământul noahic (Geneza 9; semn – curcubeul); legământul avraamic (Geneya 15); legământul Mozaic (Legea de pe Sinai, Exod 19-24); legământul palestinian (referitor la ţară, o prelungire a legământului sinaitic, Deuteronom 30:1-</w:t>
      </w:r>
      <w:r>
        <w:t xml:space="preserve">10); legământul davidic (2 Samuel 7; despre dinastia lui David şi venirea lui Mesia din această dinastie); legământul cel nou, universal (promis în Ieremia 31:33-34; Isaia 49:8; şi la care face aluzie Isus, în Cina cea de Taină). Acest ultim legământ este </w:t>
      </w:r>
      <w:r>
        <w:t xml:space="preserve">şi </w:t>
      </w:r>
      <w:r>
        <w:t xml:space="preserve">baza intitulării corpusului apostolic de scrieri despre Isus şi Biserică, Noul Testament, adică Noul Legământ </w:t>
      </w:r>
      <w:r>
        <w:t xml:space="preserve">al lui Dumnezeu cu oamenii, prin sângele </w:t>
      </w:r>
      <w:r>
        <w:t xml:space="preserve">(jertfa) </w:t>
      </w:r>
      <w:r>
        <w:t xml:space="preserve">lui Hristos </w:t>
      </w:r>
      <w:r>
        <w:t xml:space="preserve">(evr. </w:t>
      </w:r>
      <w:r>
        <w:rPr>
          <w:i/>
          <w:iCs/>
        </w:rPr>
        <w:t xml:space="preserve">berit</w:t>
      </w:r>
      <w:r>
        <w:t xml:space="preserve">; gr. </w:t>
      </w:r>
      <w:r>
        <w:rPr>
          <w:i/>
          <w:iCs/>
        </w:rPr>
        <w:t xml:space="preserve">diatheke</w:t>
      </w:r>
      <w:r>
        <w:t xml:space="preserve">; lat</w:t>
      </w:r>
      <w:r>
        <w:t xml:space="preserve">.</w:t>
      </w:r>
      <w:r>
        <w:t xml:space="preserve">: </w:t>
      </w:r>
      <w:r>
        <w:rPr>
          <w:i/>
          <w:iCs/>
        </w:rPr>
        <w:t xml:space="preserve">testamentum</w:t>
      </w:r>
      <w:r>
        <w:t xml:space="preserve">; cf. Epistola către Evrei 8-10</w:t>
      </w:r>
      <w:r>
        <w:t xml:space="preserve">)</w:t>
      </w:r>
      <w:r>
        <w:t xml:space="preserve">.</w:t>
      </w:r>
      <w:r>
        <w:rPr>
          <w:rStyle w:val="2248"/>
        </w:rPr>
        <w:footnoteReference w:id="45"/>
      </w:r>
      <w:r/>
    </w:p>
    <w:p>
      <w:pPr>
        <w:pStyle w:val="2227"/>
        <w:pBdr/>
        <w:spacing/>
        <w:ind/>
        <w:rPr/>
      </w:pPr>
      <w:r>
        <w:t xml:space="preserve">Aşa cum s-a văzut, legămintelor din Vechiul Testament este foarte mare: legăminte </w:t>
      </w:r>
      <w:r>
        <w:t xml:space="preserve">între divinitate şi poporul Israel (legământul de pe Sinai); între divinitate şi rege (legămintele cu David, cu Solomon etc.); între divinate şi preoţi sau profeţi (legământ</w:t>
      </w:r>
      <w:r>
        <w:t xml:space="preserve">ul cu profetul Ieremia); între divinitate şi diverse persoane individuale (legămintele între Dumnezeu şi strămoşii evreilor, patriarhii Avraam, Isaac, Iacov; precum şi cel încheiat cu Cain); între divinitate şi omenire, în general (legămintele cu Adam, Noe</w:t>
      </w:r>
      <w:r>
        <w:t xml:space="preserve">; legământul prin Hristos</w:t>
      </w:r>
      <w:r>
        <w:t xml:space="preserve">)</w:t>
      </w:r>
      <w:r>
        <w:t xml:space="preserve">.</w:t>
      </w:r>
      <w:r/>
    </w:p>
    <w:p>
      <w:pPr>
        <w:pStyle w:val="2227"/>
        <w:pBdr/>
        <w:spacing/>
        <w:ind/>
        <w:rPr/>
      </w:pPr>
      <w:r>
        <w:t xml:space="preserve">Importanţa legământului biblic pentru gândirea </w:t>
      </w:r>
      <w:r>
        <w:t xml:space="preserve">religioasă, dar şi cea </w:t>
      </w:r>
      <w:r>
        <w:t xml:space="preserve">politică, </w:t>
      </w:r>
      <w:r>
        <w:t xml:space="preserve">pentru sublinierea nevoiei de legi (</w:t>
      </w:r>
      <w:r>
        <w:rPr>
          <w:i/>
          <w:iCs/>
        </w:rPr>
        <w:t xml:space="preserve">nomos</w:t>
      </w:r>
      <w:r>
        <w:t xml:space="preserve">) pentru societatea omenească, </w:t>
      </w:r>
      <w:r>
        <w:t xml:space="preserve">şi </w:t>
      </w:r>
      <w:r>
        <w:t xml:space="preserve">a centralităţii comportamentului responsabil, atât la nivel individual, cât şi la nivel colectiv, de comunitate, </w:t>
      </w:r>
      <w:r>
        <w:t xml:space="preserve">nu poate fi subestimată</w:t>
      </w:r>
      <w:r>
        <w:t xml:space="preserve"> de nici un cercetător atent al teologiei, ştiinţelor sociale sau ale celor politice</w:t>
      </w:r>
      <w:r>
        <w:t xml:space="preserve">.</w:t>
      </w:r>
      <w:r>
        <w:rPr>
          <w:rStyle w:val="2248"/>
        </w:rPr>
        <w:footnoteReference w:id="46"/>
      </w:r>
      <w:r/>
    </w:p>
    <w:p>
      <w:pPr>
        <w:pStyle w:val="2227"/>
        <w:pBdr/>
        <w:spacing/>
        <w:ind/>
        <w:rPr/>
      </w:pPr>
      <w:r/>
      <w:r/>
    </w:p>
    <w:p>
      <w:pPr>
        <w:pStyle w:val="2230"/>
        <w:pBdr/>
        <w:spacing/>
        <w:ind/>
        <w:rPr>
          <w:lang w:val="ro-RO"/>
        </w:rPr>
      </w:pPr>
      <w:r/>
      <w:bookmarkStart w:id="12" w:name="_Toc252991838"/>
      <w:r>
        <w:rPr>
          <w:lang w:val="ro-RO"/>
        </w:rPr>
        <w:t xml:space="preserve">2.2</w:t>
      </w:r>
      <w:r>
        <w:rPr>
          <w:lang w:val="ro-RO"/>
        </w:rPr>
        <w:t xml:space="preserve"> Simbolurile legământului</w:t>
      </w:r>
      <w:bookmarkEnd w:id="12"/>
      <w:r>
        <w:rPr>
          <w:lang w:val="ro-RO"/>
        </w:rPr>
      </w:r>
      <w:r>
        <w:rPr>
          <w:lang w:val="ro-RO"/>
        </w:rPr>
      </w:r>
    </w:p>
    <w:p>
      <w:pPr>
        <w:pStyle w:val="2227"/>
        <w:pBdr/>
        <w:spacing/>
        <w:ind w:firstLine="0"/>
        <w:rPr/>
      </w:pPr>
      <w:r>
        <w:t xml:space="preserve">Odată cu i</w:t>
      </w:r>
      <w:r>
        <w:t xml:space="preserve">nstituirea legămintelor </w:t>
      </w:r>
      <w:r>
        <w:t xml:space="preserve">au</w:t>
      </w:r>
      <w:r>
        <w:t xml:space="preserve"> apărut şi simbolurile </w:t>
      </w:r>
      <w:r>
        <w:t xml:space="preserve">lor, care au deschis un capitol important în imagistica teologică şi politică a V</w:t>
      </w:r>
      <w:r>
        <w:t xml:space="preserve">echiului Testament şi a Noului Testament</w:t>
      </w:r>
      <w:bookmarkStart w:id="13" w:name="b1"/>
      <w:r/>
      <w:bookmarkEnd w:id="13"/>
      <w:r>
        <w:t xml:space="preserve">. Astfel, între </w:t>
      </w:r>
      <w:r>
        <w:t xml:space="preserve">aceste imagini se</w:t>
      </w:r>
      <w:r>
        <w:t xml:space="preserve"> pot număra</w:t>
      </w:r>
      <w:r>
        <w:t xml:space="preserve"> </w:t>
      </w:r>
      <w:r>
        <w:t xml:space="preserve">conceptul şi </w:t>
      </w:r>
      <w:r>
        <w:t xml:space="preserve">simbolul ţării, ca atare</w:t>
      </w:r>
      <w:r>
        <w:t xml:space="preserve"> (</w:t>
      </w:r>
      <w:r>
        <w:t xml:space="preserve">de exemplu, ţara promisă, </w:t>
      </w:r>
      <w:r>
        <w:t xml:space="preserve">Canaanul</w:t>
      </w:r>
      <w:r>
        <w:t xml:space="preserve">), </w:t>
      </w:r>
      <w:r>
        <w:t xml:space="preserve">ilustrat prin diverse</w:t>
      </w:r>
      <w:r>
        <w:t xml:space="preserve"> imagini asociate: strugurii şi viţa de vie, smochinul, măslinul</w:t>
      </w:r>
      <w:r>
        <w:t xml:space="preserve">, laptele şi mierea (ca simboluri ale fertilităţii ţării, ale bogăţiei ei), </w:t>
      </w:r>
      <w:r>
        <w:t xml:space="preserve">Iordanul şi grădina pământurilor de lângă el; Calea sau drumul prin pustie, care conduce în ţara promisă</w:t>
      </w:r>
      <w:r>
        <w:t xml:space="preserve">.</w:t>
      </w:r>
      <w:r>
        <w:t xml:space="preserve"> În imaginile următoare se pot vedea o parte din aceste simboluri:</w:t>
      </w:r>
      <w:r/>
    </w:p>
    <w:p>
      <w:pPr>
        <w:pStyle w:val="2227"/>
        <w:pBdr/>
        <w:spacing/>
        <w:ind w:firstLine="0"/>
        <w:rPr/>
      </w:pPr>
      <w:r/>
      <w:r/>
    </w:p>
    <w:p>
      <w:pPr>
        <w:pStyle w:val="2227"/>
        <w:pBdr/>
        <w:spacing/>
        <w:ind w:firstLine="0"/>
        <w:jc w:val="center"/>
        <w:rPr/>
      </w:pPr>
      <w:r>
        <mc:AlternateContent>
          <mc:Choice Requires="wpg">
            <w:drawing>
              <wp:inline xmlns:wp="http://schemas.openxmlformats.org/drawingml/2006/wordprocessingDrawing" distT="0" distB="0" distL="0" distR="0">
                <wp:extent cx="2116900" cy="1039398"/>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2">
                          <a:extLst>
                            <a:ext uri="{96DAC541-7B7A-43D3-8B79-37D633B846F1}">
                              <asvg:svgBlip xmlns:asvg="http://schemas.microsoft.com/office/drawing/2016/SVG/main" r:embed="rId13"/>
                            </a:ext>
                          </a:extLst>
                        </a:blip>
                        <a:stretch/>
                      </pic:blipFill>
                      <pic:spPr bwMode="auto">
                        <a:xfrm>
                          <a:off x="0" y="0"/>
                          <a:ext cx="2116900" cy="103939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66.69pt;height:81.84pt;mso-wrap-distance-left:0.00pt;mso-wrap-distance-top:0.00pt;mso-wrap-distance-right:0.00pt;mso-wrap-distance-bottom:0.00pt;z-index:1;" stroked="false">
                <v:imagedata r:id="rId12" o:title=""/>
                <o:lock v:ext="edit" rotation="t"/>
              </v:shape>
            </w:pict>
          </mc:Fallback>
        </mc:AlternateContent>
      </w:r>
      <w:r/>
    </w:p>
    <w:p>
      <w:pPr>
        <w:pStyle w:val="2227"/>
        <w:pBdr/>
        <w:spacing/>
        <w:ind w:firstLine="0"/>
        <w:rPr/>
      </w:pPr>
      <w:r/>
      <w:r/>
    </w:p>
    <w:p>
      <w:pPr>
        <w:pStyle w:val="2227"/>
        <w:pBdr/>
        <w:spacing/>
        <w:ind w:firstLine="0"/>
        <w:jc w:val="center"/>
        <w:rPr>
          <w:sz w:val="22"/>
          <w:szCs w:val="22"/>
        </w:rPr>
      </w:pPr>
      <w:r>
        <w:rPr>
          <w:sz w:val="22"/>
          <w:szCs w:val="22"/>
        </w:rPr>
        <w:t xml:space="preserve">Monede </w:t>
      </w:r>
      <w:r>
        <w:rPr>
          <w:sz w:val="22"/>
          <w:szCs w:val="22"/>
        </w:rPr>
        <w:t xml:space="preserve">iudaice</w:t>
      </w:r>
      <w:r>
        <w:rPr>
          <w:sz w:val="22"/>
          <w:szCs w:val="22"/>
        </w:rPr>
        <w:t xml:space="preserve">, </w:t>
      </w:r>
      <w:r>
        <w:rPr>
          <w:sz w:val="22"/>
          <w:szCs w:val="22"/>
        </w:rPr>
        <w:t xml:space="preserve">cu strugure şi palmier, sec. 1-2</w:t>
      </w:r>
      <w:r>
        <w:rPr>
          <w:sz w:val="22"/>
          <w:szCs w:val="22"/>
        </w:rPr>
      </w:r>
      <w:r>
        <w:rPr>
          <w:sz w:val="22"/>
          <w:szCs w:val="22"/>
        </w:rP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2048624" cy="1038794"/>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4">
                          <a:extLst>
                            <a:ext uri="{96DAC541-7B7A-43D3-8B79-37D633B846F1}">
                              <asvg:svgBlip xmlns:asvg="http://schemas.microsoft.com/office/drawing/2016/SVG/main" r:embed="rId15"/>
                            </a:ext>
                          </a:extLst>
                        </a:blip>
                        <a:stretch/>
                      </pic:blipFill>
                      <pic:spPr bwMode="auto">
                        <a:xfrm>
                          <a:off x="0" y="0"/>
                          <a:ext cx="2048623" cy="103879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31pt;height:81.79pt;mso-wrap-distance-left:0.00pt;mso-wrap-distance-top:0.00pt;mso-wrap-distance-right:0.00pt;mso-wrap-distance-bottom:0.00pt;z-index:1;" stroked="false">
                <v:imagedata r:id="rId14" o:title=""/>
                <o:lock v:ext="edit" rotation="t"/>
              </v:shape>
            </w:pict>
          </mc:Fallback>
        </mc:AlternateContent>
      </w:r>
      <w:r/>
    </w:p>
    <w:p>
      <w:pPr>
        <w:pStyle w:val="2227"/>
        <w:pBdr/>
        <w:spacing/>
        <w:ind/>
        <w:rPr/>
      </w:pPr>
      <w:r/>
      <w:r/>
    </w:p>
    <w:p>
      <w:pPr>
        <w:pStyle w:val="2227"/>
        <w:pBdr/>
        <w:spacing/>
        <w:ind/>
        <w:jc w:val="center"/>
        <w:rPr/>
      </w:pPr>
      <w:r>
        <w:rPr>
          <w:sz w:val="22"/>
          <w:szCs w:val="22"/>
        </w:rPr>
        <w:t xml:space="preserve">Monede </w:t>
      </w:r>
      <w:r>
        <w:rPr>
          <w:sz w:val="22"/>
          <w:szCs w:val="22"/>
        </w:rPr>
        <w:t xml:space="preserve">iudaice </w:t>
      </w:r>
      <w:r>
        <w:rPr>
          <w:sz w:val="22"/>
          <w:szCs w:val="22"/>
        </w:rPr>
        <w:t xml:space="preserve">cu simbolul crinului</w:t>
      </w:r>
      <w:r>
        <w:rPr>
          <w:sz w:val="22"/>
          <w:szCs w:val="22"/>
        </w:rPr>
        <w:t xml:space="preserve">, sec. 1-2</w:t>
      </w: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1498841" cy="1094384"/>
                <wp:effectExtent l="0" t="0" r="0" b="0"/>
                <wp:docPr id="3"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6">
                          <a:extLst>
                            <a:ext uri="{96DAC541-7B7A-43D3-8B79-37D633B846F1}">
                              <asvg:svgBlip xmlns:asvg="http://schemas.microsoft.com/office/drawing/2016/SVG/main" r:embed="rId17"/>
                            </a:ext>
                          </a:extLst>
                        </a:blip>
                        <a:stretch/>
                      </pic:blipFill>
                      <pic:spPr bwMode="auto">
                        <a:xfrm>
                          <a:off x="0" y="0"/>
                          <a:ext cx="1498841" cy="10943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18.02pt;height:86.17pt;mso-wrap-distance-left:0.00pt;mso-wrap-distance-top:0.00pt;mso-wrap-distance-right:0.00pt;mso-wrap-distance-bottom:0.00pt;z-index:1;" stroked="false">
                <v:imagedata r:id="rId16" o:title=""/>
                <o:lock v:ext="edit" rotation="t"/>
              </v:shape>
            </w:pict>
          </mc:Fallback>
        </mc:AlternateContent>
      </w:r>
      <w:r/>
    </w:p>
    <w:p>
      <w:pPr>
        <w:pStyle w:val="2227"/>
        <w:pBdr/>
        <w:spacing/>
        <w:ind/>
        <w:rPr/>
      </w:pPr>
      <w:r/>
      <w:r/>
    </w:p>
    <w:p>
      <w:pPr>
        <w:pStyle w:val="2227"/>
        <w:pBdr/>
        <w:spacing/>
        <w:ind/>
        <w:jc w:val="center"/>
        <w:rPr>
          <w:sz w:val="22"/>
          <w:szCs w:val="22"/>
        </w:rPr>
      </w:pPr>
      <w:r>
        <w:rPr>
          <w:sz w:val="22"/>
          <w:szCs w:val="22"/>
        </w:rPr>
        <w:t xml:space="preserve">Piatră funerară antică,</w:t>
      </w:r>
      <w:r>
        <w:rPr>
          <w:sz w:val="22"/>
          <w:szCs w:val="22"/>
        </w:rPr>
        <w:t xml:space="preserve"> </w:t>
      </w:r>
      <w:r>
        <w:rPr>
          <w:sz w:val="22"/>
          <w:szCs w:val="22"/>
        </w:rPr>
        <w:t xml:space="preserve">cu </w:t>
      </w:r>
      <w:r>
        <w:rPr>
          <w:sz w:val="22"/>
          <w:szCs w:val="22"/>
        </w:rPr>
        <w:t xml:space="preserve">simbolul stelei lui David</w:t>
      </w:r>
      <w:r>
        <w:rPr>
          <w:sz w:val="22"/>
          <w:szCs w:val="22"/>
        </w:rPr>
        <w:t xml:space="preserve">, sec. 1-2</w:t>
      </w:r>
      <w:r>
        <w:rPr>
          <w:sz w:val="22"/>
          <w:szCs w:val="22"/>
        </w:rPr>
      </w:r>
      <w:r>
        <w:rPr>
          <w:sz w:val="22"/>
          <w:szCs w:val="22"/>
        </w:rPr>
      </w:r>
    </w:p>
    <w:p>
      <w:pPr>
        <w:pStyle w:val="2227"/>
        <w:pBdr/>
        <w:spacing/>
        <w:ind/>
        <w:rPr/>
      </w:pPr>
      <w:r/>
      <w:r/>
    </w:p>
    <w:p>
      <w:pPr>
        <w:pStyle w:val="2227"/>
        <w:pBdr/>
        <w:spacing/>
        <w:ind/>
        <w:rPr/>
      </w:pPr>
      <w:r>
        <w:t xml:space="preserve">Importante</w:t>
      </w:r>
      <w:r>
        <w:t xml:space="preserve"> sunt, apoi,</w:t>
      </w:r>
      <w:r>
        <w:t xml:space="preserve"> semnele legământului </w:t>
      </w:r>
      <w:r>
        <w:t xml:space="preserve">mozaic</w:t>
      </w:r>
      <w:r>
        <w:t xml:space="preserve"> sau sinaitic, care premerg semnele legământului creştin</w:t>
      </w:r>
      <w:r>
        <w:t xml:space="preserve">: </w:t>
      </w:r>
      <w:r>
        <w:t xml:space="preserve">semnul circumciziei;</w:t>
      </w:r>
      <w:r>
        <w:t xml:space="preserve"> </w:t>
      </w:r>
      <w:r>
        <w:t xml:space="preserve">jertfa (semnul sângelui vărsat</w:t>
      </w:r>
      <w:r>
        <w:t xml:space="preserve"> şi ispăşitor</w:t>
      </w:r>
      <w:r>
        <w:t xml:space="preserve">); </w:t>
      </w:r>
      <w:r>
        <w:t xml:space="preserve">ţinerea sărbătorilor – a </w:t>
      </w:r>
      <w:r>
        <w:t xml:space="preserve">sabatul</w:t>
      </w:r>
      <w:r>
        <w:t xml:space="preserve">ui</w:t>
      </w:r>
      <w:r>
        <w:t xml:space="preserve"> (</w:t>
      </w:r>
      <w:r>
        <w:t xml:space="preserve">sau a sabatelor</w:t>
      </w:r>
      <w:r>
        <w:t xml:space="preserve">)</w:t>
      </w:r>
      <w:r>
        <w:t xml:space="preserve">,</w:t>
      </w:r>
      <w:r>
        <w:t xml:space="preserve"> </w:t>
      </w:r>
      <w:r>
        <w:t xml:space="preserve">păstrarea şi studierea Torei</w:t>
      </w:r>
      <w:r>
        <w:t xml:space="preserve"> (tablele Legii erau păstrate în </w:t>
      </w:r>
      <w:r>
        <w:rPr>
          <w:i/>
        </w:rPr>
        <w:t xml:space="preserve">chivot</w:t>
      </w:r>
      <w:r>
        <w:t xml:space="preserve">, în cortul întâlnirii, iar mai târziu în Templu, alături de toiagul lui Aaron şi câteva mostre de mannah, hrana evreilor dată de Dumnezeu în pelerinajul prin pustie, vreme de 40 de ani). La ace</w:t>
      </w:r>
      <w:r>
        <w:t xml:space="preserve">ste simboluri se adaugă, mai târziu </w:t>
      </w:r>
      <w:r>
        <w:t xml:space="preserve">şi </w:t>
      </w:r>
      <w:r>
        <w:t xml:space="preserve">simbolul Templului, al Sionului (muntele pe care se află Ierusalimul</w:t>
      </w:r>
      <w:r>
        <w:t xml:space="preserve">), </w:t>
      </w:r>
      <w:r>
        <w:t xml:space="preserve">al fortăreţei </w:t>
      </w:r>
      <w:r>
        <w:t xml:space="preserve">Sionului</w:t>
      </w:r>
      <w:r>
        <w:t xml:space="preserve">), </w:t>
      </w:r>
      <w:r>
        <w:t xml:space="preserve">al Ierusalimului propriu-zis.</w:t>
      </w:r>
      <w:r>
        <w:t xml:space="preserve"> </w:t>
      </w: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1808328" cy="1400302"/>
                <wp:effectExtent l="0" t="0" r="0" b="0"/>
                <wp:docPr id="4"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18">
                          <a:extLst>
                            <a:ext uri="{96DAC541-7B7A-43D3-8B79-37D633B846F1}">
                              <asvg:svgBlip xmlns:asvg="http://schemas.microsoft.com/office/drawing/2016/SVG/main" r:embed="rId19"/>
                            </a:ext>
                          </a:extLst>
                        </a:blip>
                        <a:stretch/>
                      </pic:blipFill>
                      <pic:spPr bwMode="auto">
                        <a:xfrm>
                          <a:off x="0" y="0"/>
                          <a:ext cx="1808328" cy="140030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42.39pt;height:110.26pt;mso-wrap-distance-left:0.00pt;mso-wrap-distance-top:0.00pt;mso-wrap-distance-right:0.00pt;mso-wrap-distance-bottom:0.00pt;z-index:1;" stroked="false">
                <v:imagedata r:id="rId18" o:title=""/>
                <o:lock v:ext="edit" rotation="t"/>
              </v:shape>
            </w:pict>
          </mc:Fallback>
        </mc:AlternateContent>
      </w:r>
      <w:r/>
    </w:p>
    <w:p>
      <w:pPr>
        <w:pStyle w:val="2227"/>
        <w:pBdr/>
        <w:spacing/>
        <w:ind/>
        <w:jc w:val="center"/>
        <w:rPr>
          <w:sz w:val="22"/>
          <w:szCs w:val="22"/>
        </w:rPr>
      </w:pPr>
      <w:r>
        <w:rPr>
          <w:sz w:val="22"/>
          <w:szCs w:val="22"/>
        </w:rPr>
      </w:r>
      <w:r>
        <w:rPr>
          <w:sz w:val="22"/>
          <w:szCs w:val="22"/>
        </w:rPr>
      </w:r>
    </w:p>
    <w:p>
      <w:pPr>
        <w:pStyle w:val="2227"/>
        <w:pBdr/>
        <w:spacing/>
        <w:ind/>
        <w:jc w:val="center"/>
        <w:rPr>
          <w:sz w:val="22"/>
          <w:szCs w:val="22"/>
        </w:rPr>
      </w:pPr>
      <w:r>
        <w:rPr>
          <w:sz w:val="22"/>
          <w:szCs w:val="22"/>
        </w:rPr>
        <w:t xml:space="preserve">Simbolul arcei legământului (chivotul)</w:t>
      </w:r>
      <w:r>
        <w:rPr>
          <w:sz w:val="22"/>
          <w:szCs w:val="22"/>
        </w:rP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1770774" cy="781093"/>
                <wp:effectExtent l="0" t="0" r="0" b="0"/>
                <wp:docPr id="5"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0">
                          <a:extLst>
                            <a:ext uri="{96DAC541-7B7A-43D3-8B79-37D633B846F1}">
                              <asvg:svgBlip xmlns:asvg="http://schemas.microsoft.com/office/drawing/2016/SVG/main" r:embed="rId21"/>
                            </a:ext>
                          </a:extLst>
                        </a:blip>
                        <a:stretch/>
                      </pic:blipFill>
                      <pic:spPr bwMode="auto">
                        <a:xfrm>
                          <a:off x="0" y="0"/>
                          <a:ext cx="1770774" cy="78109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39.43pt;height:61.50pt;mso-wrap-distance-left:0.00pt;mso-wrap-distance-top:0.00pt;mso-wrap-distance-right:0.00pt;mso-wrap-distance-bottom:0.00pt;z-index:1;" stroked="false">
                <v:imagedata r:id="rId20" o:title=""/>
                <o:lock v:ext="edit" rotation="t"/>
              </v:shape>
            </w:pict>
          </mc:Fallback>
        </mc:AlternateContent>
      </w:r>
      <w:r/>
    </w:p>
    <w:p>
      <w:pPr>
        <w:pStyle w:val="2227"/>
        <w:pBdr/>
        <w:spacing/>
        <w:ind/>
        <w:jc w:val="center"/>
        <w:rPr/>
      </w:pPr>
      <w:r/>
      <w:r/>
    </w:p>
    <w:p>
      <w:pPr>
        <w:pStyle w:val="2227"/>
        <w:pBdr/>
        <w:spacing/>
        <w:ind/>
        <w:jc w:val="center"/>
        <w:rPr>
          <w:sz w:val="22"/>
          <w:szCs w:val="22"/>
        </w:rPr>
      </w:pPr>
      <w:r>
        <w:rPr>
          <w:sz w:val="22"/>
          <w:szCs w:val="22"/>
        </w:rPr>
        <w:t xml:space="preserve">Monede cu simbolul templului din Ierusalim, sec. 1</w:t>
      </w:r>
      <w:r>
        <w:rPr>
          <w:sz w:val="22"/>
          <w:szCs w:val="22"/>
        </w:rPr>
        <w:t xml:space="preserve">-2</w:t>
      </w:r>
      <w:r>
        <w:rPr>
          <w:sz w:val="22"/>
          <w:szCs w:val="22"/>
        </w:rPr>
      </w:r>
      <w:r>
        <w:rPr>
          <w:sz w:val="22"/>
          <w:szCs w:val="22"/>
        </w:rP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1770901" cy="1353515"/>
                <wp:effectExtent l="0" t="0" r="0" b="0"/>
                <wp:docPr id="6"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2">
                          <a:extLst>
                            <a:ext uri="{96DAC541-7B7A-43D3-8B79-37D633B846F1}">
                              <asvg:svgBlip xmlns:asvg="http://schemas.microsoft.com/office/drawing/2016/SVG/main" r:embed="rId23"/>
                            </a:ext>
                          </a:extLst>
                        </a:blip>
                        <a:stretch/>
                      </pic:blipFill>
                      <pic:spPr bwMode="auto">
                        <a:xfrm>
                          <a:off x="0" y="0"/>
                          <a:ext cx="1770901" cy="135351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39.44pt;height:106.58pt;mso-wrap-distance-left:0.00pt;mso-wrap-distance-top:0.00pt;mso-wrap-distance-right:0.00pt;mso-wrap-distance-bottom:0.00pt;z-index:1;" stroked="false">
                <v:imagedata r:id="rId22" o:title=""/>
                <o:lock v:ext="edit" rotation="t"/>
              </v:shape>
            </w:pict>
          </mc:Fallback>
        </mc:AlternateContent>
      </w:r>
      <w:r/>
    </w:p>
    <w:p>
      <w:pPr>
        <w:pStyle w:val="2227"/>
        <w:pBdr/>
        <w:spacing/>
        <w:ind/>
        <w:jc w:val="center"/>
        <w:rPr>
          <w:sz w:val="22"/>
          <w:szCs w:val="22"/>
        </w:rPr>
      </w:pPr>
      <w:r>
        <w:rPr>
          <w:sz w:val="22"/>
          <w:szCs w:val="22"/>
        </w:rPr>
      </w:r>
      <w:r>
        <w:rPr>
          <w:sz w:val="22"/>
          <w:szCs w:val="22"/>
        </w:rPr>
      </w:r>
    </w:p>
    <w:p>
      <w:pPr>
        <w:pStyle w:val="2227"/>
        <w:pBdr/>
        <w:spacing/>
        <w:ind/>
        <w:jc w:val="center"/>
        <w:rPr>
          <w:sz w:val="22"/>
          <w:szCs w:val="22"/>
        </w:rPr>
      </w:pPr>
      <w:r>
        <w:rPr>
          <w:sz w:val="22"/>
          <w:szCs w:val="22"/>
        </w:rPr>
        <w:t xml:space="preserve">Faţada templului</w:t>
      </w:r>
      <w:r>
        <w:rPr>
          <w:sz w:val="22"/>
          <w:szCs w:val="22"/>
        </w:rPr>
        <w:t xml:space="preserve">, aşa cum se deduce din monede</w:t>
      </w:r>
      <w:r>
        <w:rPr>
          <w:sz w:val="22"/>
          <w:szCs w:val="22"/>
        </w:rPr>
      </w:r>
      <w:r>
        <w:rPr>
          <w:sz w:val="22"/>
          <w:szCs w:val="22"/>
        </w:rPr>
      </w:r>
    </w:p>
    <w:p>
      <w:pPr>
        <w:pStyle w:val="2227"/>
        <w:pBdr/>
        <w:spacing/>
        <w:ind/>
        <w:rPr/>
      </w:pPr>
      <w:r/>
      <w:r/>
    </w:p>
    <w:p>
      <w:pPr>
        <w:pStyle w:val="2227"/>
        <w:pBdr/>
        <w:spacing/>
        <w:ind/>
        <w:rPr/>
      </w:pPr>
      <w:r>
        <w:t xml:space="preserve">Ţara </w:t>
      </w:r>
      <w:r>
        <w:t xml:space="preserve">simboliza </w:t>
      </w:r>
      <w:r>
        <w:t xml:space="preserve">spaţiul acordat pentru vieţuire</w:t>
      </w:r>
      <w:r>
        <w:t xml:space="preserve"> unui popor</w:t>
      </w:r>
      <w:r>
        <w:t xml:space="preserve">, </w:t>
      </w:r>
      <w:r>
        <w:t xml:space="preserve">în particular lui Israel, ceea ce reprezintă o reluare la scară mai joasă</w:t>
      </w:r>
      <w:r>
        <w:t xml:space="preserve"> a ideii edenice de pământ dat </w:t>
      </w:r>
      <w:r>
        <w:t xml:space="preserve">oamenilor </w:t>
      </w:r>
      <w:r>
        <w:t xml:space="preserve">în lucru şi </w:t>
      </w:r>
      <w:r>
        <w:t xml:space="preserve">în </w:t>
      </w:r>
      <w:r>
        <w:t xml:space="preserve">administrare. </w:t>
      </w:r>
      <w:r>
        <w:t xml:space="preserve">Conceptul „ţării” </w:t>
      </w:r>
      <w:r>
        <w:t xml:space="preserve">conţine în el nu doar hotare politice şi autoritate divină, ori o recapitulare a temei Edenului, dar şi o </w:t>
      </w:r>
      <w:r>
        <w:t xml:space="preserve">anunţare a viitorului, adică a timpului când tot pământul va fi plin de cunoaşterea de Dumnezeu şi sub domnia păcii şi a armoniei (adică </w:t>
      </w:r>
      <w:r>
        <w:t xml:space="preserve">aici arhetipul devine eschatip, </w:t>
      </w:r>
      <w:r>
        <w:t xml:space="preserve">adică trecutul impune un simbol pentru viitor, </w:t>
      </w:r>
      <w:r>
        <w:t xml:space="preserve">cf. amintirea idilică a Edenului, promisiunile către patriarhi, vestirea venirii lui Mesia, a epocii „de aur” a omenirii, cf. Isaia).</w:t>
      </w:r>
      <w:r>
        <w:t xml:space="preserve"> Arhetipul ţării admite şi </w:t>
      </w:r>
      <w:r>
        <w:t xml:space="preserve">imagini ale restaurării finale (eschatipuri): Edenul restaurat (sau </w:t>
      </w:r>
      <w:r>
        <w:t xml:space="preserve">paradisul</w:t>
      </w:r>
      <w:r>
        <w:t xml:space="preserve">, d</w:t>
      </w:r>
      <w:r>
        <w:t xml:space="preserve">e asemeni sub forma unei grădini</w:t>
      </w:r>
      <w:r>
        <w:t xml:space="preserve">; în Apocalipsa</w:t>
      </w:r>
      <w:r>
        <w:t xml:space="preserve"> însă</w:t>
      </w:r>
      <w:r>
        <w:t xml:space="preserve"> lumea nouă este mai mult decât o restaurare a Edenului, </w:t>
      </w:r>
      <w:r>
        <w:t xml:space="preserve">ea </w:t>
      </w:r>
      <w:r>
        <w:t xml:space="preserve">implică o transfigurare a cosmosulu</w:t>
      </w:r>
      <w:r>
        <w:t xml:space="preserve">i, </w:t>
      </w:r>
      <w:r>
        <w:t xml:space="preserve">apariţia </w:t>
      </w:r>
      <w:r>
        <w:t xml:space="preserve">un</w:t>
      </w:r>
      <w:r>
        <w:t xml:space="preserve">ui</w:t>
      </w:r>
      <w:r>
        <w:t xml:space="preserve"> cer nou şi </w:t>
      </w:r>
      <w:r>
        <w:t xml:space="preserve">a unui</w:t>
      </w:r>
      <w:r>
        <w:t xml:space="preserve"> pământ nou);</w:t>
      </w:r>
      <w:r>
        <w:t xml:space="preserve"> ţara şi pustia restaurată; cetatea restaurată</w:t>
      </w:r>
      <w:r>
        <w:t xml:space="preserve"> (</w:t>
      </w:r>
      <w:r>
        <w:t xml:space="preserve">Ierusalimul restaurat, Templul restaurat</w:t>
      </w:r>
      <w:r>
        <w:t xml:space="preserve">; </w:t>
      </w:r>
      <w:r>
        <w:t xml:space="preserve">Ierusalimul ceresc</w:t>
      </w:r>
      <w:r>
        <w:t xml:space="preserve"> – în Evrei, Apocalipsa; se poate observa</w:t>
      </w:r>
      <w:r>
        <w:t xml:space="preserve">, de asemeni,</w:t>
      </w:r>
      <w:r>
        <w:t xml:space="preserve"> prin contrast,</w:t>
      </w:r>
      <w:r>
        <w:t xml:space="preserve"> că în</w:t>
      </w:r>
      <w:r>
        <w:t xml:space="preserve"> Apocalipsa, I</w:t>
      </w:r>
      <w:r>
        <w:t xml:space="preserve">erusalimul ceresc nu are Templu</w:t>
      </w:r>
      <w:r>
        <w:t xml:space="preserve">, deoarece prezenţa divină directă este suficientă pentru funcţionarea unei relaţii vii între om şi divinitate</w:t>
      </w:r>
      <w:r>
        <w:t xml:space="preserve">)</w:t>
      </w:r>
      <w:r>
        <w:t xml:space="preserve">.</w:t>
      </w:r>
      <w:r/>
    </w:p>
    <w:p>
      <w:pPr>
        <w:pStyle w:val="2227"/>
        <w:pBdr/>
        <w:spacing/>
        <w:ind/>
        <w:rPr/>
      </w:pPr>
      <w:r/>
      <w:r/>
    </w:p>
    <w:p>
      <w:pPr>
        <w:pStyle w:val="2230"/>
        <w:pBdr/>
        <w:spacing/>
        <w:ind/>
        <w:rPr>
          <w:lang w:val="ro-RO"/>
        </w:rPr>
      </w:pPr>
      <w:r/>
      <w:bookmarkStart w:id="14" w:name="_Toc252991839"/>
      <w:r>
        <w:rPr>
          <w:lang w:val="ro-RO"/>
        </w:rPr>
        <w:t xml:space="preserve">2</w:t>
      </w:r>
      <w:r>
        <w:rPr>
          <w:lang w:val="ro-RO"/>
        </w:rPr>
        <w:t xml:space="preserve">.3</w:t>
      </w:r>
      <w:r>
        <w:rPr>
          <w:lang w:val="ro-RO"/>
        </w:rPr>
        <w:t xml:space="preserve"> Exercitarea puterii politice</w:t>
      </w:r>
      <w:r>
        <w:rPr>
          <w:lang w:val="ro-RO"/>
        </w:rPr>
        <w:t xml:space="preserve"> : regimul politic</w:t>
      </w:r>
      <w:bookmarkEnd w:id="14"/>
      <w:r>
        <w:rPr>
          <w:lang w:val="ro-RO"/>
        </w:rPr>
      </w:r>
      <w:r>
        <w:rPr>
          <w:lang w:val="ro-RO"/>
        </w:rPr>
      </w:r>
    </w:p>
    <w:p>
      <w:pPr>
        <w:pStyle w:val="2227"/>
        <w:pBdr/>
        <w:spacing/>
        <w:ind w:firstLine="0"/>
        <w:rPr/>
      </w:pPr>
      <w:r/>
      <w:r/>
    </w:p>
    <w:p>
      <w:pPr>
        <w:pStyle w:val="2227"/>
        <w:pBdr/>
        <w:spacing/>
        <w:ind w:firstLine="0"/>
        <w:rPr/>
      </w:pPr>
      <w:r>
        <w:t xml:space="preserve">Lista de simboluri sau imagini caracteristice</w:t>
      </w:r>
      <w:r>
        <w:t xml:space="preserve"> legământului poate continua </w:t>
      </w:r>
      <w:r>
        <w:t xml:space="preserve">şi cu alte imagini asociate. De primă importanţă este </w:t>
      </w:r>
      <w:r>
        <w:t xml:space="preserve">imaginea lui Mesia</w:t>
      </w:r>
      <w:r>
        <w:t xml:space="preserve">, Unsul</w:t>
      </w:r>
      <w:r>
        <w:t xml:space="preserve"> (</w:t>
      </w:r>
      <w:r>
        <w:t xml:space="preserve">în NT: </w:t>
      </w:r>
      <w:r>
        <w:t xml:space="preserve">Hristos), </w:t>
      </w:r>
      <w:r>
        <w:t xml:space="preserve">ca </w:t>
      </w:r>
      <w:r>
        <w:t xml:space="preserve">reprezentant şi condu</w:t>
      </w:r>
      <w:r>
        <w:t xml:space="preserve">cător </w:t>
      </w:r>
      <w:r>
        <w:t xml:space="preserve">confirmat</w:t>
      </w:r>
      <w:r>
        <w:t xml:space="preserve"> de Dumnezeu</w:t>
      </w:r>
      <w:r>
        <w:t xml:space="preserve">. Profeţiile mesianice au o pondere mare în scrierile evreieşti, identitatea lui Mesia fiind discutată pe diverse planuri: </w:t>
      </w:r>
      <w:r>
        <w:t xml:space="preserve">el are </w:t>
      </w:r>
      <w:r>
        <w:t xml:space="preserve">funcţie profetică, preoţească şi regală; </w:t>
      </w:r>
      <w:r>
        <w:t xml:space="preserve">este o persoană centrală în istoria omenirii, dar poate avea diverse chipuri istorice</w:t>
      </w:r>
      <w:r>
        <w:t xml:space="preserve"> </w:t>
      </w:r>
      <w:r>
        <w:t xml:space="preserve">prefiguratoare: poporul Israel, </w:t>
      </w:r>
      <w:r>
        <w:t xml:space="preserve">judecătorii, profeţii şi preoţii săi, </w:t>
      </w:r>
      <w:r>
        <w:t xml:space="preserve">regii lui Israel şi Iuda, chiar </w:t>
      </w:r>
      <w:r>
        <w:t xml:space="preserve">şi </w:t>
      </w:r>
      <w:r>
        <w:t xml:space="preserve">unii regi </w:t>
      </w:r>
      <w:r>
        <w:t xml:space="preserve">păgâni (de exemplu, regele persan </w:t>
      </w:r>
      <w:r>
        <w:t xml:space="preserve">Cirus</w:t>
      </w:r>
      <w:r>
        <w:t xml:space="preserve">, </w:t>
      </w:r>
      <w:r>
        <w:t xml:space="preserve">Isaia</w:t>
      </w:r>
      <w:r>
        <w:t xml:space="preserve"> 44:28</w:t>
      </w:r>
      <w:r>
        <w:t xml:space="preserve">)</w:t>
      </w:r>
      <w:r>
        <w:t xml:space="preserve">. </w:t>
      </w:r>
      <w:r/>
    </w:p>
    <w:p>
      <w:pPr>
        <w:pStyle w:val="2227"/>
        <w:pBdr/>
        <w:spacing/>
        <w:ind/>
        <w:rPr/>
      </w:pPr>
      <w:r>
        <w:t xml:space="preserve">Conducerea ţăr</w:t>
      </w:r>
      <w:r>
        <w:t xml:space="preserve">ii printr-un regim de ispiraţie divină a avut loc şi în perioada judecătorilor (1450-1050 îH; cf. cartea Judecători; ultimul judecător este Samuel), subînţelegându-se că peste judecători domneşte însuşi Dumnezeu. Perioada aceasta este însă urmată de perioa</w:t>
      </w:r>
      <w:r>
        <w:t xml:space="preserve">da monarhiei, primii regi fiind Saul, David, Solomon, Roboam, după care urmează divizarea în două a statului israelit, în Israel, la nord, şi Iuda, în sud, fiecare cu linia sa regală. În mod interesant, sistemul politic al monarhiei, deşi a fost inspirat d</w:t>
      </w:r>
      <w:r>
        <w:t xml:space="preserve">in viaţa politică a popoarelor păgâne (pe care evreii doreau să îi imite), ajunge însă să revitalizeze în gândirea religioasă imaginea lui Dumnezeu ca monarh suprem şi să o genereze pe cea a lui Mesia, înţeles ca rege eliberator, mult aşteptat şi profeţit.</w:t>
      </w:r>
      <w:r/>
    </w:p>
    <w:p>
      <w:pPr>
        <w:pStyle w:val="2227"/>
        <w:pBdr/>
        <w:spacing/>
        <w:ind/>
        <w:rPr/>
      </w:pPr>
      <w:r>
        <w:t xml:space="preserve">În NT,</w:t>
      </w:r>
      <w:r>
        <w:t xml:space="preserve"> dincolo de orice prefigurări, M</w:t>
      </w:r>
      <w:r>
        <w:t xml:space="preserve">esia central, unic, este mântuitorul Isus Hristos care, într-adevăr, </w:t>
      </w:r>
      <w:r>
        <w:t xml:space="preserve">adună mai multe oficii (de preot, profet şi rege)</w:t>
      </w:r>
      <w:r>
        <w:t xml:space="preserve"> şi este Fiul Divin.</w:t>
      </w:r>
      <w:r>
        <w:t xml:space="preserve"> </w:t>
      </w:r>
      <w:r/>
    </w:p>
    <w:p>
      <w:pPr>
        <w:pStyle w:val="2227"/>
        <w:pBdr/>
        <w:spacing/>
        <w:ind/>
        <w:rPr/>
      </w:pPr>
      <w:r>
        <w:t xml:space="preserve">Relaţia </w:t>
      </w:r>
      <w:r>
        <w:t xml:space="preserve">între divinitate şi poporul </w:t>
      </w:r>
      <w:r>
        <w:t xml:space="preserve">ales</w:t>
      </w:r>
      <w:r>
        <w:t xml:space="preserve"> se exprimă </w:t>
      </w:r>
      <w:r>
        <w:t xml:space="preserve">apoi şi </w:t>
      </w:r>
      <w:r>
        <w:t xml:space="preserve">printr-o relaţie </w:t>
      </w:r>
      <w:r>
        <w:t xml:space="preserve">aparte în</w:t>
      </w:r>
      <w:r>
        <w:t xml:space="preserve">tre</w:t>
      </w:r>
      <w:r>
        <w:t xml:space="preserve"> Dumnezeu şi capitală, care aminteşte de ideea legăturii </w:t>
      </w:r>
      <w:r>
        <w:t xml:space="preserve">între divinitate şi teritoriu</w:t>
      </w:r>
      <w:r>
        <w:t xml:space="preserve">, sau între divinitate şi comunitatea care i se închină, </w:t>
      </w:r>
      <w:r>
        <w:t xml:space="preserve"> </w:t>
      </w:r>
      <w:r>
        <w:t xml:space="preserve">la popoarele păgâne </w:t>
      </w:r>
      <w:r>
        <w:t xml:space="preserve">(cf. </w:t>
      </w:r>
      <w:r>
        <w:t xml:space="preserve">z</w:t>
      </w:r>
      <w:r>
        <w:t xml:space="preserve">eul </w:t>
      </w:r>
      <w:r>
        <w:t xml:space="preserve">Marduk şi</w:t>
      </w:r>
      <w:r>
        <w:t xml:space="preserve"> </w:t>
      </w:r>
      <w:r>
        <w:t xml:space="preserve">capitala </w:t>
      </w:r>
      <w:r>
        <w:t xml:space="preserve">Babilon</w:t>
      </w:r>
      <w:r>
        <w:t xml:space="preserve">, la babilonieni;</w:t>
      </w:r>
      <w:r>
        <w:t xml:space="preserve"> </w:t>
      </w:r>
      <w:r>
        <w:t xml:space="preserve">Zeus şi </w:t>
      </w:r>
      <w:r>
        <w:t xml:space="preserve">Roma</w:t>
      </w:r>
      <w:r>
        <w:t xml:space="preserve">, la</w:t>
      </w:r>
      <w:r>
        <w:t xml:space="preserve"> romani; </w:t>
      </w:r>
      <w:r>
        <w:t xml:space="preserve">zeul </w:t>
      </w:r>
      <w:r>
        <w:t xml:space="preserve">Dagon şi capitala </w:t>
      </w:r>
      <w:r>
        <w:t xml:space="preserve">Asdod</w:t>
      </w:r>
      <w:r>
        <w:t xml:space="preserve">, </w:t>
      </w:r>
      <w:r>
        <w:t xml:space="preserve">la filisteni, </w:t>
      </w:r>
      <w:r>
        <w:t xml:space="preserve">cf. 1 Sam. 5.2</w:t>
      </w:r>
      <w:r>
        <w:t xml:space="preserve">-5, Jud. 16.23-24;</w:t>
      </w:r>
      <w:r>
        <w:t xml:space="preserve"> </w:t>
      </w:r>
      <w:r>
        <w:t xml:space="preserve">Iahveh şi </w:t>
      </w:r>
      <w:r>
        <w:t xml:space="preserve">Ierusalim</w:t>
      </w:r>
      <w:r>
        <w:t xml:space="preserve">, sau Iahveh – Baal şi </w:t>
      </w:r>
      <w:r>
        <w:t xml:space="preserve">Samaria</w:t>
      </w:r>
      <w:r>
        <w:t xml:space="preserve"> (</w:t>
      </w:r>
      <w:r>
        <w:t xml:space="preserve">aici, într-o </w:t>
      </w:r>
      <w:r>
        <w:t xml:space="preserve">formă de </w:t>
      </w:r>
      <w:r>
        <w:t xml:space="preserve">religie </w:t>
      </w:r>
      <w:r>
        <w:t xml:space="preserve">mozaică </w:t>
      </w:r>
      <w:r>
        <w:t xml:space="preserve">sincretistă, Iahveh era reprezentat printr-un taur, care era simbolul lui Baal, şi </w:t>
      </w:r>
      <w:r>
        <w:t xml:space="preserve">care </w:t>
      </w:r>
      <w:r>
        <w:t xml:space="preserve">amintea şi de boul Apis din Egipt; fascinaţia lui Israel </w:t>
      </w:r>
      <w:r>
        <w:t xml:space="preserve">cu închinarea la acest simbol al puterii şi fertilităţii</w:t>
      </w:r>
      <w:r>
        <w:t xml:space="preserve"> s-a manifestat şi în pustia Sinai, când preotul Aaron, fratele lui Moise, le-a făcut un taur aurit şi l-a prezentat ca fiind Dumnezeul puternic care i-a scos din Egipt</w:t>
      </w:r>
      <w:r>
        <w:t xml:space="preserve">)</w:t>
      </w:r>
      <w:r>
        <w:t xml:space="preserve">, </w:t>
      </w:r>
      <w:r>
        <w:t xml:space="preserve">sau </w:t>
      </w:r>
      <w:r>
        <w:t xml:space="preserve">zeul </w:t>
      </w:r>
      <w:r>
        <w:t xml:space="preserve">Rimon şi </w:t>
      </w:r>
      <w:r>
        <w:t xml:space="preserve">capitala </w:t>
      </w:r>
      <w:r>
        <w:t xml:space="preserve">Damasc</w:t>
      </w:r>
      <w:r>
        <w:t xml:space="preserve">, la sirieni</w:t>
      </w:r>
      <w:r>
        <w:t xml:space="preserve">, cf.</w:t>
      </w:r>
      <w:r>
        <w:t xml:space="preserve"> </w:t>
      </w:r>
      <w:r>
        <w:t xml:space="preserve">2 Regi 5.18</w:t>
      </w:r>
      <w:r>
        <w:t xml:space="preserve">, etc.</w:t>
      </w:r>
      <w:r>
        <w:t xml:space="preserve">). </w:t>
      </w:r>
      <w:r>
        <w:t xml:space="preserve"> </w:t>
      </w:r>
      <w:r/>
    </w:p>
    <w:p>
      <w:pPr>
        <w:pStyle w:val="2227"/>
        <w:pBdr/>
        <w:spacing/>
        <w:ind/>
        <w:jc w:val="center"/>
        <w:rPr/>
      </w:pPr>
      <w:r>
        <mc:AlternateContent>
          <mc:Choice Requires="wpg">
            <w:drawing>
              <wp:inline xmlns:wp="http://schemas.openxmlformats.org/drawingml/2006/wordprocessingDrawing" distT="0" distB="0" distL="0" distR="0">
                <wp:extent cx="1914474" cy="2153361"/>
                <wp:effectExtent l="0" t="0" r="0" b="0"/>
                <wp:docPr id="7"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4">
                          <a:extLst>
                            <a:ext uri="{96DAC541-7B7A-43D3-8B79-37D633B846F1}">
                              <asvg:svgBlip xmlns:asvg="http://schemas.microsoft.com/office/drawing/2016/SVG/main" r:embed="rId25"/>
                            </a:ext>
                          </a:extLst>
                        </a:blip>
                        <a:stretch/>
                      </pic:blipFill>
                      <pic:spPr bwMode="auto">
                        <a:xfrm>
                          <a:off x="0" y="0"/>
                          <a:ext cx="1914474" cy="215336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50.75pt;height:169.56pt;mso-wrap-distance-left:0.00pt;mso-wrap-distance-top:0.00pt;mso-wrap-distance-right:0.00pt;mso-wrap-distance-bottom:0.00pt;z-index:1;" stroked="false">
                <v:imagedata r:id="rId24" o:title=""/>
                <o:lock v:ext="edit" rotation="t"/>
              </v:shape>
            </w:pict>
          </mc:Fallback>
        </mc:AlternateContent>
      </w:r>
      <w:r/>
    </w:p>
    <w:p>
      <w:pPr>
        <w:pStyle w:val="2227"/>
        <w:pBdr/>
        <w:spacing/>
        <w:ind/>
        <w:jc w:val="center"/>
        <w:rPr>
          <w:sz w:val="22"/>
          <w:szCs w:val="22"/>
        </w:rPr>
      </w:pPr>
      <w:r>
        <w:rPr>
          <w:sz w:val="22"/>
          <w:szCs w:val="22"/>
        </w:rPr>
        <w:t xml:space="preserve">Zeul egiptean Apis, împrumutat</w:t>
      </w:r>
      <w:r>
        <w:rPr>
          <w:sz w:val="22"/>
          <w:szCs w:val="22"/>
        </w:rPr>
        <w:t xml:space="preserve"> ca simbol</w:t>
      </w:r>
      <w:r>
        <w:rPr>
          <w:sz w:val="22"/>
          <w:szCs w:val="22"/>
        </w:rPr>
        <w:t xml:space="preserve"> al lui Yahweh, la evrei</w:t>
      </w:r>
      <w:r>
        <w:rPr>
          <w:sz w:val="22"/>
          <w:szCs w:val="22"/>
        </w:rPr>
      </w:r>
      <w:r>
        <w:rPr>
          <w:sz w:val="22"/>
          <w:szCs w:val="22"/>
        </w:rPr>
      </w:r>
    </w:p>
    <w:p>
      <w:pPr>
        <w:pStyle w:val="2227"/>
        <w:pBdr/>
        <w:spacing/>
        <w:ind/>
        <w:rPr/>
      </w:pPr>
      <w:r/>
      <w:r/>
    </w:p>
    <w:p>
      <w:pPr>
        <w:pStyle w:val="2227"/>
        <w:pBdr/>
        <w:spacing/>
        <w:ind/>
        <w:rPr/>
      </w:pPr>
      <w:r>
        <w:t xml:space="preserve">Într-o formă mai dezvoltată, t</w:t>
      </w:r>
      <w:r>
        <w:t xml:space="preserve">eologia puterii politice</w:t>
      </w:r>
      <w:r>
        <w:t xml:space="preserve"> cuprinde câteva repere de bază,</w:t>
      </w:r>
      <w:r>
        <w:t xml:space="preserve"> cum ar </w:t>
      </w:r>
      <w:r>
        <w:t xml:space="preserve">fi (a) </w:t>
      </w:r>
      <w:r>
        <w:t xml:space="preserve">definirea centrului put</w:t>
      </w:r>
      <w:r>
        <w:t xml:space="preserve">erii, </w:t>
      </w:r>
      <w:r>
        <w:t xml:space="preserve">(b) definirea</w:t>
      </w:r>
      <w:r>
        <w:t xml:space="preserve"> doctrinei puterii,</w:t>
      </w:r>
      <w:r>
        <w:t xml:space="preserve"> </w:t>
      </w:r>
      <w:r>
        <w:t xml:space="preserve">(c) definirea</w:t>
      </w:r>
      <w:r>
        <w:t xml:space="preserve"> v</w:t>
      </w:r>
      <w:r>
        <w:t xml:space="preserve">iziunii de expansiune </w:t>
      </w:r>
      <w:r>
        <w:t xml:space="preserve">în timp şi spaţiu a puterii</w:t>
      </w:r>
      <w:r>
        <w:t xml:space="preserve">, şi </w:t>
      </w:r>
      <w:r>
        <w:t xml:space="preserve">(d) precizarea</w:t>
      </w:r>
      <w:r>
        <w:t xml:space="preserve"> simbolurilor </w:t>
      </w:r>
      <w:r>
        <w:t xml:space="preserve">care ilustrează şi reprezintă </w:t>
      </w:r>
      <w:r>
        <w:t xml:space="preserve">puter</w:t>
      </w:r>
      <w:r>
        <w:t xml:space="preserve">ea (o ideologie adusă la exprimare practică)</w:t>
      </w:r>
      <w:r>
        <w:t xml:space="preserve">.</w:t>
      </w:r>
      <w:r/>
    </w:p>
    <w:p>
      <w:pPr>
        <w:pStyle w:val="2227"/>
        <w:pBdr/>
        <w:spacing/>
        <w:ind/>
        <w:rPr/>
      </w:pPr>
      <w:r>
        <w:t xml:space="preserve">Astfel,</w:t>
      </w:r>
      <w:r>
        <w:t xml:space="preserve"> din punct de vedere teologic</w:t>
      </w:r>
      <w:r>
        <w:t xml:space="preserve"> </w:t>
      </w:r>
      <w:r>
        <w:rPr>
          <w:b/>
        </w:rPr>
        <w:t xml:space="preserve">c</w:t>
      </w:r>
      <w:r>
        <w:rPr>
          <w:b/>
        </w:rPr>
        <w:t xml:space="preserve">entrul puterii</w:t>
      </w:r>
      <w:r>
        <w:t xml:space="preserve"> în societate, în univers, în istorie</w:t>
      </w:r>
      <w:r>
        <w:t xml:space="preserve">,</w:t>
      </w:r>
      <w:r>
        <w:t xml:space="preserve"> este</w:t>
      </w:r>
      <w:r>
        <w:t xml:space="preserve"> divinitatea</w:t>
      </w:r>
      <w:r>
        <w:t xml:space="preserve">. </w:t>
      </w:r>
      <w:r>
        <w:t xml:space="preserve">Ea deleagă oamenilor puterea cetăţii (a polisului)</w:t>
      </w:r>
      <w:r>
        <w:t xml:space="preserve">, </w:t>
      </w:r>
      <w:r>
        <w:t xml:space="preserve">prin mandat general</w:t>
      </w:r>
      <w:r>
        <w:t xml:space="preserve"> sau prin mandat individual</w:t>
      </w:r>
      <w:r>
        <w:t xml:space="preserve"> (de exemplu, </w:t>
      </w:r>
      <w:r>
        <w:t xml:space="preserve">regi</w:t>
      </w:r>
      <w:r>
        <w:t xml:space="preserve">lor</w:t>
      </w:r>
      <w:r>
        <w:t xml:space="preserve">: Saul, David, Solomon; Cir</w:t>
      </w:r>
      <w:r>
        <w:t xml:space="preserve">us</w:t>
      </w:r>
      <w:r>
        <w:t xml:space="preserve">, Darius, Ahaşveros, ca exemple biblice de regi persani care duc la îndeplinire un mandat divin, în mod conştient sau nu</w:t>
      </w:r>
      <w:r>
        <w:t xml:space="preserve">; Nebucadneţar</w:t>
      </w:r>
      <w:r>
        <w:t xml:space="preserve">, Belşaţar, ca exemple de regi babilonieni care</w:t>
      </w:r>
      <w:r>
        <w:t xml:space="preserve"> primesc şi ei, sau li se refuză, respectiv, puterea din partea zeului suprem</w:t>
      </w:r>
      <w:r>
        <w:t xml:space="preserve"> etc.). </w:t>
      </w:r>
      <w:r/>
    </w:p>
    <w:p>
      <w:pPr>
        <w:pStyle w:val="2227"/>
        <w:pBdr/>
        <w:spacing/>
        <w:ind/>
        <w:rPr/>
      </w:pPr>
      <w:r>
        <w:t xml:space="preserve">În al doilea rând, </w:t>
      </w:r>
      <w:r>
        <w:rPr>
          <w:b/>
        </w:rPr>
        <w:t xml:space="preserve">d</w:t>
      </w:r>
      <w:r>
        <w:rPr>
          <w:b/>
        </w:rPr>
        <w:t xml:space="preserve">octrina puterii</w:t>
      </w:r>
      <w:r>
        <w:t xml:space="preserve"> </w:t>
      </w:r>
      <w:r>
        <w:t xml:space="preserve">derivă din poziţia</w:t>
      </w:r>
      <w:r>
        <w:t xml:space="preserve"> </w:t>
      </w:r>
      <w:r>
        <w:t xml:space="preserve">deţinătorilor puterii ca păstrători ai revelaţiei, de păzitori ai Legii. </w:t>
      </w:r>
      <w:r>
        <w:t xml:space="preserve">Regii sau preoţii, în consonanţă sau în competiţie, </w:t>
      </w:r>
      <w:r>
        <w:t xml:space="preserve">sunt educaţi spre </w:t>
      </w:r>
      <w:r>
        <w:t xml:space="preserve">a deveni lideri</w:t>
      </w:r>
      <w:r>
        <w:t xml:space="preserve"> care meditează la Legea Domnului, </w:t>
      </w:r>
      <w:r>
        <w:t xml:space="preserve">care o promovează în popor,</w:t>
      </w:r>
      <w:r>
        <w:t xml:space="preserve"> şi </w:t>
      </w:r>
      <w:r>
        <w:t xml:space="preserve">care </w:t>
      </w:r>
      <w:r>
        <w:t xml:space="preserve">împart dreptatea</w:t>
      </w:r>
      <w:r>
        <w:t xml:space="preserve"> (cf. David, Solomon, Iosia etc.)</w:t>
      </w:r>
      <w:r>
        <w:t xml:space="preserve">. </w:t>
      </w:r>
      <w:r>
        <w:t xml:space="preserve">Astfel, </w:t>
      </w:r>
      <w:r>
        <w:t xml:space="preserve">Biblia conţine </w:t>
      </w:r>
      <w:r>
        <w:t xml:space="preserve">manuale de educaţie politică</w:t>
      </w:r>
      <w:r>
        <w:t xml:space="preserve"> şi teologică</w:t>
      </w:r>
      <w:r>
        <w:t xml:space="preserve"> pentru preoţi şi regi, sau profeţi, şi pentru popor în general</w:t>
      </w:r>
      <w:r>
        <w:t xml:space="preserve">: Pentateuhul, 1-2 </w:t>
      </w:r>
      <w:r>
        <w:t xml:space="preserve">Cronici, </w:t>
      </w:r>
      <w:r>
        <w:t xml:space="preserve">1-2 Î</w:t>
      </w:r>
      <w:r>
        <w:t xml:space="preserve">mpăraţi,</w:t>
      </w:r>
      <w:r>
        <w:t xml:space="preserve"> şi în mod deosebit, p</w:t>
      </w:r>
      <w:r>
        <w:t xml:space="preserve">entru regi</w:t>
      </w:r>
      <w:r>
        <w:t xml:space="preserve">,</w:t>
      </w:r>
      <w:r>
        <w:t xml:space="preserve"> Eclesiastul</w:t>
      </w:r>
      <w:r>
        <w:t xml:space="preserve">, Psalmii</w:t>
      </w:r>
      <w:r>
        <w:t xml:space="preserve">,</w:t>
      </w:r>
      <w:r>
        <w:t xml:space="preserve"> </w:t>
      </w:r>
      <w:r>
        <w:t xml:space="preserve">şi cartea Proverbelor</w:t>
      </w:r>
      <w:r>
        <w:t xml:space="preserve">, cărţile Neemia, Ezra, Daniel</w:t>
      </w:r>
      <w:r>
        <w:t xml:space="preserve">.</w:t>
      </w:r>
      <w:r>
        <w:t xml:space="preserve"> </w:t>
      </w:r>
      <w:r/>
    </w:p>
    <w:p>
      <w:pPr>
        <w:pStyle w:val="2227"/>
        <w:pBdr/>
        <w:spacing/>
        <w:ind/>
        <w:rPr/>
      </w:pPr>
      <w:r>
        <w:rPr>
          <w:b/>
        </w:rPr>
        <w:t xml:space="preserve">Metodele de e</w:t>
      </w:r>
      <w:r>
        <w:rPr>
          <w:b/>
        </w:rPr>
        <w:t xml:space="preserve">xpansiune</w:t>
      </w:r>
      <w:r>
        <w:rPr>
          <w:b/>
        </w:rPr>
        <w:t xml:space="preserve"> </w:t>
      </w:r>
      <w:r>
        <w:rPr>
          <w:b/>
        </w:rPr>
        <w:t xml:space="preserve">a puterii</w:t>
      </w:r>
      <w:r>
        <w:t xml:space="preserve"> </w:t>
      </w:r>
      <w:r>
        <w:t xml:space="preserve">includ </w:t>
      </w:r>
      <w:r>
        <w:t xml:space="preserve">politica militară şi religioasă</w:t>
      </w:r>
      <w:r>
        <w:t xml:space="preserve">,</w:t>
      </w:r>
      <w:r>
        <w:t xml:space="preserve"> filosofia istoriei din trecut până în viitorul îndepărtat, precum şi apelul la intervenţia divină</w:t>
      </w:r>
      <w:r>
        <w:t xml:space="preserve"> (cf. 2 Împ. </w:t>
      </w:r>
      <w:r>
        <w:t xml:space="preserve">18:19</w:t>
      </w:r>
      <w:r>
        <w:t xml:space="preserve">-37, </w:t>
      </w:r>
      <w:r>
        <w:t xml:space="preserve">în special v. 22, cuvântarea generalului asirian</w:t>
      </w:r>
      <w:r>
        <w:t xml:space="preserve"> Rabşache</w:t>
      </w:r>
      <w:r>
        <w:t xml:space="preserve"> la atacul </w:t>
      </w:r>
      <w:r>
        <w:t xml:space="preserve">Ierusalimului</w:t>
      </w:r>
      <w:r>
        <w:t xml:space="preserve">; </w:t>
      </w:r>
      <w:r>
        <w:t xml:space="preserve">cf. şi textul paralel din Isaia 36:1-20,</w:t>
      </w:r>
      <w:r>
        <w:t xml:space="preserve"> </w:t>
      </w:r>
      <w:r>
        <w:t xml:space="preserve">cu precădere v. </w:t>
      </w:r>
      <w:r>
        <w:t xml:space="preserve">7 şi 10</w:t>
      </w:r>
      <w:r>
        <w:t xml:space="preserve">; aici generalul sirian afirmă</w:t>
      </w:r>
      <w:r>
        <w:t xml:space="preserve"> în auzul poporului</w:t>
      </w:r>
      <w:r>
        <w:t xml:space="preserve">: „</w:t>
      </w:r>
      <w:r>
        <w:rPr>
          <w:lang w:eastAsia="en-US" w:bidi="he-IL"/>
        </w:rPr>
        <w:t xml:space="preserve">Domnul mi-a zis: </w:t>
      </w:r>
      <w:r>
        <w:rPr>
          <w:lang w:eastAsia="en-US" w:bidi="he-IL"/>
        </w:rPr>
        <w:t xml:space="preserve">Suie-te împotriva ţării acesteia, şi nimiceşte-o!”</w:t>
      </w:r>
      <w:r>
        <w:rPr>
          <w:lang w:eastAsia="en-US" w:bidi="he-IL"/>
        </w:rPr>
        <w:t xml:space="preserve">; iar mai devreme</w:t>
      </w:r>
      <w:r>
        <w:rPr>
          <w:lang w:eastAsia="en-US" w:bidi="he-IL"/>
        </w:rPr>
        <w:t xml:space="preserve">, tot el </w:t>
      </w:r>
      <w:r>
        <w:rPr>
          <w:lang w:eastAsia="en-US" w:bidi="he-IL"/>
        </w:rPr>
        <w:t xml:space="preserve">interpretase tendenţios politica de reformă religioasă a lui Ezechia, invocând </w:t>
      </w:r>
      <w:r>
        <w:rPr>
          <w:lang w:eastAsia="en-US" w:bidi="he-IL"/>
        </w:rPr>
        <w:t xml:space="preserve">faptul că Dumnezeu i-a</w:t>
      </w:r>
      <w:r>
        <w:rPr>
          <w:lang w:eastAsia="en-US" w:bidi="he-IL"/>
        </w:rPr>
        <w:t xml:space="preserve">r</w:t>
      </w:r>
      <w:r>
        <w:rPr>
          <w:lang w:eastAsia="en-US" w:bidi="he-IL"/>
        </w:rPr>
        <w:t xml:space="preserve"> </w:t>
      </w:r>
      <w:r>
        <w:rPr>
          <w:lang w:eastAsia="en-US" w:bidi="he-IL"/>
        </w:rPr>
        <w:t xml:space="preserve">fi </w:t>
      </w:r>
      <w:r>
        <w:rPr>
          <w:lang w:eastAsia="en-US" w:bidi="he-IL"/>
        </w:rPr>
        <w:t xml:space="preserve">părăsit pe evrei </w:t>
      </w:r>
      <w:r>
        <w:rPr>
          <w:lang w:eastAsia="en-US" w:bidi="he-IL"/>
        </w:rPr>
        <w:t xml:space="preserve">tocmai </w:t>
      </w:r>
      <w:r>
        <w:rPr>
          <w:lang w:eastAsia="en-US" w:bidi="he-IL"/>
        </w:rPr>
        <w:t xml:space="preserve">pentru că</w:t>
      </w:r>
      <w:r>
        <w:rPr>
          <w:lang w:eastAsia="en-US" w:bidi="he-IL"/>
        </w:rPr>
        <w:t xml:space="preserve"> </w:t>
      </w:r>
      <w:r>
        <w:rPr>
          <w:lang w:eastAsia="en-US" w:bidi="he-IL"/>
        </w:rPr>
        <w:t xml:space="preserve">Ezechia renunţase la altarele </w:t>
      </w:r>
      <w:r>
        <w:rPr>
          <w:lang w:eastAsia="en-US" w:bidi="he-IL"/>
        </w:rPr>
        <w:t xml:space="preserve">şi jertfele </w:t>
      </w:r>
      <w:r>
        <w:rPr>
          <w:lang w:eastAsia="en-US" w:bidi="he-IL"/>
        </w:rPr>
        <w:t xml:space="preserve">de pe dealuri – care, de altfel, erau </w:t>
      </w:r>
      <w:r>
        <w:rPr>
          <w:lang w:eastAsia="en-US" w:bidi="he-IL"/>
        </w:rPr>
        <w:t xml:space="preserve">nişte </w:t>
      </w:r>
      <w:r>
        <w:rPr>
          <w:lang w:eastAsia="en-US" w:bidi="he-IL"/>
        </w:rPr>
        <w:t xml:space="preserve">altare păgâne</w:t>
      </w:r>
      <w:r>
        <w:t xml:space="preserve">).</w:t>
      </w:r>
      <w:r>
        <w:t xml:space="preserve"> </w:t>
      </w:r>
      <w:r/>
    </w:p>
    <w:p>
      <w:pPr>
        <w:pStyle w:val="2227"/>
        <w:pBdr/>
        <w:spacing/>
        <w:ind/>
        <w:rPr/>
      </w:pPr>
      <w:r>
        <w:t xml:space="preserve">În mod particular, </w:t>
      </w:r>
      <w:r>
        <w:t xml:space="preserve">Israel</w:t>
      </w:r>
      <w:r>
        <w:t xml:space="preserve"> nu are mandat imperial</w:t>
      </w:r>
      <w:r>
        <w:t xml:space="preserve"> din partea divinităţii</w:t>
      </w:r>
      <w:r>
        <w:t xml:space="preserve">. </w:t>
      </w:r>
      <w:r>
        <w:t xml:space="preserve">El îşi păzeşte ţara, în cadrul legământului</w:t>
      </w:r>
      <w:r>
        <w:t xml:space="preserve">, şi îl aşteaptă pe Mesia</w:t>
      </w:r>
      <w:r>
        <w:t xml:space="preserve">, care e adevărat, va trebui să fie nu doar Mesi</w:t>
      </w:r>
      <w:r>
        <w:t xml:space="preserve">a </w:t>
      </w:r>
      <w:r>
        <w:t xml:space="preserve">al lui Israel, ci al întregii</w:t>
      </w:r>
      <w:r>
        <w:t xml:space="preserve"> omeniri (cum apare din viziunile</w:t>
      </w:r>
      <w:r>
        <w:t xml:space="preserve"> uni</w:t>
      </w:r>
      <w:r>
        <w:t xml:space="preserve">versaliste</w:t>
      </w:r>
      <w:r>
        <w:t xml:space="preserve"> a</w:t>
      </w:r>
      <w:r>
        <w:t xml:space="preserve">le</w:t>
      </w:r>
      <w:r>
        <w:t xml:space="preserve"> lui Isaia, Ieremia, Ezechia)</w:t>
      </w:r>
      <w:r>
        <w:t xml:space="preserve">. În paradigmele </w:t>
      </w:r>
      <w:r>
        <w:t xml:space="preserve">politice </w:t>
      </w:r>
      <w:r>
        <w:t xml:space="preserve">evreieşti Ierusalimul devi</w:t>
      </w:r>
      <w:r>
        <w:t xml:space="preserve">ne centru de închinare mondială</w:t>
      </w:r>
      <w:r>
        <w:t xml:space="preserve">, în mod metaforic sau nu</w:t>
      </w:r>
      <w:r>
        <w:t xml:space="preserve"> </w:t>
      </w:r>
      <w:r>
        <w:t xml:space="preserve">– </w:t>
      </w:r>
      <w:r>
        <w:t xml:space="preserve">dar nu </w:t>
      </w:r>
      <w:r>
        <w:t xml:space="preserve">neapărat </w:t>
      </w:r>
      <w:r>
        <w:t xml:space="preserve">un </w:t>
      </w:r>
      <w:r>
        <w:t xml:space="preserve">centru de administrare a unui imperiu</w:t>
      </w:r>
      <w:r>
        <w:t xml:space="preserve"> mondial</w:t>
      </w:r>
      <w:r>
        <w:t xml:space="preserve">.</w:t>
      </w:r>
      <w:r>
        <w:t xml:space="preserve"> Cu toate acestea, viziunea nou-testamentară a Apocalipsei ne arată că, în final, există o singură capital mondială, Ierusalimul ceresc, „cortul” unde Dumnezeu va locui împreună cu omenirea răscumpărată.</w:t>
      </w:r>
      <w:r/>
    </w:p>
    <w:p>
      <w:pPr>
        <w:pStyle w:val="2227"/>
        <w:pBdr/>
        <w:spacing/>
        <w:ind/>
        <w:rPr/>
      </w:pPr>
      <w:r>
        <w:rPr>
          <w:b/>
        </w:rPr>
        <w:t xml:space="preserve">Reprezentarea puterii</w:t>
      </w:r>
      <w:r>
        <w:t xml:space="preserve"> </w:t>
      </w:r>
      <w:r>
        <w:t xml:space="preserve">este</w:t>
      </w:r>
      <w:r>
        <w:t xml:space="preserve">, aşa cum s-a mai spus,</w:t>
      </w:r>
      <w:r>
        <w:t xml:space="preserve"> un drept delegat</w:t>
      </w:r>
      <w:r>
        <w:t xml:space="preserve"> şi </w:t>
      </w:r>
      <w:r>
        <w:t xml:space="preserve">separat (divizat; în sens politic</w:t>
      </w:r>
      <w:r>
        <w:t xml:space="preserve">)</w:t>
      </w:r>
      <w:r>
        <w:t xml:space="preserve">; către </w:t>
      </w:r>
      <w:r>
        <w:t xml:space="preserve">preoţii leviţi </w:t>
      </w:r>
      <w:r>
        <w:t xml:space="preserve">– autoritatea reprezentării în închinare</w:t>
      </w:r>
      <w:r>
        <w:t xml:space="preserve">, </w:t>
      </w:r>
      <w:r>
        <w:t xml:space="preserve">către </w:t>
      </w:r>
      <w:r>
        <w:t xml:space="preserve">regi </w:t>
      </w:r>
      <w:r>
        <w:t xml:space="preserve">– autoritatea politică şi administrativă; către profeţi – autoritatea revelaţiei şi a proclamării, a mustrării şi a opoziţiei (dar instituţia profeţilor ajunge aservită puterii, </w:t>
      </w:r>
      <w:r>
        <w:t xml:space="preserve">mai ales în Israelul de nord, în Samaria, </w:t>
      </w:r>
      <w:r>
        <w:t xml:space="preserve">servind ca oracol pentru justificarea politicilor regale</w:t>
      </w:r>
      <w:r>
        <w:t xml:space="preserve">)</w:t>
      </w:r>
      <w:r>
        <w:t xml:space="preserve">.</w:t>
      </w:r>
      <w:r>
        <w:t xml:space="preserve"> Între simbolurile care ajung să reprezinte puterea se pot enumera toiagul, </w:t>
      </w:r>
      <w:r>
        <w:t xml:space="preserve">coroana, </w:t>
      </w:r>
      <w:r>
        <w:t xml:space="preserve">tronul, cortul închinării (iar mai târziu templul), </w:t>
      </w:r>
      <w:r>
        <w:t xml:space="preserve">mitra, drumul nivelat </w:t>
      </w:r>
      <w:r>
        <w:t xml:space="preserve">prin pustie în aşteptarea Domnului </w:t>
      </w:r>
      <w:r>
        <w:t xml:space="preserve">(prin ridicarea văilor şi coborârea munţilor), </w:t>
      </w:r>
      <w:r>
        <w:t xml:space="preserve">leul lui Iuda, </w:t>
      </w:r>
      <w:r>
        <w:t xml:space="preserve">viţa sau smochinul lui Israel, </w:t>
      </w:r>
      <w:r>
        <w:t xml:space="preserve">ramura sau vlăstarul lui Isai, fiul lui David</w:t>
      </w:r>
      <w:r>
        <w:t xml:space="preserve">, steaua lui David</w:t>
      </w:r>
      <w:r>
        <w:t xml:space="preserve"> etc.</w:t>
      </w:r>
      <w:r>
        <w:t xml:space="preserve"> Simbolistica puterii este foarte importantă, </w:t>
      </w:r>
      <w:r>
        <w:t xml:space="preserve">deoarece ea comunică în mod condensat forţa puterii şi intenţiile ei.</w:t>
      </w:r>
      <w:r/>
    </w:p>
    <w:p>
      <w:pPr>
        <w:pStyle w:val="2227"/>
        <w:pBdr/>
        <w:spacing/>
        <w:ind/>
        <w:rPr/>
      </w:pPr>
      <w:r/>
      <w:r/>
    </w:p>
    <w:p>
      <w:pPr>
        <w:pStyle w:val="2227"/>
        <w:pBdr/>
        <w:spacing/>
        <w:ind/>
        <w:rPr/>
      </w:pPr>
      <w:r>
        <w:br w:type="page" w:clear="all"/>
      </w:r>
      <w:r/>
    </w:p>
    <w:p>
      <w:pPr>
        <w:pStyle w:val="2229"/>
        <w:pBdr/>
        <w:spacing/>
        <w:ind w:firstLine="0"/>
        <w:rPr/>
      </w:pPr>
      <w:r/>
      <w:bookmarkStart w:id="15" w:name="_Toc252991840"/>
      <w:r>
        <w:t xml:space="preserve">C</w:t>
      </w:r>
      <w:r>
        <w:t xml:space="preserve">apitol</w:t>
      </w:r>
      <w:r>
        <w:t xml:space="preserve">ul</w:t>
      </w:r>
      <w:r>
        <w:t xml:space="preserve"> 3. Mesia şi </w:t>
      </w:r>
      <w:r>
        <w:t xml:space="preserve">modelele mesianice</w:t>
      </w:r>
      <w:bookmarkEnd w:id="15"/>
      <w:r>
        <w:t xml:space="preserve"> </w:t>
      </w:r>
      <w:r/>
    </w:p>
    <w:p>
      <w:pPr>
        <w:pStyle w:val="2227"/>
        <w:pBdr/>
        <w:spacing/>
        <w:ind w:firstLine="0"/>
        <w:rPr/>
      </w:pPr>
      <w:r>
        <w:t xml:space="preserve">Ideea unui conducător uman aprobat şi confirmat de divinitate, </w:t>
      </w:r>
      <w:r>
        <w:t xml:space="preserve">a unui Mesia (Unsul) </w:t>
      </w:r>
      <w:r>
        <w:t xml:space="preserve">care are rol esenţial în restaurarea </w:t>
      </w:r>
      <w:r>
        <w:t xml:space="preserve">destinului </w:t>
      </w:r>
      <w:r>
        <w:t xml:space="preserve">omenirii </w:t>
      </w:r>
      <w:r>
        <w:t xml:space="preserve">şi a relaţiei acesteia cu </w:t>
      </w:r>
      <w:r>
        <w:t xml:space="preserve">divinitatea</w:t>
      </w:r>
      <w:r>
        <w:t xml:space="preserve">, deopotrivă cu înfrângerea definitivă a influenţei răului în lume,</w:t>
      </w:r>
      <w:r>
        <w:t xml:space="preserve"> </w:t>
      </w:r>
      <w:r>
        <w:t xml:space="preserve">este o idee centrală</w:t>
      </w:r>
      <w:r>
        <w:t xml:space="preserve"> a teologiei biblice.</w:t>
      </w:r>
      <w:r>
        <w:t xml:space="preserve"> </w:t>
      </w:r>
      <w:r>
        <w:t xml:space="preserve">De l</w:t>
      </w:r>
      <w:r>
        <w:t xml:space="preserve">a Vechiul Testament la Noul Testament, ideea mesianică a dobândit noi conotaţii şi şi-a dezvoltat semnificaţia, aşa încât se poate vorbi despre o concepţie nou testamentară specifică. Conotaţiile politice ale acestui ideal religios sunt extrem de evidente.</w:t>
      </w:r>
      <w:r/>
    </w:p>
    <w:p>
      <w:pPr>
        <w:pStyle w:val="2227"/>
        <w:pBdr/>
        <w:spacing/>
        <w:ind w:firstLine="0"/>
        <w:rPr/>
      </w:pPr>
      <w:r/>
      <w:r/>
    </w:p>
    <w:p>
      <w:pPr>
        <w:pStyle w:val="2230"/>
        <w:pBdr/>
        <w:spacing/>
        <w:ind/>
        <w:rPr>
          <w:lang w:val="ro-RO"/>
        </w:rPr>
      </w:pPr>
      <w:r/>
      <w:bookmarkStart w:id="16" w:name="_Toc252991841"/>
      <w:r>
        <w:rPr>
          <w:lang w:val="ro-RO"/>
        </w:rPr>
        <w:t xml:space="preserve">3.1 Profeţii mesianice ale Vechiului Testament</w:t>
      </w:r>
      <w:bookmarkEnd w:id="16"/>
      <w:r>
        <w:rPr>
          <w:lang w:val="ro-RO"/>
        </w:rPr>
      </w:r>
      <w:r>
        <w:rPr>
          <w:lang w:val="ro-RO"/>
        </w:rPr>
      </w:r>
    </w:p>
    <w:p>
      <w:pPr>
        <w:pStyle w:val="2247"/>
        <w:pBdr/>
        <w:spacing/>
        <w:ind/>
        <w:rPr/>
      </w:pPr>
      <w:r/>
      <w:r/>
    </w:p>
    <w:p>
      <w:pPr>
        <w:pStyle w:val="2227"/>
        <w:pBdr/>
        <w:spacing/>
        <w:ind w:firstLine="0"/>
        <w:rPr/>
      </w:pPr>
      <w:r>
        <w:t xml:space="preserve">Profeţiile mesianice încep din Geneza </w:t>
      </w:r>
      <w:r>
        <w:t xml:space="preserve">(promisiunea făcută lui Adam, Gen. 3.15; lui Avraam, </w:t>
      </w:r>
      <w:r>
        <w:t xml:space="preserve">Gen. 22.18; în aceste texte substantivul „sămânţa”, la singular, are şi conotaţii mesianice) </w:t>
      </w:r>
      <w:r>
        <w:t xml:space="preserve">şi merg</w:t>
      </w:r>
      <w:r>
        <w:t xml:space="preserve"> până </w:t>
      </w:r>
      <w:r>
        <w:t xml:space="preserve">la cărţile profetice</w:t>
      </w:r>
      <w:r>
        <w:t xml:space="preserve"> de la sfârşitul canonului Vechiului Testament</w:t>
      </w:r>
      <w:r>
        <w:t xml:space="preserve">.</w:t>
      </w:r>
      <w:r>
        <w:rPr>
          <w:rStyle w:val="2248"/>
        </w:rPr>
        <w:footnoteReference w:id="47"/>
      </w:r>
      <w:r>
        <w:t xml:space="preserve"> </w:t>
      </w:r>
      <w:r>
        <w:t xml:space="preserve">Aici se includ atât pe</w:t>
      </w:r>
      <w:r>
        <w:t xml:space="preserve">rspective universaliste </w:t>
      </w:r>
      <w:r>
        <w:t xml:space="preserve">despre mesia</w:t>
      </w:r>
      <w:r>
        <w:t xml:space="preserve">,</w:t>
      </w:r>
      <w:r>
        <w:t xml:space="preserve"> </w:t>
      </w:r>
      <w:r>
        <w:t xml:space="preserve">cât </w:t>
      </w:r>
      <w:r>
        <w:t xml:space="preserve">şi perspective naţionale (</w:t>
      </w:r>
      <w:r>
        <w:t xml:space="preserve">de fapt, în Noul Testament se pare că p</w:t>
      </w:r>
      <w:r>
        <w:t xml:space="preserve">aradigma mesianică </w:t>
      </w:r>
      <w:r>
        <w:t xml:space="preserve">ajunsese să fie limitată </w:t>
      </w:r>
      <w:r>
        <w:t xml:space="preserve">drastic </w:t>
      </w:r>
      <w:r>
        <w:t xml:space="preserve">la</w:t>
      </w:r>
      <w:r>
        <w:t xml:space="preserve"> o pers</w:t>
      </w:r>
      <w:r>
        <w:t xml:space="preserve">pectivă naţionalistă evreiască, </w:t>
      </w:r>
      <w:r>
        <w:t xml:space="preserve">reducţionistă, </w:t>
      </w:r>
      <w:r>
        <w:t xml:space="preserve">iar paradigma lui Isus </w:t>
      </w:r>
      <w:r>
        <w:t xml:space="preserve">se contrapune acestei înţelegeri a timpului său).</w:t>
      </w:r>
      <w:r/>
    </w:p>
    <w:p>
      <w:pPr>
        <w:pStyle w:val="2227"/>
        <w:pBdr/>
        <w:spacing/>
        <w:ind/>
        <w:rPr/>
      </w:pPr>
      <w:r>
        <w:t xml:space="preserve">Câteva din modelele mesianice cele mai cunoscute ale Vechiului Testament includ personaje ca</w:t>
      </w:r>
      <w:r>
        <w:t xml:space="preserve"> Adam</w:t>
      </w:r>
      <w:r>
        <w:t xml:space="preserve"> însuşi (reprezentativitatea sa este de tip mesianic: Mesia trebuie să fie la fel de influent pentru întreaga omenire pe cât a fost şi Adam); </w:t>
      </w:r>
      <w:r>
        <w:t xml:space="preserve">Enoch</w:t>
      </w:r>
      <w:r>
        <w:t xml:space="preserve"> (ca răsplată pentru viaţa lui dreaptă Dumnezeu îl scuteşte de moarte şi îl ridică la ceruri); </w:t>
      </w:r>
      <w:r>
        <w:t xml:space="preserve">Metusala</w:t>
      </w:r>
      <w:r>
        <w:t xml:space="preserve">h</w:t>
      </w:r>
      <w:r>
        <w:t xml:space="preserve"> (</w:t>
      </w:r>
      <w:r>
        <w:t xml:space="preserve">„omul suliţei”; sau „când moare, va veni”; om cu nume simbolic care anunţa venirea potopului, dar şi perioada de graţie dinaintea acestuia; Metusala</w:t>
      </w:r>
      <w:r>
        <w:t xml:space="preserve">h</w:t>
      </w:r>
      <w:r>
        <w:t xml:space="preserve"> a trăit 969 de ani);</w:t>
      </w:r>
      <w:r>
        <w:t xml:space="preserve"> </w:t>
      </w:r>
      <w:r>
        <w:t xml:space="preserve">Noe</w:t>
      </w:r>
      <w:r>
        <w:t xml:space="preserve"> (</w:t>
      </w:r>
      <w:r>
        <w:t xml:space="preserve">Noe, sau Noah, </w:t>
      </w:r>
      <w:r>
        <w:t xml:space="preserve">nepot al lui Metusala</w:t>
      </w:r>
      <w:r>
        <w:t xml:space="preserve">h</w:t>
      </w:r>
      <w:r>
        <w:t xml:space="preserve">; numele său înseamnă „paşnic”, „mângâiere”, sau „călător”; el </w:t>
      </w:r>
      <w:r>
        <w:t xml:space="preserve">a ajuns</w:t>
      </w:r>
      <w:r>
        <w:t xml:space="preserve"> </w:t>
      </w:r>
      <w:r>
        <w:t xml:space="preserve">un simbol al potopului</w:t>
      </w:r>
      <w:r>
        <w:t xml:space="preserve">, </w:t>
      </w:r>
      <w:r>
        <w:t xml:space="preserve">mai ales al izbăvirii din potop, al supravieţuirii</w:t>
      </w:r>
      <w:r>
        <w:t xml:space="preserve">);</w:t>
      </w:r>
      <w:r>
        <w:t xml:space="preserve"> Moise</w:t>
      </w:r>
      <w:r>
        <w:t xml:space="preserve"> (şi Iosua, simbolul conducătorilor care eliberează poporul din robie şi îl conduc în ţara promisă); David (conducătorul care are ma</w:t>
      </w:r>
      <w:r>
        <w:t xml:space="preserve">re dedicare faţă de ascultrea dreptăţii şi sfinţeniei lui Dumnezeu; de fapt, Mesia chiar va ajunge să fie numit „fiul lui David”, adică „regele ca David, din neamul lui David”; el este, paradigma prin excelenţă a regalităţii biruitoare); Solomon (fiul lui </w:t>
      </w:r>
      <w:r>
        <w:t xml:space="preserve">David</w:t>
      </w:r>
      <w:r>
        <w:t xml:space="preserve">, modelul monarhului înţelept, ocrotit de Dumnezeu), </w:t>
      </w:r>
      <w:r>
        <w:t xml:space="preserve">Mel</w:t>
      </w:r>
      <w:r>
        <w:t xml:space="preserve">c</w:t>
      </w:r>
      <w:r>
        <w:t xml:space="preserve">hisedec (o persoană enigmatică, al cărui nume înseamnă „regele dreptăţii”, care îl întâmpină pe Avraam, şi căruia Avraam i se închină, plântindu-i dări; este amintit în Noul Testament în Epistola către evrei şi este considerat o prefigurare a lui Isus), </w:t>
      </w:r>
      <w:r>
        <w:t xml:space="preserve">etc.</w:t>
      </w:r>
      <w:r>
        <w:t xml:space="preserve"> L</w:t>
      </w:r>
      <w:r>
        <w:t xml:space="preserve">ista </w:t>
      </w:r>
      <w:r>
        <w:t xml:space="preserve">de personalităţi cu potenţial mesianic </w:t>
      </w:r>
      <w:r>
        <w:t xml:space="preserve">din VT </w:t>
      </w:r>
      <w:r>
        <w:t xml:space="preserve">continuă </w:t>
      </w:r>
      <w:r>
        <w:t xml:space="preserve">apreciabil, de la fiii lui Iacov, prin perioada judecătorilor şi cea a regalităţii </w:t>
      </w:r>
      <w:r>
        <w:t xml:space="preserve">şi, prin fiecare personaj, se conturează </w:t>
      </w:r>
      <w:r>
        <w:t xml:space="preserve">tot </w:t>
      </w:r>
      <w:r>
        <w:t xml:space="preserve">mai bine suma aşt</w:t>
      </w:r>
      <w:r>
        <w:t xml:space="preserve">eptărilor mesianice evreieşti</w:t>
      </w:r>
      <w:r>
        <w:t xml:space="preserve">. </w:t>
      </w:r>
      <w:r>
        <w:t xml:space="preserve">Printre </w:t>
      </w:r>
      <w:r>
        <w:t xml:space="preserve">personajele cu vocaţie mesianică, cu rol important în restaurarea poporului Israel, apare însă şi o figură aparte, cea a regelui persan Cirus </w:t>
      </w:r>
      <w:r>
        <w:t xml:space="preserve">II </w:t>
      </w:r>
      <w:r>
        <w:t xml:space="preserve">(Isaia 45; </w:t>
      </w:r>
      <w:r>
        <w:t xml:space="preserve">559 îH -529 îH),</w:t>
      </w:r>
      <w:r>
        <w:t xml:space="preserve"> ceea ce adaugă ceva în plus la portretul robot al lui Mesia, ceva ce nu poate fi întâlnit în istoria propriu-zisă a lui Israel: dimensiunea imperială, conducerea mesianică exercitată la nivelul lui Israel, dar şi la nivelul neamurilor păgâne.</w:t>
      </w:r>
      <w:r/>
    </w:p>
    <w:p>
      <w:pPr>
        <w:pStyle w:val="2227"/>
        <w:pBdr/>
        <w:spacing/>
        <w:ind/>
        <w:rPr/>
      </w:pPr>
      <w:r>
        <w:t xml:space="preserve">Acestei gale</w:t>
      </w:r>
      <w:r>
        <w:t xml:space="preserve">rii a</w:t>
      </w:r>
      <w:r>
        <w:t xml:space="preserve"> personajelor mesianice i se asociază </w:t>
      </w:r>
      <w:r>
        <w:t xml:space="preserve">seria simbolurilor mesianice consacrate. Astfel, </w:t>
      </w:r>
      <w:r>
        <w:t xml:space="preserve">persoana şi opera lui </w:t>
      </w:r>
      <w:r>
        <w:t xml:space="preserve">Mesia </w:t>
      </w:r>
      <w:r>
        <w:t xml:space="preserve">sunt simbolizate prin imaginile</w:t>
      </w:r>
      <w:r>
        <w:t xml:space="preserve"> </w:t>
      </w:r>
      <w:r>
        <w:t xml:space="preserve">„</w:t>
      </w:r>
      <w:r>
        <w:t xml:space="preserve">seminţei</w:t>
      </w:r>
      <w:r>
        <w:t xml:space="preserve">” singulare a femeii</w:t>
      </w:r>
      <w:r>
        <w:t xml:space="preserve">, prin </w:t>
      </w:r>
      <w:r>
        <w:t xml:space="preserve">imaginea</w:t>
      </w:r>
      <w:r>
        <w:t xml:space="preserve"> Leului din </w:t>
      </w:r>
      <w:r>
        <w:t xml:space="preserve">tribul lui </w:t>
      </w:r>
      <w:r>
        <w:t xml:space="preserve">Iuda, prin Steaua lui Israel (profeţia lui Balaam, asociată mai târziu cu regel</w:t>
      </w:r>
      <w:r>
        <w:t xml:space="preserve">e</w:t>
      </w:r>
      <w:r>
        <w:t xml:space="preserve"> David</w:t>
      </w:r>
      <w:r>
        <w:t xml:space="preserve"> şi</w:t>
      </w:r>
      <w:r>
        <w:t xml:space="preserve">,</w:t>
      </w:r>
      <w:r>
        <w:t xml:space="preserve"> apoi</w:t>
      </w:r>
      <w:r>
        <w:t xml:space="preserve">, în NT,</w:t>
      </w:r>
      <w:r>
        <w:t xml:space="preserve"> cu</w:t>
      </w:r>
      <w:r>
        <w:t xml:space="preserve"> steaua Betleemului, </w:t>
      </w:r>
      <w:r>
        <w:t xml:space="preserve">arătată la</w:t>
      </w:r>
      <w:r>
        <w:t xml:space="preserve"> naşterea lui Hristos)</w:t>
      </w:r>
      <w:r>
        <w:t xml:space="preserve">, cu toiagul regal din tribul lui Iuda, cu vlăstarul din rădăcina lui Isai (tatăl lui David), cu vlăstarul care iese dintr-un trunchi uscat sau dintr-un pământ uscat, cu viţa de vie care dă roadele aşteptate, etc.</w:t>
      </w:r>
      <w:r>
        <w:t xml:space="preserve"> </w:t>
      </w:r>
      <w:r/>
    </w:p>
    <w:p>
      <w:pPr>
        <w:pStyle w:val="2227"/>
        <w:pBdr/>
        <w:spacing/>
        <w:ind/>
        <w:rPr/>
      </w:pPr>
      <w:r>
        <w:t xml:space="preserve">În legătură cu aceste caracteristici şi simboluri se </w:t>
      </w:r>
      <w:r>
        <w:t xml:space="preserve">conturează în Vechiul Testament câteva tipologii mesianice majore. Printre ele,</w:t>
      </w:r>
      <w:r>
        <w:t xml:space="preserve"> pot fi amintite „profetul ca Moise”</w:t>
      </w:r>
      <w:r>
        <w:t xml:space="preserve"> (Moise însuşi anunţă venirea unui conducător asemenea lui), Regele (regele ca David</w:t>
      </w:r>
      <w:r>
        <w:t xml:space="preserve"> sau</w:t>
      </w:r>
      <w:r>
        <w:t xml:space="preserve"> regele davidic, sau</w:t>
      </w:r>
      <w:r>
        <w:t xml:space="preserve">, în termeni biblici</w:t>
      </w:r>
      <w:r>
        <w:t xml:space="preserve"> „fiul lui </w:t>
      </w:r>
      <w:r>
        <w:t xml:space="preserve">David”), Preotul (Aaron; Ţadoc</w:t>
      </w:r>
      <w:r>
        <w:t xml:space="preserve">); Robul Domnului </w:t>
      </w:r>
      <w:r>
        <w:t xml:space="preserve">– care ascultă de Yahveh şi este gata să sufere pentru popor, să fie ucis </w:t>
      </w:r>
      <w:r>
        <w:t xml:space="preserve">(cf. Isaia 42-53</w:t>
      </w:r>
      <w:r>
        <w:t xml:space="preserve">, Zaharia</w:t>
      </w:r>
      <w:r>
        <w:t xml:space="preserve">)</w:t>
      </w:r>
      <w:r>
        <w:rPr>
          <w:rStyle w:val="2248"/>
        </w:rPr>
        <w:footnoteReference w:id="48"/>
      </w:r>
      <w:r>
        <w:t xml:space="preserve">.</w:t>
      </w:r>
      <w:r/>
    </w:p>
    <w:p>
      <w:pPr>
        <w:pStyle w:val="2227"/>
        <w:pBdr/>
        <w:spacing/>
        <w:ind/>
        <w:rPr/>
      </w:pPr>
      <w:r>
        <w:t xml:space="preserve">În general, se pot remarca </w:t>
      </w:r>
      <w:r>
        <w:t xml:space="preserve">acum </w:t>
      </w:r>
      <w:r>
        <w:t xml:space="preserve">trăsăturile distincte ale portretului mesianic</w:t>
      </w:r>
      <w:r>
        <w:t xml:space="preserve"> din Vechiul Testament</w:t>
      </w:r>
      <w:r>
        <w:t xml:space="preserve">: un conducător al lui Israel; un conducător cu vocaţie universală; un conducător spiritual, dar şi politic; un conducător prin care se realizează o reprezentare pozitivă a omenirii înaintea divinităţii, </w:t>
      </w:r>
      <w:r>
        <w:t xml:space="preserve">un conducător </w:t>
      </w:r>
      <w:r>
        <w:t xml:space="preserve">care aduce restaurare şi reabilitare pentru oamenii săi. </w:t>
      </w:r>
      <w:r/>
    </w:p>
    <w:p>
      <w:pPr>
        <w:pStyle w:val="2227"/>
        <w:pBdr/>
        <w:spacing/>
        <w:ind/>
        <w:rPr/>
      </w:pPr>
      <w:r/>
      <w:r/>
    </w:p>
    <w:p>
      <w:pPr>
        <w:pStyle w:val="2230"/>
        <w:pBdr/>
        <w:spacing/>
        <w:ind/>
        <w:rPr>
          <w:lang w:val="ro-RO"/>
        </w:rPr>
      </w:pPr>
      <w:r/>
      <w:bookmarkStart w:id="17" w:name="_Toc252991842"/>
      <w:r>
        <w:rPr>
          <w:lang w:val="ro-RO"/>
        </w:rPr>
        <w:t xml:space="preserve">3.2 </w:t>
      </w:r>
      <w:r>
        <w:rPr>
          <w:lang w:val="ro-RO"/>
        </w:rPr>
        <w:t xml:space="preserve">Mesia </w:t>
      </w:r>
      <w:r>
        <w:rPr>
          <w:lang w:val="ro-RO"/>
        </w:rPr>
        <w:t xml:space="preserve">la</w:t>
      </w:r>
      <w:r>
        <w:rPr>
          <w:lang w:val="ro-RO"/>
        </w:rPr>
        <w:t xml:space="preserve"> Q</w:t>
      </w:r>
      <w:r>
        <w:rPr>
          <w:lang w:val="ro-RO"/>
        </w:rPr>
        <w:t xml:space="preserve">umran</w:t>
      </w:r>
      <w:r>
        <w:rPr>
          <w:lang w:val="ro-RO"/>
        </w:rPr>
        <w:t xml:space="preserve">,</w:t>
      </w:r>
      <w:r>
        <w:rPr>
          <w:lang w:val="ro-RO"/>
        </w:rPr>
        <w:t xml:space="preserve"> în </w:t>
      </w:r>
      <w:r>
        <w:rPr>
          <w:lang w:val="ro-RO"/>
        </w:rPr>
        <w:t xml:space="preserve">t</w:t>
      </w:r>
      <w:r>
        <w:rPr>
          <w:lang w:val="ro-RO"/>
        </w:rPr>
        <w:t xml:space="preserve">argumim şi în</w:t>
      </w:r>
      <w:r>
        <w:rPr>
          <w:lang w:val="ro-RO"/>
        </w:rPr>
        <w:t xml:space="preserve"> </w:t>
      </w:r>
      <w:r>
        <w:rPr>
          <w:lang w:val="ro-RO"/>
        </w:rPr>
        <w:t xml:space="preserve">p</w:t>
      </w:r>
      <w:r>
        <w:rPr>
          <w:lang w:val="ro-RO"/>
        </w:rPr>
        <w:t xml:space="preserve">seudepigrafe</w:t>
      </w:r>
      <w:bookmarkEnd w:id="17"/>
      <w:r>
        <w:rPr>
          <w:lang w:val="ro-RO"/>
        </w:rPr>
      </w:r>
      <w:r>
        <w:rPr>
          <w:lang w:val="ro-RO"/>
        </w:rPr>
      </w:r>
    </w:p>
    <w:p>
      <w:pPr>
        <w:pStyle w:val="2227"/>
        <w:pBdr/>
        <w:spacing/>
        <w:ind/>
        <w:rPr/>
      </w:pPr>
      <w:r/>
      <w:r/>
    </w:p>
    <w:p>
      <w:pPr>
        <w:pStyle w:val="2227"/>
        <w:pBdr/>
        <w:spacing/>
        <w:ind w:firstLine="0"/>
        <w:rPr/>
      </w:pPr>
      <w:r>
        <w:t xml:space="preserve">În p</w:t>
      </w:r>
      <w:r>
        <w:t xml:space="preserve">erioad</w:t>
      </w:r>
      <w:r>
        <w:t xml:space="preserve">a intertestamentară </w:t>
      </w:r>
      <w:r>
        <w:t xml:space="preserve">s-au</w:t>
      </w:r>
      <w:r>
        <w:t xml:space="preserve"> adăugat noi tipologii la galeria de paradigme mesianice </w:t>
      </w:r>
      <w:r>
        <w:t xml:space="preserve">a Vechiului Testament</w:t>
      </w:r>
      <w:r>
        <w:t xml:space="preserve">, prin dezvoltarea </w:t>
      </w:r>
      <w:r>
        <w:t xml:space="preserve">gândirii teologice </w:t>
      </w:r>
      <w:r>
        <w:t xml:space="preserve">de tip apocaliptic şi </w:t>
      </w:r>
      <w:r>
        <w:t xml:space="preserve">intermediar (s-a dezvoltat mult angelologia, teologia despre îngeri şi oameni cu chemare mesianică, înţeleşi ca o treaptă sau ca un pod, o legătură între </w:t>
      </w:r>
      <w:r>
        <w:t xml:space="preserve">Dumnezeu cel de neatins şi lumea oamenilor</w:t>
      </w:r>
      <w:r>
        <w:t xml:space="preserve">).</w:t>
      </w:r>
      <w:r>
        <w:t xml:space="preserve"> </w:t>
      </w:r>
      <w:r>
        <w:t xml:space="preserve">Literatura păstrată de comunitatea de la Qumran păstrează multe relatări în această privinţă, şi la fel fac şi traducerile comentate ale Vechiului Testament în aramaică, numite targumim; alături de ele, cu informaţii bogate </w:t>
      </w:r>
      <w:r>
        <w:t xml:space="preserve">9-14.</w:t>
      </w:r>
      <w:r>
        <w:t xml:space="preserve">în aceste domenii amintite mai sus, stau şi cărţile pseudepigrafe (scrise în ebraică, aramaică sau în limba greacă, aceste cărţi sunt puse, în mod fictiv, pe seama unor autori faimoşi, cum ar fi Enoh, Moise, Ezra, etc.).</w:t>
      </w:r>
      <w:r>
        <w:rPr>
          <w:rStyle w:val="2248"/>
        </w:rPr>
        <w:footnoteReference w:id="49"/>
      </w:r>
      <w:r/>
    </w:p>
    <w:p>
      <w:pPr>
        <w:pStyle w:val="2227"/>
        <w:pBdr/>
        <w:spacing/>
        <w:ind/>
        <w:rPr/>
      </w:pPr>
      <w:r>
        <w:t xml:space="preserve">Astfel, literatura de specialitate indică faptul că </w:t>
      </w:r>
      <w:r>
        <w:t xml:space="preserve">în anumite cercuri iudaice se concepea existenţa unui Mesia numit „</w:t>
      </w:r>
      <w:r>
        <w:t xml:space="preserve">fiul lui Iosif</w:t>
      </w:r>
      <w:r>
        <w:t xml:space="preserve">”</w:t>
      </w:r>
      <w:r>
        <w:rPr>
          <w:rStyle w:val="2248"/>
        </w:rPr>
        <w:footnoteReference w:id="50"/>
      </w:r>
      <w:r>
        <w:t xml:space="preserve">;</w:t>
      </w:r>
      <w:r>
        <w:t xml:space="preserve"> a unui Mesia al pământului şi al cerului (denumire care subliniază caracterul divin al lui Mesia, cf. Isaia 11.1-2, 9.6, documentul de la Qumran, 4Q521</w:t>
      </w:r>
      <w:r>
        <w:t xml:space="preserve">). Într-un mod mai puţin aşteptat venirea lui Mesia a început să fie concepută în această perioadă şi sub forma venirii unei echipe mesianice. Astfel, diversele s</w:t>
      </w:r>
      <w:r>
        <w:t xml:space="preserve">crieri ale epocii lasă să se înţeleagă ideea venirii a doi Mesia (unul regal – ca David, şi unul preoţesc – ca Ţadoc, după echipa de conducere David – Ţadoc; sau unul profetic – ca Moise, şi unul preoţesc – ca Aaron, după cei doi fraţi Moise şi Aaron; sau </w:t>
      </w:r>
      <w:r>
        <w:t xml:space="preserve">un </w:t>
      </w:r>
      <w:r>
        <w:t xml:space="preserve">Mesia regal </w:t>
      </w:r>
      <w:r>
        <w:t xml:space="preserve">al lui Israel şi un</w:t>
      </w:r>
      <w:r>
        <w:t xml:space="preserve"> Mesia regal </w:t>
      </w:r>
      <w:r>
        <w:t xml:space="preserve">al </w:t>
      </w:r>
      <w:r>
        <w:t xml:space="preserve">lui Iuda (câte un rege mesianic pentru ambele regate israelite, ca un semn de frăţie şi de egalitate teologică)</w:t>
      </w:r>
      <w:r>
        <w:t xml:space="preserve">; ori, într-un mod similar</w:t>
      </w:r>
      <w:r>
        <w:t xml:space="preserve">, de asemeni, </w:t>
      </w:r>
      <w:r>
        <w:t xml:space="preserve">un </w:t>
      </w:r>
      <w:r>
        <w:t xml:space="preserve">Mesia, fiul lui David, şi </w:t>
      </w:r>
      <w:r>
        <w:t xml:space="preserve">un M</w:t>
      </w:r>
      <w:r>
        <w:t xml:space="preserve">esia, fiul lui Efraim</w:t>
      </w:r>
      <w:r>
        <w:rPr>
          <w:rStyle w:val="2248"/>
        </w:rPr>
        <w:footnoteReference w:id="51"/>
      </w:r>
      <w:r>
        <w:t xml:space="preserve">. </w:t>
      </w:r>
      <w:r>
        <w:t xml:space="preserve">Începuse, în mod similar, să îşi facă loc </w:t>
      </w:r>
      <w:r>
        <w:t xml:space="preserve">chiar </w:t>
      </w:r>
      <w:r>
        <w:t xml:space="preserve">şi paradigma unei echipe de trei Mesia: un Mesia regal, unul preoţesc, şi unul profetic.</w:t>
      </w:r>
      <w:r/>
    </w:p>
    <w:p>
      <w:pPr>
        <w:pStyle w:val="2227"/>
        <w:pBdr/>
        <w:spacing/>
        <w:ind/>
        <w:rPr/>
      </w:pPr>
      <w:r>
        <w:t xml:space="preserve">Toată această discuţie demonstrează pe deoparte </w:t>
      </w:r>
      <w:r>
        <w:t xml:space="preserve">popularitatea</w:t>
      </w:r>
      <w:r>
        <w:t xml:space="preserve"> </w:t>
      </w:r>
      <w:r>
        <w:t xml:space="preserve">aşteptărilor</w:t>
      </w:r>
      <w:r>
        <w:t xml:space="preserve"> mesianice în perioada inter</w:t>
      </w:r>
      <w:r>
        <w:t xml:space="preserve">te</w:t>
      </w:r>
      <w:r>
        <w:t xml:space="preserve">stamentară. </w:t>
      </w:r>
      <w:r>
        <w:t xml:space="preserve">Pe de altă parte</w:t>
      </w:r>
      <w:r>
        <w:t xml:space="preserve">, se poate observa apariţia de raţionamente politice</w:t>
      </w:r>
      <w:r>
        <w:t xml:space="preserve">, alături</w:t>
      </w:r>
      <w:r>
        <w:t xml:space="preserve"> de cele tradiţionale, teologice, </w:t>
      </w:r>
      <w:r>
        <w:t xml:space="preserve">în gândirea modelului mesianic cel mai probabil, sau cel mai eficace. Adevărul este că Vechiul Testament vorbeşte totuşi de </w:t>
      </w:r>
      <w:r>
        <w:t xml:space="preserve">un fel de</w:t>
      </w:r>
      <w:r>
        <w:t xml:space="preserve"> echipă mesianică, </w:t>
      </w:r>
      <w:r>
        <w:t xml:space="preserve">dar nu în sensul a două sau trei persoane mesianice de greut</w:t>
      </w:r>
      <w:r>
        <w:t xml:space="preserve">ate egală, ci sub forma unui înainte-mergător (precursor, înaintaş) – „profetul Ilie” sau cineva care vine în stilul lui Ilie Tişbitul (expresia biblică este „în duhul lui Ilie”), şi Mesia propriu-zis, eliberatorul. Noul Testament confirmă această formulă,</w:t>
      </w:r>
      <w:r>
        <w:t xml:space="preserve"> cel ce vine în „duhul lui Ilie” </w:t>
      </w:r>
      <w:r>
        <w:t xml:space="preserve">sau „Ilie” fiind Ioan Botezătorul (Isus îl identifică în felul acesta, </w:t>
      </w:r>
      <w:r>
        <w:t xml:space="preserve">cf. Matei 11.14; 17.10-12; Marcu 9.</w:t>
      </w:r>
      <w:r>
        <w:t xml:space="preserve">11-13</w:t>
      </w:r>
      <w:r>
        <w:t xml:space="preserve">). Urmele acestei înţelegeri pluraliste despre venirea lui Mesia se </w:t>
      </w:r>
      <w:r>
        <w:t xml:space="preserve">regăsesc, foarte probabil, </w:t>
      </w:r>
      <w:r>
        <w:t xml:space="preserve">şi în prezentarea lui Ioan Botezătorul, în Ioan 1</w:t>
      </w:r>
      <w:r>
        <w:t xml:space="preserve">.25</w:t>
      </w:r>
      <w:r>
        <w:t xml:space="preserve">, când acesta este întrebat: „</w:t>
      </w:r>
      <w:r>
        <w:t xml:space="preserve">Atunci de ce botezi, dacă nu eşti </w:t>
      </w:r>
      <w:r>
        <w:t xml:space="preserve">Hristosul</w:t>
      </w:r>
      <w:r>
        <w:t xml:space="preserve">, nici </w:t>
      </w:r>
      <w:r>
        <w:t xml:space="preserve">Ilie, nici profetul</w:t>
      </w:r>
      <w:r>
        <w:t xml:space="preserve">?”</w:t>
      </w:r>
      <w:r>
        <w:t xml:space="preserve"> De asemeni, există posibilitatea ca însuşi Ioan Botezătorul să fi încercat la un moment da</w:t>
      </w:r>
      <w:r>
        <w:t xml:space="preserve">t</w:t>
      </w:r>
      <w:r>
        <w:t xml:space="preserve"> ipoteza unei echipe mesianice</w:t>
      </w:r>
      <w:r>
        <w:t xml:space="preserve"> multiple</w:t>
      </w:r>
      <w:r>
        <w:t xml:space="preserve">,</w:t>
      </w:r>
      <w:r>
        <w:t xml:space="preserve"> deoarece tocmai el, care îl prezentase pe Isus ca Mesia, în ziua botezului acestuia, îi</w:t>
      </w:r>
      <w:r>
        <w:t xml:space="preserve"> trimite câţiva ucenici </w:t>
      </w:r>
      <w:r>
        <w:t xml:space="preserve">de ai săi să îl întrebe dacă, într-adevăr, </w:t>
      </w:r>
      <w:r>
        <w:t xml:space="preserve">El este Mesia </w:t>
      </w:r>
      <w:r>
        <w:t xml:space="preserve">ce</w:t>
      </w:r>
      <w:r>
        <w:t xml:space="preserve">l</w:t>
      </w:r>
      <w:r>
        <w:t xml:space="preserve"> aşteptat, </w:t>
      </w:r>
      <w:r>
        <w:t xml:space="preserve">sau </w:t>
      </w:r>
      <w:r>
        <w:t xml:space="preserve">dacă mai </w:t>
      </w:r>
      <w:r>
        <w:t xml:space="preserve">trebuia</w:t>
      </w:r>
      <w:r>
        <w:t xml:space="preserve"> aşteptat </w:t>
      </w:r>
      <w:r>
        <w:t xml:space="preserve">şi </w:t>
      </w:r>
      <w:r>
        <w:t xml:space="preserve">un altul (</w:t>
      </w:r>
      <w:r>
        <w:t xml:space="preserve">Matei 11.3; Luca 17.19-20</w:t>
      </w:r>
      <w:r>
        <w:t xml:space="preserve">)</w:t>
      </w:r>
      <w:r>
        <w:t xml:space="preserve">.</w:t>
      </w:r>
      <w:r>
        <w:t xml:space="preserve"> </w:t>
      </w:r>
      <w:r/>
    </w:p>
    <w:p>
      <w:pPr>
        <w:pStyle w:val="2227"/>
        <w:pBdr/>
        <w:spacing/>
        <w:ind/>
        <w:rPr/>
      </w:pPr>
      <w:r/>
      <w:r/>
    </w:p>
    <w:p>
      <w:pPr>
        <w:pStyle w:val="2230"/>
        <w:pBdr/>
        <w:spacing/>
        <w:ind/>
        <w:rPr>
          <w:lang w:val="ro-RO"/>
        </w:rPr>
      </w:pPr>
      <w:r/>
      <w:bookmarkStart w:id="18" w:name="_Toc252991843"/>
      <w:r>
        <w:rPr>
          <w:lang w:val="ro-RO"/>
        </w:rPr>
        <w:t xml:space="preserve">3.3 </w:t>
      </w:r>
      <w:r>
        <w:rPr>
          <w:lang w:val="ro-RO"/>
        </w:rPr>
        <w:t xml:space="preserve">Paradigmele mesianice </w:t>
      </w:r>
      <w:r>
        <w:rPr>
          <w:lang w:val="ro-RO"/>
        </w:rPr>
        <w:t xml:space="preserve">intertestamentare</w:t>
      </w:r>
      <w:bookmarkEnd w:id="18"/>
      <w:r>
        <w:rPr>
          <w:lang w:val="ro-RO"/>
        </w:rPr>
      </w:r>
      <w:r>
        <w:rPr>
          <w:lang w:val="ro-RO"/>
        </w:rPr>
      </w:r>
    </w:p>
    <w:p>
      <w:pPr>
        <w:pStyle w:val="2227"/>
        <w:pBdr/>
        <w:spacing/>
        <w:ind w:firstLine="0"/>
        <w:rPr/>
      </w:pPr>
      <w:r/>
      <w:r/>
    </w:p>
    <w:p>
      <w:pPr>
        <w:pStyle w:val="2227"/>
        <w:pBdr/>
        <w:spacing/>
        <w:ind w:firstLine="0"/>
        <w:rPr/>
      </w:pPr>
      <w:r>
        <w:t xml:space="preserve">Portretul lui Mesia este conturat nu numai de profeţiile Vechiului Testament şi de aşteptările politice şi religioase ale iudeilor, </w:t>
      </w:r>
      <w:r>
        <w:t xml:space="preserve">ci </w:t>
      </w:r>
      <w:r>
        <w:t xml:space="preserve">chiar istoria însăşi, </w:t>
      </w:r>
      <w:r>
        <w:t xml:space="preserve">anume </w:t>
      </w:r>
      <w:r>
        <w:t xml:space="preserve">conducătorii</w:t>
      </w:r>
      <w:r>
        <w:t xml:space="preserve"> evrei din perioada interstamentară </w:t>
      </w:r>
      <w:r>
        <w:t xml:space="preserve">au contribuit la îm</w:t>
      </w:r>
      <w:r>
        <w:t xml:space="preserve">bogăţirea tipologiei </w:t>
      </w:r>
      <w:r>
        <w:t xml:space="preserve">mesianice, în mod particular, revolta maccabean</w:t>
      </w:r>
      <w:r>
        <w:t xml:space="preserve">ă şi rezultatul ei, dinastia has</w:t>
      </w:r>
      <w:r>
        <w:t xml:space="preserve">mone</w:t>
      </w:r>
      <w:r>
        <w:t xml:space="preserve">ană; apoi, în măsură mai scăzut, dinastia irodiană; iar în al treilea rând modelul lui Ben Kosiba.</w:t>
      </w:r>
      <w:r>
        <w:rPr>
          <w:rStyle w:val="2248"/>
        </w:rPr>
        <w:footnoteReference w:id="52"/>
      </w:r>
      <w:r/>
    </w:p>
    <w:p>
      <w:pPr>
        <w:pStyle w:val="2231"/>
        <w:pBdr/>
        <w:spacing/>
        <w:ind/>
        <w:rPr>
          <w:lang w:val="ro-RO"/>
        </w:rPr>
      </w:pPr>
      <w:r>
        <w:rPr>
          <w:lang w:val="ro-RO"/>
        </w:rPr>
        <w:t xml:space="preserve">3.3.1 Paradigma mesianică maccabeană</w:t>
      </w:r>
      <w:r>
        <w:rPr>
          <w:lang w:val="ro-RO"/>
        </w:rPr>
      </w:r>
    </w:p>
    <w:p>
      <w:pPr>
        <w:pStyle w:val="2227"/>
        <w:pBdr/>
        <w:spacing/>
        <w:ind w:firstLine="0"/>
        <w:rPr/>
      </w:pPr>
      <w:r>
        <w:t xml:space="preserve">Ca reacţie faţă de </w:t>
      </w:r>
      <w:r>
        <w:rPr>
          <w:lang w:eastAsia="vi-VN"/>
        </w:rPr>
        <w:t xml:space="preserve">eforturile</w:t>
      </w:r>
      <w:r>
        <w:rPr>
          <w:lang w:eastAsia="vi-VN"/>
        </w:rPr>
        <w:t xml:space="preserve"> lui Ant</w:t>
      </w:r>
      <w:r>
        <w:rPr>
          <w:lang w:eastAsia="vi-VN"/>
        </w:rPr>
        <w:t xml:space="preserve">io</w:t>
      </w:r>
      <w:r>
        <w:rPr>
          <w:lang w:eastAsia="vi-VN"/>
        </w:rPr>
        <w:t xml:space="preserve">c</w:t>
      </w:r>
      <w:r>
        <w:rPr>
          <w:lang w:eastAsia="vi-VN"/>
        </w:rPr>
        <w:t xml:space="preserve">hus Seleucus </w:t>
      </w:r>
      <w:r>
        <w:rPr>
          <w:lang w:eastAsia="vi-VN"/>
        </w:rPr>
        <w:t xml:space="preserve">IV (Epifanes; 175-164 îH), </w:t>
      </w:r>
      <w:r>
        <w:rPr>
          <w:lang w:eastAsia="vi-VN"/>
        </w:rPr>
        <w:t xml:space="preserve">de </w:t>
      </w:r>
      <w:r>
        <w:rPr>
          <w:lang w:eastAsia="vi-VN"/>
        </w:rPr>
        <w:t xml:space="preserve">modernizare</w:t>
      </w:r>
      <w:r>
        <w:rPr>
          <w:lang w:eastAsia="vi-VN"/>
        </w:rPr>
        <w:t xml:space="preserve"> în </w:t>
      </w:r>
      <w:r>
        <w:rPr>
          <w:lang w:eastAsia="vi-VN"/>
        </w:rPr>
        <w:t xml:space="preserve">sens </w:t>
      </w:r>
      <w:r>
        <w:rPr>
          <w:lang w:eastAsia="vi-VN"/>
        </w:rPr>
        <w:t xml:space="preserve">elenist, păgân, a statului evreiesc, </w:t>
      </w:r>
      <w:r>
        <w:rPr>
          <w:lang w:eastAsia="vi-VN"/>
        </w:rPr>
        <w:t xml:space="preserve">pe care a încercat să îl oblige </w:t>
      </w:r>
      <w:r>
        <w:rPr>
          <w:lang w:eastAsia="vi-VN"/>
        </w:rPr>
        <w:t xml:space="preserve">să accepte închinarea la idoli, la zeii păgâni, împreună cu jertfele păgâne,</w:t>
      </w:r>
      <w:r>
        <w:rPr>
          <w:lang w:eastAsia="vi-VN"/>
        </w:rPr>
        <w:t xml:space="preserve"> iudeii au început o rev</w:t>
      </w:r>
      <w:r>
        <w:rPr>
          <w:lang w:eastAsia="vi-VN"/>
        </w:rPr>
        <w:t xml:space="preserve">oltă de proporţii</w:t>
      </w:r>
      <w:r>
        <w:rPr>
          <w:lang w:eastAsia="vi-VN"/>
        </w:rPr>
        <w:t xml:space="preserve"> în 167 îH, condusă de preotul Mattatias. Acesta l-a ucis pe un evreu care acceptase să aducă jertfă zeilor păgâni</w:t>
      </w:r>
      <w:r>
        <w:rPr>
          <w:lang w:eastAsia="vi-VN"/>
        </w:rPr>
        <w:t xml:space="preserve">,</w:t>
      </w:r>
      <w:r>
        <w:rPr>
          <w:lang w:eastAsia="vi-VN"/>
        </w:rPr>
        <w:t xml:space="preserve"> şi a</w:t>
      </w:r>
      <w:r>
        <w:rPr>
          <w:lang w:eastAsia="vi-VN"/>
        </w:rPr>
        <w:t xml:space="preserve">poi a chemat mulţimile </w:t>
      </w:r>
      <w:r>
        <w:rPr>
          <w:lang w:eastAsia="vi-VN"/>
        </w:rPr>
        <w:t xml:space="preserve">să-l urmeze de partea Legii lui Dumnezeu </w:t>
      </w:r>
      <w:r>
        <w:t xml:space="preserve">(1 Macabei 2:27). </w:t>
      </w:r>
      <w:r>
        <w:t xml:space="preserve">Strigătul</w:t>
      </w:r>
      <w:r>
        <w:t xml:space="preserve"> „Înapoi la lege şi la mărturie</w:t>
      </w:r>
      <w:r>
        <w:t xml:space="preserve">!</w:t>
      </w:r>
      <w:r>
        <w:t xml:space="preserve">”</w:t>
      </w:r>
      <w:r>
        <w:t xml:space="preserve"> din</w:t>
      </w:r>
      <w:r>
        <w:t xml:space="preserve"> Isaia 8:20 </w:t>
      </w:r>
      <w:r>
        <w:t xml:space="preserve">a ajuns strigătul de luptă al revoltei macabeen</w:t>
      </w:r>
      <w:r>
        <w:t xml:space="preserve">e </w:t>
      </w:r>
      <w:r>
        <w:t xml:space="preserve">(în timpul războaielor macabeene, evreii au păzit cu stricteţe sabatele</w:t>
      </w:r>
      <w:r>
        <w:t xml:space="preserve">).</w:t>
      </w:r>
      <w:r>
        <w:t xml:space="preserve"> </w:t>
      </w:r>
      <w:r/>
    </w:p>
    <w:p>
      <w:pPr>
        <w:pStyle w:val="2227"/>
        <w:pBdr/>
        <w:spacing/>
        <w:ind/>
        <w:rPr>
          <w:lang w:eastAsia="vi-VN"/>
        </w:rPr>
      </w:pPr>
      <w:r>
        <w:t xml:space="preserve">Conduşi de Mattatias şi de cei cinci fii ai săi – Iuda</w:t>
      </w:r>
      <w:r>
        <w:t xml:space="preserve">, numit şi Maccabi („Ciocanul”)</w:t>
      </w:r>
      <w:r>
        <w:t xml:space="preserve">, Eleazar, Iohanan, Ionatan şi Şimon, </w:t>
      </w:r>
      <w:r>
        <w:t xml:space="preserve">iudeii au organizat o rezistenţă în munţi şi, d</w:t>
      </w:r>
      <w:r>
        <w:t xml:space="preserve">eşi erau mai puţin numeroşi decât grecii, şi mai slab înarmaţi, </w:t>
      </w:r>
      <w:r>
        <w:t xml:space="preserve">ei au înfrânt </w:t>
      </w:r>
      <w:r>
        <w:t xml:space="preserve">armatele lui Antiohus</w:t>
      </w:r>
      <w:r>
        <w:t xml:space="preserve">, ieşind cu totul victorioşi, după un război lung de 25 de ani.</w:t>
      </w:r>
      <w:r>
        <w:t xml:space="preserve"> </w:t>
      </w:r>
      <w:r>
        <w:rPr>
          <w:lang w:eastAsia="vi-VN"/>
        </w:rPr>
      </w:r>
      <w:r>
        <w:rPr>
          <w:lang w:eastAsia="vi-VN"/>
        </w:rPr>
      </w:r>
    </w:p>
    <w:p>
      <w:pPr>
        <w:pStyle w:val="2227"/>
        <w:pBdr/>
        <w:spacing/>
        <w:ind/>
        <w:rPr/>
      </w:pPr>
      <w:r>
        <w:t xml:space="preserve">Victoria finală a fost obţinută în 142 îH, în timpul regelui Seleucid Demetrius, care a făcut un tratat de pace cu Şimon, ultimul din cei cinci fii ai lui Mattatias, </w:t>
      </w:r>
      <w:r>
        <w:t xml:space="preserve">cel a </w:t>
      </w:r>
      <w:r>
        <w:t xml:space="preserve">ajuns</w:t>
      </w:r>
      <w:r>
        <w:t xml:space="preserve">, în aceste condiţii, mare</w:t>
      </w:r>
      <w:r>
        <w:t xml:space="preserve"> preot şi conducător militar al iudeilor (Macabei 13:41-42), </w:t>
      </w:r>
      <w:r>
        <w:t xml:space="preserve">iar apoi</w:t>
      </w:r>
      <w:r>
        <w:t xml:space="preserve"> suveran evreu peste Palestina. </w:t>
      </w:r>
      <w:r>
        <w:t xml:space="preserve">Devenind rege,</w:t>
      </w:r>
      <w:r>
        <w:t xml:space="preserve"> Şimon a întemeiat dinastia Hasmoneilor, care a rămas ca o curiozitate istorică, pentru că era o dinastie levitică, de preoţi, nu una davidică</w:t>
      </w:r>
      <w:r>
        <w:t xml:space="preserve">, sau dintr-o casă regală ori aristocratică iudaică</w:t>
      </w:r>
      <w:r>
        <w:t xml:space="preserve"> (această contopire a oficiilor a fost foarte mult criticată de teologi, de preoţi)</w:t>
      </w:r>
      <w:r>
        <w:t xml:space="preserve">. </w:t>
      </w:r>
      <w:r>
        <w:t xml:space="preserve">Dinastia a</w:t>
      </w:r>
      <w:r>
        <w:t xml:space="preserve"> durat 103 ani şi următorul conducător a fost Iohanan Hircanus, </w:t>
      </w:r>
      <w:r>
        <w:t xml:space="preserve">un rege evreu </w:t>
      </w:r>
      <w:r>
        <w:t xml:space="preserve">care, în mod surprinzător, a fost favorabil procesului de elenizare a ţării şi a înce</w:t>
      </w:r>
      <w:r>
        <w:t xml:space="preserve">rcat să extindă graniţele ţării (el </w:t>
      </w:r>
      <w:r>
        <w:t xml:space="preserve">a cucerit Idumeea</w:t>
      </w:r>
      <w:r>
        <w:t xml:space="preserve">, fostul Edom,</w:t>
      </w:r>
      <w:r>
        <w:t xml:space="preserve"> şi i-a convertit pe locuitori la iudaism</w:t>
      </w:r>
      <w:r>
        <w:t xml:space="preserve">; d</w:t>
      </w:r>
      <w:r>
        <w:t xml:space="preserve">e asemeni, el s-a asociat la conducere cu saducheii, adepţi ai unei integrări eleniste cu păstrarea specificului iudaic, şi i-a respins pe farisei, partida naţionalistă care continua spiritul lui Mattatia şi Iuda Macabeul</w:t>
      </w:r>
      <w:r>
        <w:t xml:space="preserve">).</w:t>
      </w:r>
      <w:r/>
    </w:p>
    <w:p>
      <w:pPr>
        <w:pStyle w:val="2227"/>
        <w:pBdr/>
        <w:spacing/>
        <w:ind/>
        <w:rPr/>
      </w:pPr>
      <w:r>
        <w:t xml:space="preserve">Dincolo de această prezentare generală, se poate reţine contribuţia dinastiei</w:t>
      </w:r>
      <w:r>
        <w:t xml:space="preserve"> has</w:t>
      </w:r>
      <w:r>
        <w:t xml:space="preserve">moneene</w:t>
      </w:r>
      <w:r>
        <w:t xml:space="preserve"> la conturarea unui nou portret mesianic: în urma ei, Mesia a început să fie gândit şi ca un conducător care, prin contrast cu f</w:t>
      </w:r>
      <w:r>
        <w:t xml:space="preserve">ormulele de echipă mesianică, putea să contopească într-un singură personă </w:t>
      </w:r>
      <w:r>
        <w:t xml:space="preserve">două, dacă nu </w:t>
      </w:r>
      <w:r>
        <w:t xml:space="preserve">trei oficii</w:t>
      </w:r>
      <w:r>
        <w:t xml:space="preserve"> diferite</w:t>
      </w:r>
      <w:r>
        <w:t xml:space="preserve">: conducere</w:t>
      </w:r>
      <w:r>
        <w:t xml:space="preserve">a</w:t>
      </w:r>
      <w:r>
        <w:t xml:space="preserve"> regală şi</w:t>
      </w:r>
      <w:r>
        <w:t xml:space="preserve"> autoritatea preoţească</w:t>
      </w:r>
      <w:r>
        <w:t xml:space="preserve">, precum şi</w:t>
      </w:r>
      <w:r>
        <w:t xml:space="preserve"> înţelepciunea </w:t>
      </w:r>
      <w:r>
        <w:t xml:space="preserve">şi puterea </w:t>
      </w:r>
      <w:r>
        <w:t xml:space="preserve">profetică.</w:t>
      </w:r>
      <w:r>
        <w:t xml:space="preserve"> D</w:t>
      </w:r>
      <w:r>
        <w:t xml:space="preserve">e asemeni, paradigma maccab</w:t>
      </w:r>
      <w:r>
        <w:t xml:space="preserve">eană a reîntărit şi concepţia tradiţională că nimic durabil nu poate fi făcut, dacă nu se face pe temelia ascultării necondiţionate de Lege, cu </w:t>
      </w:r>
      <w:r>
        <w:t xml:space="preserve">toate </w:t>
      </w:r>
      <w:r>
        <w:t xml:space="preserve">cerinţele ei morale, </w:t>
      </w:r>
      <w:r>
        <w:t xml:space="preserve">cu jertfele ei, </w:t>
      </w:r>
      <w:r>
        <w:t xml:space="preserve">cu sabatele ei (cu sărbătorile ei)</w:t>
      </w:r>
      <w:r>
        <w:t xml:space="preserve">, cu întregul sistem de închinare de la Templu</w:t>
      </w:r>
      <w:r>
        <w:t xml:space="preserve">.</w:t>
      </w:r>
      <w:r>
        <w:t xml:space="preserve"> </w:t>
      </w:r>
      <w:r>
        <w:t xml:space="preserve">Într-un fel, Isus a corespuns acestui model de contopire a oficiilor într-o singură persoană, dar în ce priveşte Legea, împlinirea ei a îmbrăcat o formă unică, în persoana Mântuitorului, anume jertfa răscumpărătoare, unică, de pe Cruce.</w:t>
      </w:r>
      <w:r/>
    </w:p>
    <w:p>
      <w:pPr>
        <w:pStyle w:val="2227"/>
        <w:pBdr/>
        <w:spacing/>
        <w:ind/>
        <w:rPr/>
      </w:pPr>
      <w:r>
        <w:t xml:space="preserve">Comparaţia între paradigma maccabeană a lui</w:t>
      </w:r>
      <w:r>
        <w:t xml:space="preserve"> Mesia, şi paradigma lui Isus</w:t>
      </w:r>
      <w:r>
        <w:t xml:space="preserve"> merită o analiză mai atentă</w:t>
      </w:r>
      <w:r>
        <w:t xml:space="preserve">.</w:t>
      </w:r>
      <w:r/>
    </w:p>
    <w:p>
      <w:pPr>
        <w:pStyle w:val="2227"/>
        <w:pBdr/>
        <w:spacing/>
        <w:ind w:firstLine="0"/>
        <w:rPr/>
      </w:pPr>
      <w:r/>
      <w:r/>
    </w:p>
    <w:tbl>
      <w:tblPr>
        <w:tblInd w:w="250" w:type="dxa"/>
        <w:tblW w:w="0" w:type="auto"/>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276"/>
        <w:gridCol w:w="1559"/>
        <w:gridCol w:w="992"/>
        <w:gridCol w:w="2410"/>
      </w:tblGrid>
      <w:tr>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7"/>
              <w:pBdr/>
              <w:spacing/>
              <w:ind w:firstLine="0"/>
              <w:rPr>
                <w:sz w:val="22"/>
                <w:szCs w:val="22"/>
              </w:rPr>
            </w:pPr>
            <w:r>
              <w:rPr>
                <w:sz w:val="22"/>
                <w:szCs w:val="22"/>
              </w:rPr>
              <w:t xml:space="preserve">P</w:t>
            </w:r>
            <w:r>
              <w:rPr>
                <w:sz w:val="22"/>
                <w:szCs w:val="22"/>
              </w:rPr>
              <w:t xml:space="preserve">aradigme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tcPr>
          <w:p>
            <w:pPr>
              <w:pStyle w:val="2227"/>
              <w:pBdr/>
              <w:spacing/>
              <w:ind w:firstLine="0"/>
              <w:rPr>
                <w:sz w:val="22"/>
                <w:szCs w:val="22"/>
              </w:rPr>
            </w:pPr>
            <w:r>
              <w:rPr>
                <w:sz w:val="22"/>
                <w:szCs w:val="22"/>
              </w:rPr>
              <w:t xml:space="preserve">Sloganul</w:t>
            </w:r>
            <w:r>
              <w:rPr>
                <w:sz w:val="22"/>
                <w:szCs w:val="22"/>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tcPr>
          <w:p>
            <w:pPr>
              <w:pStyle w:val="2227"/>
              <w:pBdr/>
              <w:spacing/>
              <w:ind w:firstLine="0"/>
              <w:rPr>
                <w:sz w:val="22"/>
                <w:szCs w:val="22"/>
              </w:rPr>
            </w:pPr>
            <w:r>
              <w:rPr>
                <w:sz w:val="22"/>
                <w:szCs w:val="22"/>
              </w:rPr>
              <w:t xml:space="preserve">Formula mesianică</w:t>
            </w:r>
            <w:r>
              <w:rPr>
                <w:sz w:val="22"/>
                <w:szCs w:val="22"/>
              </w:rP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7"/>
              <w:pBdr/>
              <w:spacing/>
              <w:ind w:firstLine="0"/>
              <w:rPr>
                <w:sz w:val="22"/>
                <w:szCs w:val="22"/>
              </w:rPr>
            </w:pPr>
            <w:r>
              <w:rPr>
                <w:sz w:val="22"/>
                <w:szCs w:val="22"/>
              </w:rPr>
              <w:t xml:space="preserve">Tipul acţiunii</w:t>
            </w:r>
            <w:r>
              <w:rPr>
                <w:sz w:val="22"/>
                <w:szCs w:val="22"/>
              </w:rPr>
              <w:t xml:space="preserve"> militar</w:t>
            </w:r>
            <w:r>
              <w:rPr>
                <w:sz w:val="22"/>
                <w:szCs w:val="22"/>
              </w:rPr>
              <w:t xml:space="preserve">e</w:t>
            </w:r>
            <w:r>
              <w:rPr>
                <w:sz w:val="22"/>
                <w:szCs w:val="22"/>
              </w:rPr>
            </w:r>
            <w:r>
              <w:rPr>
                <w:sz w:val="22"/>
                <w:szCs w:val="22"/>
              </w:rPr>
            </w:r>
          </w:p>
        </w:tc>
      </w:tr>
      <w:tr>
        <w:trPr>
          <w:trHeight w:val="1498"/>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7"/>
              <w:pBdr/>
              <w:spacing/>
              <w:ind w:firstLine="0"/>
              <w:rPr>
                <w:sz w:val="22"/>
                <w:szCs w:val="22"/>
              </w:rPr>
            </w:pPr>
            <w:r>
              <w:rPr>
                <w:sz w:val="22"/>
                <w:szCs w:val="22"/>
              </w:rPr>
              <w:t xml:space="preserve">Regii maccabei</w:t>
            </w: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tcPr>
          <w:p>
            <w:pPr>
              <w:pStyle w:val="2227"/>
              <w:pBdr/>
              <w:spacing/>
              <w:ind w:firstLine="0"/>
              <w:rPr>
                <w:sz w:val="20"/>
                <w:szCs w:val="20"/>
              </w:rPr>
            </w:pPr>
            <w:r>
              <w:rPr>
                <w:sz w:val="20"/>
                <w:szCs w:val="20"/>
              </w:rPr>
              <w:t xml:space="preserve">„</w:t>
            </w:r>
            <w:r>
              <w:rPr>
                <w:sz w:val="20"/>
                <w:szCs w:val="20"/>
              </w:rPr>
              <w:t xml:space="preserve">Înapoi la Lege şi la mărturie</w:t>
            </w: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tcPr>
          <w:p>
            <w:pPr>
              <w:pStyle w:val="2227"/>
              <w:pBdr/>
              <w:spacing/>
              <w:ind w:firstLine="0"/>
              <w:rPr>
                <w:sz w:val="20"/>
                <w:szCs w:val="20"/>
              </w:rPr>
            </w:pPr>
            <w:r>
              <w:rPr>
                <w:sz w:val="20"/>
                <w:szCs w:val="20"/>
              </w:rPr>
              <w:t xml:space="preserve">Rege şi </w:t>
            </w:r>
            <w:r>
              <w:rPr>
                <w:sz w:val="20"/>
                <w:szCs w:val="20"/>
              </w:rPr>
              <w:t xml:space="preserve">preot</w:t>
            </w:r>
            <w:r>
              <w:rPr>
                <w:sz w:val="20"/>
                <w:szCs w:val="20"/>
              </w:rP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7"/>
              <w:pBdr/>
              <w:spacing/>
              <w:ind w:firstLine="0"/>
              <w:rPr>
                <w:sz w:val="20"/>
                <w:szCs w:val="20"/>
              </w:rPr>
            </w:pPr>
            <w:r>
              <w:rPr>
                <w:sz w:val="20"/>
                <w:szCs w:val="20"/>
              </w:rPr>
              <w:t xml:space="preserve">O etapă:</w:t>
            </w:r>
            <w:r>
              <w:rPr>
                <w:sz w:val="20"/>
                <w:szCs w:val="20"/>
              </w:rPr>
            </w:r>
            <w:r>
              <w:rPr>
                <w:sz w:val="20"/>
                <w:szCs w:val="20"/>
              </w:rPr>
            </w:r>
          </w:p>
          <w:p>
            <w:pPr>
              <w:pStyle w:val="2227"/>
              <w:pBdr/>
              <w:spacing/>
              <w:ind w:firstLine="0"/>
              <w:rPr>
                <w:sz w:val="20"/>
                <w:szCs w:val="20"/>
              </w:rPr>
            </w:pPr>
            <w:r>
              <w:rPr>
                <w:sz w:val="20"/>
                <w:szCs w:val="20"/>
              </w:rPr>
              <w:t xml:space="preserve">Întoarcerea la Dumnezeu şi câştigarea </w:t>
            </w:r>
            <w:r>
              <w:rPr>
                <w:sz w:val="20"/>
                <w:szCs w:val="20"/>
              </w:rPr>
              <w:t xml:space="preserve">libertăţii</w:t>
            </w:r>
            <w:r>
              <w:rPr>
                <w:sz w:val="20"/>
                <w:szCs w:val="20"/>
              </w:rPr>
              <w:t xml:space="preserve"> faţă </w:t>
            </w:r>
            <w:r>
              <w:rPr>
                <w:sz w:val="20"/>
                <w:szCs w:val="20"/>
              </w:rPr>
            </w:r>
          </w:p>
          <w:p>
            <w:pPr>
              <w:pStyle w:val="2227"/>
              <w:pBdr/>
              <w:spacing/>
              <w:ind w:firstLine="0"/>
              <w:rPr>
                <w:sz w:val="20"/>
                <w:szCs w:val="20"/>
              </w:rPr>
            </w:pPr>
            <w:r>
              <w:rPr>
                <w:sz w:val="20"/>
                <w:szCs w:val="20"/>
              </w:rPr>
              <w:t xml:space="preserve">de forţele</w:t>
            </w:r>
            <w:r>
              <w:rPr>
                <w:sz w:val="20"/>
                <w:szCs w:val="20"/>
              </w:rPr>
              <w:t xml:space="preserve"> de ocupaţie.</w:t>
            </w:r>
            <w:r>
              <w:rPr>
                <w:sz w:val="20"/>
                <w:szCs w:val="20"/>
              </w:rPr>
            </w:r>
            <w:r>
              <w:rPr>
                <w:sz w:val="20"/>
                <w:szCs w:val="20"/>
              </w:rPr>
            </w:r>
          </w:p>
          <w:p>
            <w:pPr>
              <w:pStyle w:val="2227"/>
              <w:pBdr/>
              <w:spacing/>
              <w:ind w:firstLine="0"/>
              <w:rPr>
                <w:sz w:val="20"/>
                <w:szCs w:val="20"/>
              </w:rPr>
            </w:pPr>
            <w:r>
              <w:rPr>
                <w:sz w:val="20"/>
                <w:szCs w:val="20"/>
              </w:rPr>
            </w:r>
            <w:r>
              <w:rPr>
                <w:sz w:val="20"/>
                <w:szCs w:val="20"/>
              </w:rPr>
            </w:r>
          </w:p>
        </w:tc>
      </w:tr>
      <w:tr>
        <w:trPr/>
        <w:tc>
          <w:tcPr>
            <w:tcBorders>
              <w:top w:val="single" w:color="000000" w:sz="4" w:space="0"/>
              <w:left w:val="single" w:color="000000" w:sz="4" w:space="0"/>
              <w:bottom w:val="single" w:color="000000" w:sz="4" w:space="0"/>
              <w:right w:val="single" w:color="000000" w:sz="4" w:space="0"/>
            </w:tcBorders>
            <w:tcW w:w="1276" w:type="dxa"/>
            <w:vAlign w:val="top"/>
            <w:textDirection w:val="lrTb"/>
          </w:tcPr>
          <w:p>
            <w:pPr>
              <w:pStyle w:val="2227"/>
              <w:pBdr/>
              <w:spacing/>
              <w:ind w:firstLine="0"/>
              <w:rPr>
                <w:sz w:val="22"/>
                <w:szCs w:val="22"/>
              </w:rPr>
            </w:pPr>
            <w:r>
              <w:rPr>
                <w:sz w:val="22"/>
                <w:szCs w:val="22"/>
              </w:rPr>
              <w:t xml:space="preserve">Isus</w:t>
            </w:r>
            <w:r>
              <w:rPr>
                <w:sz w:val="22"/>
                <w:szCs w:val="22"/>
              </w:rPr>
            </w:r>
          </w:p>
        </w:tc>
        <w:tc>
          <w:tcPr>
            <w:tcBorders>
              <w:top w:val="single" w:color="000000" w:sz="4" w:space="0"/>
              <w:left w:val="single" w:color="000000" w:sz="4" w:space="0"/>
              <w:bottom w:val="single" w:color="000000" w:sz="4" w:space="0"/>
              <w:right w:val="single" w:color="000000" w:sz="4" w:space="0"/>
            </w:tcBorders>
            <w:tcW w:w="1559" w:type="dxa"/>
            <w:vAlign w:val="top"/>
            <w:textDirection w:val="lrTb"/>
          </w:tcPr>
          <w:p>
            <w:pPr>
              <w:pStyle w:val="2227"/>
              <w:pBdr/>
              <w:spacing/>
              <w:ind w:firstLine="0"/>
              <w:rPr>
                <w:sz w:val="20"/>
                <w:szCs w:val="20"/>
              </w:rPr>
            </w:pPr>
            <w:r>
              <w:rPr>
                <w:sz w:val="20"/>
                <w:szCs w:val="20"/>
              </w:rPr>
              <w:t xml:space="preserve">„</w:t>
            </w:r>
            <w:r>
              <w:rPr>
                <w:sz w:val="20"/>
                <w:szCs w:val="20"/>
              </w:rPr>
              <w:t xml:space="preserve">Eu am venit să împlinesc Legea...</w:t>
            </w:r>
            <w:r>
              <w:rPr>
                <w:sz w:val="20"/>
                <w:szCs w:val="20"/>
              </w:rPr>
              <w:t xml:space="preserve">”</w:t>
            </w:r>
            <w:r>
              <w:rPr>
                <w:sz w:val="20"/>
                <w:szCs w:val="20"/>
              </w:rPr>
            </w:r>
            <w:r>
              <w:rPr>
                <w:sz w:val="20"/>
                <w:szCs w:val="20"/>
              </w:rPr>
            </w:r>
          </w:p>
          <w:p>
            <w:pPr>
              <w:pStyle w:val="2227"/>
              <w:pBdr/>
              <w:spacing/>
              <w:ind w:firstLine="0"/>
              <w:rPr>
                <w:sz w:val="20"/>
                <w:szCs w:val="20"/>
              </w:rPr>
            </w:pPr>
            <w:r>
              <w:rPr>
                <w:sz w:val="20"/>
                <w:szCs w:val="20"/>
              </w:rPr>
              <w:t xml:space="preserve">„</w:t>
            </w:r>
            <w:r>
              <w:rPr>
                <w:sz w:val="20"/>
                <w:szCs w:val="20"/>
              </w:rPr>
              <w:t xml:space="preserve">Sabatul a fost facut pentru om, nu omul pentru sabat</w:t>
            </w:r>
            <w:r>
              <w:rPr>
                <w:sz w:val="20"/>
                <w:szCs w:val="20"/>
              </w:rPr>
              <w:t xml:space="preserve">”</w:t>
            </w:r>
            <w:r>
              <w:rPr>
                <w:sz w:val="20"/>
                <w:szCs w:val="20"/>
              </w:rPr>
            </w:r>
            <w:r>
              <w:rPr>
                <w:sz w:val="20"/>
                <w:szCs w:val="20"/>
              </w:rPr>
            </w:r>
          </w:p>
        </w:tc>
        <w:tc>
          <w:tcPr>
            <w:tcBorders>
              <w:top w:val="single" w:color="000000" w:sz="4" w:space="0"/>
              <w:left w:val="single" w:color="000000" w:sz="4" w:space="0"/>
              <w:bottom w:val="single" w:color="000000" w:sz="4" w:space="0"/>
              <w:right w:val="single" w:color="000000" w:sz="4" w:space="0"/>
            </w:tcBorders>
            <w:tcW w:w="992" w:type="dxa"/>
            <w:vAlign w:val="top"/>
            <w:textDirection w:val="lrTb"/>
          </w:tcPr>
          <w:p>
            <w:pPr>
              <w:pStyle w:val="2227"/>
              <w:pBdr/>
              <w:spacing/>
              <w:ind w:firstLine="0"/>
              <w:rPr>
                <w:sz w:val="20"/>
                <w:szCs w:val="20"/>
              </w:rPr>
            </w:pPr>
            <w:r>
              <w:rPr>
                <w:sz w:val="20"/>
                <w:szCs w:val="20"/>
              </w:rPr>
              <w:t xml:space="preserve">Rege</w:t>
            </w:r>
            <w:r>
              <w:rPr>
                <w:sz w:val="20"/>
                <w:szCs w:val="20"/>
              </w:rPr>
              <w:t xml:space="preserve">, </w:t>
            </w:r>
            <w:r>
              <w:rPr>
                <w:sz w:val="20"/>
                <w:szCs w:val="20"/>
              </w:rPr>
              <w:t xml:space="preserve">preot</w:t>
            </w:r>
            <w:r>
              <w:rPr>
                <w:sz w:val="20"/>
                <w:szCs w:val="20"/>
              </w:rPr>
              <w:t xml:space="preserve"> şi </w:t>
            </w:r>
            <w:r>
              <w:rPr>
                <w:sz w:val="20"/>
                <w:szCs w:val="20"/>
              </w:rPr>
              <w:t xml:space="preserve"> </w:t>
            </w:r>
            <w:r>
              <w:rPr>
                <w:sz w:val="20"/>
                <w:szCs w:val="20"/>
              </w:rPr>
              <w:t xml:space="preserve">profet.</w:t>
            </w:r>
            <w:r>
              <w:rPr>
                <w:sz w:val="20"/>
                <w:szCs w:val="20"/>
              </w:rPr>
            </w:r>
          </w:p>
        </w:tc>
        <w:tc>
          <w:tcPr>
            <w:tcBorders>
              <w:top w:val="single" w:color="000000" w:sz="4" w:space="0"/>
              <w:left w:val="single" w:color="000000" w:sz="4" w:space="0"/>
              <w:bottom w:val="single" w:color="000000" w:sz="4" w:space="0"/>
              <w:right w:val="single" w:color="000000" w:sz="4" w:space="0"/>
            </w:tcBorders>
            <w:tcW w:w="2410" w:type="dxa"/>
            <w:vAlign w:val="top"/>
            <w:textDirection w:val="lrTb"/>
          </w:tcPr>
          <w:p>
            <w:pPr>
              <w:pStyle w:val="2227"/>
              <w:pBdr/>
              <w:spacing/>
              <w:ind w:firstLine="0"/>
              <w:rPr>
                <w:sz w:val="20"/>
                <w:szCs w:val="20"/>
              </w:rPr>
            </w:pPr>
            <w:r>
              <w:rPr>
                <w:sz w:val="20"/>
                <w:szCs w:val="20"/>
              </w:rPr>
              <w:t xml:space="preserve">Două etape:</w:t>
            </w:r>
            <w:r>
              <w:rPr>
                <w:sz w:val="20"/>
                <w:szCs w:val="20"/>
              </w:rPr>
            </w:r>
            <w:r>
              <w:rPr>
                <w:sz w:val="20"/>
                <w:szCs w:val="20"/>
              </w:rPr>
            </w:r>
          </w:p>
          <w:p>
            <w:pPr>
              <w:pStyle w:val="2227"/>
              <w:numPr>
                <w:ilvl w:val="0"/>
                <w:numId w:val="6"/>
              </w:numPr>
              <w:pBdr/>
              <w:tabs>
                <w:tab w:val="left" w:leader="none" w:pos="297"/>
              </w:tabs>
              <w:spacing/>
              <w:ind w:firstLine="0" w:left="0"/>
              <w:rPr>
                <w:sz w:val="20"/>
                <w:szCs w:val="20"/>
              </w:rPr>
            </w:pPr>
            <w:r>
              <w:rPr>
                <w:sz w:val="20"/>
                <w:szCs w:val="20"/>
              </w:rPr>
              <w:t xml:space="preserve">Etapa victoriei spirituale (prima venire; </w:t>
            </w:r>
            <w:r>
              <w:rPr>
                <w:sz w:val="20"/>
                <w:szCs w:val="20"/>
              </w:rPr>
              <w:t xml:space="preserve">întoarcerea la Dumnezeu, ispăşirea prin jertfă, învierea</w:t>
            </w:r>
            <w:r>
              <w:rPr>
                <w:sz w:val="20"/>
                <w:szCs w:val="20"/>
              </w:rPr>
              <w:t xml:space="preserve">)</w:t>
            </w:r>
            <w:r>
              <w:rPr>
                <w:sz w:val="20"/>
                <w:szCs w:val="20"/>
              </w:rPr>
            </w:r>
          </w:p>
          <w:p>
            <w:pPr>
              <w:pStyle w:val="2227"/>
              <w:numPr>
                <w:ilvl w:val="0"/>
                <w:numId w:val="6"/>
              </w:numPr>
              <w:pBdr/>
              <w:tabs>
                <w:tab w:val="left" w:leader="none" w:pos="297"/>
              </w:tabs>
              <w:spacing/>
              <w:ind w:firstLine="0" w:left="0"/>
              <w:rPr>
                <w:sz w:val="20"/>
                <w:szCs w:val="20"/>
              </w:rPr>
            </w:pPr>
            <w:r>
              <w:rPr>
                <w:sz w:val="20"/>
                <w:szCs w:val="20"/>
              </w:rPr>
              <w:t xml:space="preserve">Etapa victoriei militare (a doua venire, </w:t>
            </w:r>
            <w:r>
              <w:rPr>
                <w:sz w:val="20"/>
                <w:szCs w:val="20"/>
              </w:rPr>
              <w:t xml:space="preserve">instaurarea împărăţiei lui Dumnezeu,  </w:t>
            </w:r>
            <w:r>
              <w:rPr>
                <w:sz w:val="20"/>
                <w:szCs w:val="20"/>
              </w:rPr>
              <w:t xml:space="preserve">conducerea omenirii). </w:t>
            </w:r>
            <w:r>
              <w:rPr>
                <w:sz w:val="20"/>
                <w:szCs w:val="20"/>
              </w:rPr>
            </w:r>
          </w:p>
        </w:tc>
      </w:tr>
    </w:tbl>
    <w:p>
      <w:pPr>
        <w:pStyle w:val="2227"/>
        <w:pBdr/>
        <w:spacing/>
        <w:ind w:firstLine="0"/>
        <w:rPr/>
      </w:pPr>
      <w:r/>
      <w:r/>
    </w:p>
    <w:p>
      <w:pPr>
        <w:pStyle w:val="2227"/>
        <w:pBdr/>
        <w:spacing/>
        <w:ind w:firstLine="0"/>
        <w:rPr/>
      </w:pPr>
      <w:r>
        <w:t xml:space="preserve">Programul politic al lui Isus este conceput în două etape, după cum se vede din predicarea sa, precum şi din ansamblul NT.</w:t>
      </w:r>
      <w:r>
        <w:t xml:space="preserve"> În ce priveşte acţiunea militară, Isus nu aduce insurecţia – ci </w:t>
      </w:r>
      <w:r>
        <w:t xml:space="preserve">problema unei victorii spirituale, a unei eliberări de sub puterea păcatului şi a răului, pentru care se aduce pe sine însuşi jertfă (într-un fel; în alt fel, el nu se împotriveşte opresiunii, adoptând o politică non-violentă, şi de fapt, ceilalţi îl aduc </w:t>
      </w:r>
      <w:r>
        <w:t xml:space="preserve">ca jertfă; </w:t>
      </w:r>
      <w:r>
        <w:t xml:space="preserve">în această non-violenţă a sa</w:t>
      </w:r>
      <w:r>
        <w:t xml:space="preserve">,</w:t>
      </w:r>
      <w:r>
        <w:t xml:space="preserve"> Isus se dovedeşte ascultător de Dumnezeu Tatăl, cu care luase mai dinainte hotărârea acceptă</w:t>
      </w:r>
      <w:r>
        <w:t xml:space="preserve">rii unui asemenea comportament; nu cade pradă dorinţei de răzbunare, care l-ar fi adus şi pe el sub puterea păcatului, ci se încredinţează dreptăţii divine, care se va face dovedită</w:t>
      </w:r>
      <w:r>
        <w:t xml:space="preserve">,</w:t>
      </w:r>
      <w:r>
        <w:t xml:space="preserve"> în cele din urmă</w:t>
      </w:r>
      <w:r>
        <w:t xml:space="preserve">, prin înviere şi </w:t>
      </w:r>
      <w:r>
        <w:t xml:space="preserve">prin </w:t>
      </w:r>
      <w:r>
        <w:t xml:space="preserve">rid</w:t>
      </w:r>
      <w:r>
        <w:t xml:space="preserve">icarea la glorie, în Înălţare; în acelaşi timp, moartea lui Isus nu este o moarte de martir, ci pătimirea lui intră în ecuaţia mult mai complexă a unei jertfe ispăşitoare, cu care, de fapt, Isus însuşi va veni înainte Tatălui, ca dovadă a ascultării sale).</w:t>
      </w:r>
      <w:r/>
    </w:p>
    <w:p>
      <w:pPr>
        <w:pStyle w:val="2227"/>
        <w:pBdr/>
        <w:spacing/>
        <w:ind/>
        <w:rPr/>
      </w:pPr>
      <w:r>
        <w:t xml:space="preserve">Isus nu accede în prima etapă a lucrării sale mesianice la</w:t>
      </w:r>
      <w:r>
        <w:t xml:space="preserve"> paradigma militară, la insurecţie – deşi El nu se dezice nici de puterea politică, în sine, ci aşa cum arată dialogul său cu Pilat, Isus recunoaşte că este Împărat, că are autoritate şi ar putea să o folosească, dar Împărăţia sa nu este din această lume. </w:t>
      </w:r>
      <w:r/>
    </w:p>
    <w:p>
      <w:pPr>
        <w:pStyle w:val="2227"/>
        <w:pBdr/>
        <w:spacing/>
        <w:ind/>
        <w:rPr/>
      </w:pPr>
      <w:r>
        <w:t xml:space="preserve">Isus mai fusese ispitit </w:t>
      </w:r>
      <w:r>
        <w:t xml:space="preserve">cel puţin o dată </w:t>
      </w:r>
      <w:r>
        <w:t xml:space="preserve">în ceea ce priveşte preluarea precoce a conducerii</w:t>
      </w:r>
      <w:r>
        <w:t xml:space="preserve"> mondiale</w:t>
      </w:r>
      <w:r>
        <w:t xml:space="preserve">, într-o manieră neconformă cu voia divină, atunci când, în pustie, după cum spune Noul Testament, Diavolul îi făcuse propunerea să îi confere stăpânirea asupra întregii lumi</w:t>
      </w:r>
      <w:r>
        <w:t xml:space="preserve">, dacă mai întâi Isus i se va închina acestuia</w:t>
      </w:r>
      <w:r>
        <w:t xml:space="preserve"> Luca 4; Matei 4)</w:t>
      </w:r>
      <w:r>
        <w:t xml:space="preserve">. Aşa cum atunci Isus a respins falsul model mesianic politic al demonilor, acum respinge falsa, greşita reacţie politică pe care ar fi putut-o avea în momentul arestării, batjocoririi sale şi a crucificării sale. Isus</w:t>
      </w:r>
      <w:r>
        <w:t xml:space="preserve">, ca om,</w:t>
      </w:r>
      <w:r>
        <w:t xml:space="preserve"> face </w:t>
      </w:r>
      <w:r>
        <w:t xml:space="preserve">în acele momente </w:t>
      </w:r>
      <w:r>
        <w:t xml:space="preserve">ceea ce ni</w:t>
      </w:r>
      <w:r>
        <w:t xml:space="preserve">ci un alt om</w:t>
      </w:r>
      <w:r>
        <w:t xml:space="preserve"> nu ar fi putut face,</w:t>
      </w:r>
      <w:r>
        <w:t xml:space="preserve"> El</w:t>
      </w:r>
      <w:r>
        <w:t xml:space="preserve"> </w:t>
      </w:r>
      <w:r>
        <w:t xml:space="preserve">domină spiritual întreaga situaţie şi rămâne în dependenţă totală faţă de Dumnezeu.</w:t>
      </w:r>
      <w:r>
        <w:t xml:space="preserve"> </w:t>
      </w:r>
      <w:r>
        <w:t xml:space="preserve">Atitudinea lui recapitulează şi inversează atitudinea greşită a lui Adam care, în momentul ispitirii cu ideea că trebuie sa aibă acces la cunoaştere, dar fără Dumnezeu, întrucât Dumnezeu ar fi adversar al cunoaşterii binelui şi răului, acceptă această suge</w:t>
      </w:r>
      <w:r>
        <w:t xml:space="preserve">stie malefică şi încalcă porunca din Eden. Prin contrast, Isus rămâne încrezător în Dumnezeu şi nu vrea acces la puterea mondială, dacă acesta nu vine de la Dumnezeu, ci din partea Satanei sau din partea instinctelor răzbunătoare şi ucigaşe ale omenirii.  </w:t>
      </w:r>
      <w:r>
        <w:t xml:space="preserve"> </w:t>
      </w:r>
      <w:r/>
    </w:p>
    <w:p>
      <w:pPr>
        <w:pStyle w:val="2227"/>
        <w:pBdr/>
        <w:spacing/>
        <w:ind/>
        <w:rPr/>
      </w:pPr>
      <w:r>
        <w:t xml:space="preserve">Această stăpânire nu i se refuză, de fapt, lui Isus, </w:t>
      </w:r>
      <w:r>
        <w:t xml:space="preserve">ci o va primi ca încununare a ascultării sale</w:t>
      </w:r>
      <w:r>
        <w:t xml:space="preserve">, într-o manieră care depăşeşte graniţele terestre şi include stăpânirea întregului Univers</w:t>
      </w:r>
      <w:r>
        <w:t xml:space="preserve"> (</w:t>
      </w:r>
      <w:r>
        <w:t xml:space="preserve">cf. </w:t>
      </w:r>
      <w:r>
        <w:t xml:space="preserve">Filipeni 2:5-11)</w:t>
      </w:r>
      <w:r>
        <w:t xml:space="preserve">. </w:t>
      </w:r>
      <w:r>
        <w:t xml:space="preserve">Ceea ce afirmă NT, din punct de vedere al paradigmei mesianice, este că suprema şi durabila manifestare a autorităţii politice nu</w:t>
      </w:r>
      <w:r>
        <w:t xml:space="preserve"> </w:t>
      </w:r>
      <w:r>
        <w:t xml:space="preserve">vine din decizie omenească, pur şi simplu, ci printr-o racordare la planul divin, printr-o armonie între om şi Dumnezeu.</w:t>
      </w:r>
      <w:r>
        <w:t xml:space="preserve"> Isus, în mod exemplar, este manifestarea supremă a acestei armonii.</w:t>
      </w:r>
      <w:r/>
    </w:p>
    <w:p>
      <w:pPr>
        <w:pStyle w:val="2227"/>
        <w:pBdr/>
        <w:spacing/>
        <w:ind/>
        <w:rPr/>
      </w:pPr>
      <w:r/>
      <w:r/>
    </w:p>
    <w:p>
      <w:pPr>
        <w:pStyle w:val="2231"/>
        <w:pBdr/>
        <w:spacing/>
        <w:ind/>
        <w:rPr>
          <w:lang w:val="ro-RO"/>
        </w:rPr>
      </w:pPr>
      <w:r>
        <w:rPr>
          <w:lang w:val="ro-RO"/>
        </w:rPr>
        <w:t xml:space="preserve">3.3.2 Paradigma mesianică irodiană</w:t>
      </w:r>
      <w:r>
        <w:rPr>
          <w:lang w:val="ro-RO"/>
        </w:rPr>
      </w:r>
    </w:p>
    <w:p>
      <w:pPr>
        <w:pStyle w:val="2227"/>
        <w:pBdr/>
        <w:spacing/>
        <w:ind w:firstLine="0"/>
        <w:rPr/>
      </w:pPr>
      <w:r>
        <w:t xml:space="preserve">Saga </w:t>
      </w:r>
      <w:r>
        <w:t xml:space="preserve">iudaică a familiei lui Irod</w:t>
      </w:r>
      <w:r>
        <w:t xml:space="preserve"> începe odată</w:t>
      </w:r>
      <w:r>
        <w:t xml:space="preserve"> al doilea rege</w:t>
      </w:r>
      <w:r>
        <w:t xml:space="preserve"> </w:t>
      </w:r>
      <w:r>
        <w:t xml:space="preserve">hasmoneu, cu</w:t>
      </w:r>
      <w:r>
        <w:t xml:space="preserve"> Iohanan Hircanus</w:t>
      </w:r>
      <w:r>
        <w:t xml:space="preserve"> (a domnit între 136-106 îH), care</w:t>
      </w:r>
      <w:r>
        <w:t xml:space="preserve"> a cucerit Idumeea (fostul Edom) şi i-a convertit pe locuitori la iudaism</w:t>
      </w:r>
      <w:r>
        <w:t xml:space="preserve">. Un</w:t>
      </w:r>
      <w:r>
        <w:t xml:space="preserve">a din familiile conducătoare idumeene care au trecut la iudaism a </w:t>
      </w:r>
      <w:r>
        <w:t xml:space="preserve">ajuns, în timp, </w:t>
      </w:r>
      <w:r>
        <w:t xml:space="preserve">la conducerea Iudeii, anume familia lui Irod cel Mare</w:t>
      </w:r>
      <w:r>
        <w:t xml:space="preserve">. </w:t>
      </w:r>
      <w:r/>
    </w:p>
    <w:p>
      <w:pPr>
        <w:pStyle w:val="2227"/>
        <w:pBdr/>
        <w:spacing/>
        <w:ind/>
        <w:rPr/>
      </w:pPr>
      <w:r>
        <w:t xml:space="preserve">Intrarea pe scena politică </w:t>
      </w:r>
      <w:r>
        <w:t xml:space="preserve">o face Antipater, tatăl lui Irod cel mare, care a fost consilierul lui </w:t>
      </w:r>
      <w:r>
        <w:t xml:space="preserve">Hircanus II,</w:t>
      </w:r>
      <w:r>
        <w:t xml:space="preserve"> un rege slab, unul din ultimii regi hasmoneeni</w:t>
      </w:r>
      <w:r>
        <w:t xml:space="preserve">. Din cauza lui Antipater, </w:t>
      </w:r>
      <w:r>
        <w:t xml:space="preserve">un politician </w:t>
      </w:r>
      <w:r>
        <w:t xml:space="preserve">talentat, foarte abil</w:t>
      </w:r>
      <w:r>
        <w:t xml:space="preserve">,</w:t>
      </w:r>
      <w:r>
        <w:t xml:space="preserve"> </w:t>
      </w:r>
      <w:r>
        <w:t xml:space="preserve">Hircanus II a avut </w:t>
      </w:r>
      <w:r>
        <w:t xml:space="preserve">o relaţie privilegiată cu Roma. Ca mulţumire pentru sprijinul primit în campania din Egypt, împotriva lui Mitridate, Iulius Caesar le</w:t>
      </w:r>
      <w:r>
        <w:t xml:space="preserve">-a dat</w:t>
      </w:r>
      <w:r>
        <w:t xml:space="preserve"> </w:t>
      </w:r>
      <w:r>
        <w:t xml:space="preserve">evreilor </w:t>
      </w:r>
      <w:r>
        <w:t xml:space="preserve">dreptul de </w:t>
      </w:r>
      <w:r>
        <w:rPr>
          <w:i/>
          <w:iCs/>
        </w:rPr>
        <w:t xml:space="preserve">religio licita</w:t>
      </w:r>
      <w:r>
        <w:t xml:space="preserve"> (relig</w:t>
      </w:r>
      <w:r>
        <w:t xml:space="preserve">ie acceptată în imperiul roman) şi</w:t>
      </w:r>
      <w:r>
        <w:t xml:space="preserve"> </w:t>
      </w:r>
      <w:r>
        <w:rPr>
          <w:i/>
          <w:iCs/>
        </w:rPr>
        <w:t xml:space="preserve">status clientis</w:t>
      </w:r>
      <w:r>
        <w:t xml:space="preserve"> (cea mai largă independenţă), dreptul de a stăpâni Ierusalimul şi de a-l întări cu ziduri, dreptul de a folosi </w:t>
      </w:r>
      <w:r>
        <w:t xml:space="preserve">cetatea </w:t>
      </w:r>
      <w:r>
        <w:t xml:space="preserve">Ioppa ca port maritim, etc. Hircanus II a primit dreptul de a conduce Ierusalimul, ca mare preot şi etnarh, el şi copiii săi, iar Antipater </w:t>
      </w:r>
      <w:r>
        <w:t xml:space="preserve">a primit cetăţenia romană şi </w:t>
      </w:r>
      <w:r>
        <w:t xml:space="preserve">a fost numit procurator al Iudeii.</w:t>
      </w:r>
      <w:r>
        <w:rPr>
          <w:rStyle w:val="2248"/>
        </w:rPr>
        <w:footnoteReference w:id="53"/>
      </w:r>
      <w:r>
        <w:t xml:space="preserve"> </w:t>
      </w:r>
      <w:r/>
    </w:p>
    <w:p>
      <w:pPr>
        <w:pStyle w:val="2227"/>
        <w:pBdr/>
        <w:spacing/>
        <w:ind/>
        <w:rPr/>
      </w:pPr>
      <w:r>
        <w:t xml:space="preserve">Curând după moarta mamei lui Hircanus II, Alexandra, </w:t>
      </w:r>
      <w:r>
        <w:t xml:space="preserve">între </w:t>
      </w:r>
      <w:r>
        <w:t xml:space="preserve">Hircanus II şi fratele său </w:t>
      </w:r>
      <w:r>
        <w:t xml:space="preserve">Aristobulos II</w:t>
      </w:r>
      <w:r>
        <w:t xml:space="preserve"> </w:t>
      </w:r>
      <w:r>
        <w:t xml:space="preserve">a început </w:t>
      </w:r>
      <w:r>
        <w:t xml:space="preserve">un război </w:t>
      </w:r>
      <w:r>
        <w:t xml:space="preserve">distrugător. Fariseii au luat partea lui Hircanus II, iar saducheii au luat partea lui Aristobulos II</w:t>
      </w:r>
      <w:r>
        <w:t xml:space="preserve"> (care era sprijinit şi de Pompeius)</w:t>
      </w:r>
      <w:r>
        <w:t xml:space="preserve">. Hircanus II </w:t>
      </w:r>
      <w:r>
        <w:t xml:space="preserve">iese învingător în această </w:t>
      </w:r>
      <w:r>
        <w:t xml:space="preserve">confruntare şi </w:t>
      </w:r>
      <w:r>
        <w:t xml:space="preserve">dobândeşte tronul, </w:t>
      </w:r>
      <w:r>
        <w:t xml:space="preserve">precum şi sprijinul lui Pompeius</w:t>
      </w:r>
      <w:r>
        <w:t xml:space="preserve"> – care trece de partea lui în urma unor greşeli politice ale lui Aristobulos II. Preţul tronului se dovedeşte însă a fi destul de mare:</w:t>
      </w:r>
      <w:r>
        <w:t xml:space="preserve"> Pompei</w:t>
      </w:r>
      <w:r>
        <w:t xml:space="preserve">us</w:t>
      </w:r>
      <w:r>
        <w:t xml:space="preserve"> a preluat controlul asupra regatului iudeu în 63 îH, cucerind Ierusalimul şi muntele templului (unde, până să se înţeleagă ce se întâmplă, a şi intrat în Sfânta Sfintelor şi adus jertfe păgâne; templul a fost curăţit a doua zi, iar Hircanus </w:t>
      </w:r>
      <w:r>
        <w:t xml:space="preserve">II </w:t>
      </w:r>
      <w:r>
        <w:t xml:space="preserve">a fost numit mare preot).</w:t>
      </w:r>
      <w:r>
        <w:rPr>
          <w:rStyle w:val="2248"/>
        </w:rPr>
        <w:footnoteReference w:id="54"/>
      </w:r>
      <w:r>
        <w:t xml:space="preserve"> </w:t>
      </w:r>
      <w:r>
        <w:t xml:space="preserve">Lucrurile s-au complicat însă, deoarece î</w:t>
      </w:r>
      <w:r>
        <w:t xml:space="preserve">n războiul civil izbucnit între Pompeius şi Iulius Caesar, Pompeius a fost înfrânt. Caesar va coopera cu Hircanus II, dar </w:t>
      </w:r>
      <w:r>
        <w:t xml:space="preserve">va discuta </w:t>
      </w:r>
      <w:r>
        <w:t xml:space="preserve">mai ales cu </w:t>
      </w:r>
      <w:r>
        <w:t xml:space="preserve">abilul </w:t>
      </w:r>
      <w:r>
        <w:t xml:space="preserve">Antipater, înălţat </w:t>
      </w:r>
      <w:r>
        <w:t xml:space="preserve">acum </w:t>
      </w:r>
      <w:r>
        <w:t xml:space="preserve">în poziţia de </w:t>
      </w:r>
      <w:r>
        <w:rPr>
          <w:i/>
          <w:iCs/>
        </w:rPr>
        <w:t xml:space="preserve">epitropos</w:t>
      </w:r>
      <w:r>
        <w:t xml:space="preserve"> (regent). Fiul lui Antipater</w:t>
      </w:r>
      <w:r>
        <w:t xml:space="preserve"> este</w:t>
      </w:r>
      <w:r>
        <w:t xml:space="preserve"> Irod cel mare, </w:t>
      </w:r>
      <w:r>
        <w:t xml:space="preserve">care moştenit de la tatăl său </w:t>
      </w:r>
      <w:r>
        <w:t xml:space="preserve">calităţile unui politician abil şi</w:t>
      </w:r>
      <w:r>
        <w:t xml:space="preserve"> </w:t>
      </w:r>
      <w:r>
        <w:t xml:space="preserve">îndrăzneţ, </w:t>
      </w:r>
      <w:r>
        <w:t xml:space="preserve">dar a devenit şi un conducător</w:t>
      </w:r>
      <w:r>
        <w:t xml:space="preserve"> gelos,</w:t>
      </w:r>
      <w:r>
        <w:t xml:space="preserve"> crud.</w:t>
      </w:r>
      <w:r>
        <w:t xml:space="preserve"> Lucrurile se complică în 44 îH, după uciderea lui Caesar. Brutus şi Cassius fug în Asia Mică şi Antipater se vede nevoit să strângă fonduri pentru campania acestora. Din nefericire, în timpul acestor acţiuni, Antipater este omorât</w:t>
      </w:r>
      <w:r>
        <w:t xml:space="preserve"> de către iudei, care nu îl îndrăgeau prea tare (43 îH).</w:t>
      </w:r>
      <w:r>
        <w:t xml:space="preserve"> </w:t>
      </w:r>
      <w:r>
        <w:t xml:space="preserve">Irod reuşeşte</w:t>
      </w:r>
      <w:r>
        <w:t xml:space="preserve"> să îşi răzbune tatăl, </w:t>
      </w:r>
      <w:r>
        <w:t xml:space="preserve">mai târziu, </w:t>
      </w:r>
      <w:r>
        <w:t xml:space="preserve">cu ajutorul romanilor, şi să schimbe tabăra, de la Brutus şi Cassius</w:t>
      </w:r>
      <w:r>
        <w:t xml:space="preserve">, la Octavian</w:t>
      </w:r>
      <w:r>
        <w:t xml:space="preserve"> şi Marc Antonius, pe care i-a convins că tatăl său a fost silit să-i sprijine pe cei dinainte. Este răsplătit cu titlul de tetrarch (conducător local)</w:t>
      </w:r>
      <w:r>
        <w:t xml:space="preserve"> – </w:t>
      </w:r>
      <w:r>
        <w:t xml:space="preserve">onoare </w:t>
      </w:r>
      <w:r>
        <w:t xml:space="preserve">de care, bineînţeles, iudeii nu erau deloc bucuroşi</w:t>
      </w:r>
      <w:r>
        <w:t xml:space="preserve">.</w:t>
      </w:r>
      <w:r/>
    </w:p>
    <w:p>
      <w:pPr>
        <w:pStyle w:val="2227"/>
        <w:pBdr/>
        <w:spacing/>
        <w:ind/>
        <w:rPr/>
      </w:pPr>
      <w:r>
        <w:t xml:space="preserve">În timpul războiului dintre romani şi parţi, iudeii s-au aliat cu parţii. Hircanus II este luat prizo</w:t>
      </w:r>
      <w:r>
        <w:t xml:space="preserve">nier în 40 îH şi dus în Babilon, iar în </w:t>
      </w:r>
      <w:r>
        <w:t xml:space="preserve">locul său devine rege al iudeilor Antigonus</w:t>
      </w:r>
      <w:r>
        <w:t xml:space="preserve"> (40-37)</w:t>
      </w:r>
      <w:r>
        <w:t xml:space="preserve">.</w:t>
      </w:r>
      <w:r>
        <w:t xml:space="preserve"> Simţind oportunitatea, Ir</w:t>
      </w:r>
      <w:r>
        <w:t xml:space="preserve">od merge la Roma unde convinge s</w:t>
      </w:r>
      <w:r>
        <w:t xml:space="preserve">enatul şi pe Octavian să </w:t>
      </w:r>
      <w:r>
        <w:t xml:space="preserve">îl numească rege.</w:t>
      </w:r>
      <w:r>
        <w:t xml:space="preserve"> Marc Antonius a a</w:t>
      </w:r>
      <w:r>
        <w:t xml:space="preserve">sculta</w:t>
      </w:r>
      <w:r>
        <w:t xml:space="preserve">t</w:t>
      </w:r>
      <w:r>
        <w:t xml:space="preserve"> de </w:t>
      </w:r>
      <w:r>
        <w:t xml:space="preserve">aceste decizii</w:t>
      </w:r>
      <w:r>
        <w:t xml:space="preserve"> şi </w:t>
      </w:r>
      <w:r>
        <w:t xml:space="preserve">l-a înscăunat </w:t>
      </w:r>
      <w:r>
        <w:t xml:space="preserve">pe</w:t>
      </w:r>
      <w:r>
        <w:t xml:space="preserve"> Irod </w:t>
      </w:r>
      <w:r>
        <w:t xml:space="preserve">rege, </w:t>
      </w:r>
      <w:r>
        <w:t xml:space="preserve">ajutându-l să asedieze şi să cucerească</w:t>
      </w:r>
      <w:r>
        <w:t xml:space="preserve"> I</w:t>
      </w:r>
      <w:r>
        <w:t xml:space="preserve">erusalimul cu </w:t>
      </w:r>
      <w:r>
        <w:t xml:space="preserve">două legiuni romane, </w:t>
      </w:r>
      <w:r>
        <w:t xml:space="preserve">VI Ferrata şi</w:t>
      </w:r>
      <w:r>
        <w:t xml:space="preserve"> probabil şi </w:t>
      </w:r>
      <w:r>
        <w:t xml:space="preserve">III Gallica</w:t>
      </w:r>
      <w:r>
        <w:t xml:space="preserve"> (în total 11 batalioane de infanterie, 6000 de călăreţi şi trupe auxiliare siriene)</w:t>
      </w:r>
      <w:r>
        <w:t xml:space="preserve">. </w:t>
      </w:r>
      <w:r>
        <w:t xml:space="preserve">Irod trece</w:t>
      </w:r>
      <w:r>
        <w:t xml:space="preserve">,</w:t>
      </w:r>
      <w:r>
        <w:t xml:space="preserve"> astfel</w:t>
      </w:r>
      <w:r>
        <w:t xml:space="preserve">,</w:t>
      </w:r>
      <w:r>
        <w:t xml:space="preserve"> de la titlul de tetrarch la cel de rege (basileus) şi va domni la Ierusalim între 37-4 îH.</w:t>
      </w:r>
      <w:r>
        <w:t xml:space="preserve"> </w:t>
      </w:r>
      <w:r/>
    </w:p>
    <w:p>
      <w:pPr>
        <w:pStyle w:val="2227"/>
        <w:pBdr/>
        <w:spacing/>
        <w:ind/>
        <w:rPr/>
      </w:pPr>
      <w:r>
        <w:t xml:space="preserve">Ca politician Irod s-a dovedit foarte abil, ca şi tatăl său, dar ca rege a fost un conducător crud. </w:t>
      </w:r>
      <w:r>
        <w:t xml:space="preserve">Ca să îşi păzească tronul el</w:t>
      </w:r>
      <w:r>
        <w:t xml:space="preserve"> l-a </w:t>
      </w:r>
      <w:r>
        <w:t xml:space="preserve">condamnat la moarte pe Hircanus II, în 31 îH, când acest</w:t>
      </w:r>
      <w:r>
        <w:t xml:space="preserve">a</w:t>
      </w:r>
      <w:r>
        <w:t xml:space="preserve"> nu mai era mare preot</w:t>
      </w:r>
      <w:r>
        <w:t xml:space="preserve"> (parţii i-au tăiat urechile ca să îl descalifice pentru preoţie)</w:t>
      </w:r>
      <w:r>
        <w:t xml:space="preserve">; la fel, </w:t>
      </w:r>
      <w:r>
        <w:t xml:space="preserve">şi-a ucis </w:t>
      </w:r>
      <w:r>
        <w:t xml:space="preserve">mulţi din proprii săi fii</w:t>
      </w:r>
      <w:r>
        <w:t xml:space="preserve">, inclusiv pe soţia la care a ţinut cel mai mult, pe Mariamne</w:t>
      </w:r>
      <w:r>
        <w:t xml:space="preserve"> I</w:t>
      </w:r>
      <w:r>
        <w:t xml:space="preserve">, fiica </w:t>
      </w:r>
      <w:r>
        <w:t xml:space="preserve">de o rară frumuseţe a </w:t>
      </w:r>
      <w:r>
        <w:t xml:space="preserve">lui </w:t>
      </w:r>
      <w:r>
        <w:t xml:space="preserve">Alexandros, din dinastia hasmoneană</w:t>
      </w:r>
      <w:r>
        <w:t xml:space="preserve">)</w:t>
      </w:r>
      <w:r>
        <w:rPr>
          <w:rStyle w:val="2248"/>
        </w:rPr>
        <w:footnoteReference w:id="55"/>
      </w:r>
      <w:r>
        <w:t xml:space="preserve">. </w:t>
      </w:r>
      <w:r>
        <w:t xml:space="preserve">În ce priveşte aşteptările mesianice, </w:t>
      </w:r>
      <w:r>
        <w:t xml:space="preserve">Irod cel mare a </w:t>
      </w:r>
      <w:r>
        <w:t xml:space="preserve">încercat să-şi creeze imaginea unui rege puternic şi fidel iudaismului. </w:t>
      </w:r>
      <w:r>
        <w:t xml:space="preserve">Aşa cum s-a văzut, s</w:t>
      </w:r>
      <w:r>
        <w:t xml:space="preserve">-a căsătorit cu </w:t>
      </w:r>
      <w:r>
        <w:t xml:space="preserve">Mariamne I, din dinastia hasmoneană, dar şi cu Mariamne II, fiica marelui preot Boethus</w:t>
      </w:r>
      <w:r>
        <w:t xml:space="preserve">;</w:t>
      </w:r>
      <w:r>
        <w:t xml:space="preserve"> şi-a asigurat sprijinul romanilor, </w:t>
      </w:r>
      <w:r>
        <w:t xml:space="preserve">a construit mult</w:t>
      </w:r>
      <w:r>
        <w:t xml:space="preserve"> (</w:t>
      </w:r>
      <w:r>
        <w:t xml:space="preserve">fortăreţe, castele</w:t>
      </w:r>
      <w:r>
        <w:t xml:space="preserve">)</w:t>
      </w:r>
      <w:r>
        <w:t xml:space="preserve">, şi a zidit </w:t>
      </w:r>
      <w:r>
        <w:t xml:space="preserve">şi </w:t>
      </w:r>
      <w:r>
        <w:t xml:space="preserve">un templu magnific la Ierusalim, pe care şi ucenicii lui Isus l-au admirat </w:t>
      </w:r>
      <w:r>
        <w:t xml:space="preserve">fără rezerve. Într-un fel, evreii aveau de ce să fie mândri de poporul lor, în timpul lui Irod cel mare. Mândria aceasta era diminuată, totuşi, de faptul că Irod nu era chiar evreu, ci idumean.</w:t>
      </w:r>
      <w:r>
        <w:t xml:space="preserve"> Fiii lui Irod nu au fost în stare să menţină unitatea statului – şi nici romanii nu le-au permis lucrul acesta pentru nu voiau un stat independent şi puternic în zona Orientului apropiat. Astfel, ţara s-a împărţit în</w:t>
      </w:r>
      <w:r>
        <w:t xml:space="preserve"> </w:t>
      </w:r>
      <w:r>
        <w:t xml:space="preserve">trei </w:t>
      </w:r>
      <w:r>
        <w:t xml:space="preserve">tetrarhii</w:t>
      </w:r>
      <w:r>
        <w:rPr>
          <w:rStyle w:val="2248"/>
        </w:rPr>
        <w:footnoteReference w:id="56"/>
      </w:r>
      <w:r>
        <w:t xml:space="preserve">:</w:t>
      </w:r>
      <w:r>
        <w:t xml:space="preserve"> Irod Filip a devenit tetrarch al Itureei (partea de nord</w:t>
      </w:r>
      <w:r>
        <w:t xml:space="preserve">-</w:t>
      </w:r>
      <w:r>
        <w:t xml:space="preserve">est</w:t>
      </w:r>
      <w:r>
        <w:t xml:space="preserve"> a Palestinei</w:t>
      </w:r>
      <w:r>
        <w:t xml:space="preserve">, 4 îH – 37 dH); Irod Antipa</w:t>
      </w:r>
      <w:r>
        <w:t xml:space="preserve"> </w:t>
      </w:r>
      <w:r>
        <w:t xml:space="preserve">a devenit tetrarch al Galileii şi Pereii (4 îH - 39 dH; </w:t>
      </w:r>
      <w:r>
        <w:t xml:space="preserve">el l-a ucis pe Ioan Botezătorul</w:t>
      </w:r>
      <w:r>
        <w:t xml:space="preserve"> şi în timpul său a fost crucificat Isus); Irod Arhelaus a devenit etnarh al Iudeii, S</w:t>
      </w:r>
      <w:r>
        <w:t xml:space="preserve">amariei şi Idumeii, care a ajuns</w:t>
      </w:r>
      <w:r>
        <w:t xml:space="preserve"> provincie imperial </w:t>
      </w:r>
      <w:r>
        <w:t xml:space="preserve">guvernată de procuratori romani</w:t>
      </w:r>
      <w:r>
        <w:t xml:space="preserve">.</w:t>
      </w:r>
      <w:r>
        <w:t xml:space="preserve"> Irod Agripa I</w:t>
      </w:r>
      <w:r>
        <w:t xml:space="preserve">, </w:t>
      </w:r>
      <w:r>
        <w:t xml:space="preserve">nepot al lui Irod cel mare,</w:t>
      </w:r>
      <w:r>
        <w:t xml:space="preserve"> a domnit </w:t>
      </w:r>
      <w:r>
        <w:t xml:space="preserve">peste acelaşi teritoriu al Iudeii, Samariei şi Idumeii, </w:t>
      </w:r>
      <w:r>
        <w:t xml:space="preserve">între 37-44 dH (el </w:t>
      </w:r>
      <w:r>
        <w:t xml:space="preserve">este cel care </w:t>
      </w:r>
      <w:r>
        <w:t xml:space="preserve">l-a ucis pe Iacov, fratele lui Ioan, şi l-a arestat pe Petru). Irod Agripa II,</w:t>
      </w:r>
      <w:r>
        <w:t xml:space="preserve"> tot nepot al lui Irod, este</w:t>
      </w:r>
      <w:r>
        <w:t xml:space="preserve"> </w:t>
      </w:r>
      <w:r>
        <w:t xml:space="preserve">tetrarh </w:t>
      </w:r>
      <w:r>
        <w:t xml:space="preserve">al Trahonitiei </w:t>
      </w:r>
      <w:r>
        <w:t xml:space="preserve">în perioada </w:t>
      </w:r>
      <w:r>
        <w:t xml:space="preserve">50 – 100 dH</w:t>
      </w:r>
      <w:r>
        <w:t xml:space="preserve"> (şi îi plăcea mult să fie numit „rege”)</w:t>
      </w:r>
      <w:r>
        <w:t xml:space="preserve">; el este cel care</w:t>
      </w:r>
      <w:r>
        <w:t xml:space="preserve"> s-a întâlnit cu procuratorul Festus şi la Caesarea, la procesul lui Pavel. </w:t>
      </w:r>
      <w:r>
        <w:t xml:space="preserve">În toată această vreme </w:t>
      </w:r>
      <w:r>
        <w:t xml:space="preserve">r</w:t>
      </w:r>
      <w:r>
        <w:t xml:space="preserve">e</w:t>
      </w:r>
      <w:r>
        <w:t xml:space="preserve">gatul era condus, practic, </w:t>
      </w:r>
      <w:r>
        <w:t xml:space="preserve">de procuratorul roman din Ierusalim (1. </w:t>
      </w:r>
      <w:r>
        <w:t xml:space="preserve">procuratorul </w:t>
      </w:r>
      <w:r>
        <w:t xml:space="preserve">Felix, 52-60; cf, Tacitus, </w:t>
      </w:r>
      <w:r>
        <w:rPr>
          <w:i/>
          <w:iCs/>
        </w:rPr>
        <w:t xml:space="preserve">Annale</w:t>
      </w:r>
      <w:r>
        <w:t xml:space="preserve">, 12.54; </w:t>
      </w:r>
      <w:r>
        <w:rPr>
          <w:i/>
          <w:iCs/>
        </w:rPr>
        <w:t xml:space="preserve">Historia</w:t>
      </w:r>
      <w:r>
        <w:t xml:space="preserve"> 5.4; 2. </w:t>
      </w:r>
      <w:r>
        <w:t xml:space="preserve">procuratorul </w:t>
      </w:r>
      <w:r>
        <w:t xml:space="preserve">Festus, 60-62, </w:t>
      </w:r>
      <w:r>
        <w:rPr>
          <w:i/>
          <w:iCs/>
        </w:rPr>
        <w:t xml:space="preserve">cf.</w:t>
      </w:r>
      <w:r>
        <w:t xml:space="preserve"> Fapte 24-26; 3. </w:t>
      </w:r>
      <w:r>
        <w:t xml:space="preserve">procuratorul </w:t>
      </w:r>
      <w:r>
        <w:t xml:space="preserve">Albinus, 62-64; 4. </w:t>
      </w:r>
      <w:r>
        <w:t xml:space="preserve">procuratorul </w:t>
      </w:r>
      <w:r>
        <w:t xml:space="preserve">Florus, 66; î</w:t>
      </w:r>
      <w:r>
        <w:t xml:space="preserve">n timpul lui </w:t>
      </w:r>
      <w:r>
        <w:t xml:space="preserve">Florus </w:t>
      </w:r>
      <w:r>
        <w:t xml:space="preserve">î</w:t>
      </w:r>
      <w:r>
        <w:t xml:space="preserve">ncepe revolta iudeilor, încheiată cu ocuparea Ierusalimului în 70 dH). Aspiraţiile mesi</w:t>
      </w:r>
      <w:r>
        <w:t xml:space="preserve">anice ale evreilor, după ce ei l</w:t>
      </w:r>
      <w:r>
        <w:t xml:space="preserve">-au respins pe Isus ca Mesia, vor fi înfrânte definitiv în 132-135 dH, când </w:t>
      </w:r>
      <w:r>
        <w:t xml:space="preserve">mişcarea mesianică a lui </w:t>
      </w:r>
      <w:r>
        <w:t xml:space="preserve">Bar Kochba</w:t>
      </w:r>
      <w:r>
        <w:t xml:space="preserve">, care s-a proclamat rege davidic şi a fost sprijinit de rabi Akiba, s-a încheiat cu o masivă înfrângere de către romani.</w:t>
      </w:r>
      <w:r>
        <w:t xml:space="preserve"> </w:t>
      </w:r>
      <w:r/>
    </w:p>
    <w:p>
      <w:pPr>
        <w:pStyle w:val="2227"/>
        <w:pBdr/>
        <w:spacing/>
        <w:ind/>
        <w:rPr/>
      </w:pPr>
      <w:r>
        <w:t xml:space="preserve">Paradigma mesianică irodiană a încercat să construiască pe linia mândriei naţionale şi a restaurării Israelului vechi, pe linia simbolurilor legământului </w:t>
      </w:r>
      <w:r>
        <w:t xml:space="preserve">avraamic şi </w:t>
      </w:r>
      <w:r>
        <w:t xml:space="preserve">davidic (rege, ţară) şi solomonic (rege, ţară, Templu)</w:t>
      </w:r>
      <w:r>
        <w:t xml:space="preserve">, pe linia alianţelor politice şi religioase (cu hasmoneii; cu Roma; cu marele preot)</w:t>
      </w:r>
      <w:r>
        <w:t xml:space="preserve">.</w:t>
      </w:r>
      <w:r>
        <w:t xml:space="preserve"> El nu a reuşit însă să păstreze relaţia cu linia regală davidică propriu-zisă (trăsătură importantă în ce priveşte portretul </w:t>
      </w:r>
      <w:r>
        <w:t xml:space="preserve">tradiţional al lui Mesia), nici cu împlinirea profeţiilor mesianice (de fapt, aşa cum arată evanghelia după Matei, el încearcă să îl elimine pe Mesia cel descris de profeţi că se va naşte în Betleem).</w:t>
      </w:r>
      <w:r/>
    </w:p>
    <w:p>
      <w:pPr>
        <w:pStyle w:val="2227"/>
        <w:pBdr/>
        <w:spacing/>
        <w:ind/>
        <w:rPr/>
      </w:pPr>
      <w:r/>
      <w:r/>
    </w:p>
    <w:p>
      <w:pPr>
        <w:pStyle w:val="2231"/>
        <w:pBdr/>
        <w:spacing/>
        <w:ind/>
        <w:rPr>
          <w:lang w:val="ro-RO"/>
        </w:rPr>
      </w:pPr>
      <w:r>
        <w:rPr>
          <w:lang w:val="ro-RO"/>
        </w:rPr>
        <w:t xml:space="preserve">3.3.3 Paradigma mesianică a lui Ben Kosiba</w:t>
      </w:r>
      <w:r>
        <w:rPr>
          <w:lang w:val="ro-RO"/>
        </w:rPr>
      </w:r>
    </w:p>
    <w:p>
      <w:pPr>
        <w:pStyle w:val="2227"/>
        <w:pBdr/>
        <w:spacing/>
        <w:ind w:firstLine="0"/>
        <w:rPr/>
      </w:pPr>
      <w:r>
        <w:t xml:space="preserve">Ultima proclamare mesianică înainte de distrugerea cvasi-totală a Ierusalimului </w:t>
      </w:r>
      <w:r>
        <w:t xml:space="preserve">este cea </w:t>
      </w:r>
      <w:r>
        <w:t xml:space="preserve">a lui </w:t>
      </w:r>
      <w:r>
        <w:t xml:space="preserve">Simeon ben Kosiba, auto-denumit </w:t>
      </w:r>
      <w:r>
        <w:t xml:space="preserve">Bar Kochba, </w:t>
      </w:r>
      <w:r>
        <w:t xml:space="preserve">adică „</w:t>
      </w:r>
      <w:r>
        <w:t xml:space="preserve">Fiul Stelei”</w:t>
      </w:r>
      <w:r>
        <w:t xml:space="preserve"> (132-135)</w:t>
      </w:r>
      <w:r>
        <w:t xml:space="preserve">.</w:t>
      </w:r>
      <w:r>
        <w:t xml:space="preserve"> El s-a declarat </w:t>
      </w:r>
      <w:r>
        <w:t xml:space="preserve">urmaşul lui David, </w:t>
      </w:r>
      <w:r>
        <w:t xml:space="preserve">a preluat </w:t>
      </w:r>
      <w:r>
        <w:t xml:space="preserve"> </w:t>
      </w:r>
      <w:r>
        <w:t xml:space="preserve">simbolurile mesianice </w:t>
      </w:r>
      <w:r>
        <w:t xml:space="preserve">consacrate </w:t>
      </w:r>
      <w:r>
        <w:t xml:space="preserve">ale lui Israel </w:t>
      </w:r>
      <w:r>
        <w:t xml:space="preserve">(templul, steaua </w:t>
      </w:r>
      <w:r>
        <w:t xml:space="preserve">lui David;</w:t>
      </w:r>
      <w:r>
        <w:t xml:space="preserve"> </w:t>
      </w:r>
      <w:r>
        <w:t xml:space="preserve">harfa; </w:t>
      </w:r>
      <w:r>
        <w:t xml:space="preserve">viţa de vie</w:t>
      </w:r>
      <w:r>
        <w:t xml:space="preserve">, cu frunză</w:t>
      </w:r>
      <w:r>
        <w:t xml:space="preserve"> şi </w:t>
      </w:r>
      <w:r>
        <w:t xml:space="preserve">strugure</w:t>
      </w:r>
      <w:r>
        <w:t xml:space="preserve">; </w:t>
      </w:r>
      <w:r>
        <w:t xml:space="preserve">smochinul</w:t>
      </w:r>
      <w:r>
        <w:t xml:space="preserve">; palmierul cu şapte ramuri</w:t>
      </w:r>
      <w:r>
        <w:t xml:space="preserve">)</w:t>
      </w:r>
      <w:r>
        <w:t xml:space="preserve">, </w:t>
      </w:r>
      <w:r>
        <w:t xml:space="preserve">a scos</w:t>
      </w:r>
      <w:r>
        <w:t xml:space="preserve"> monezi ca să-şi ateste stăpânirea</w:t>
      </w:r>
      <w:r>
        <w:t xml:space="preserve"> şi</w:t>
      </w:r>
      <w:r>
        <w:t xml:space="preserve"> </w:t>
      </w:r>
      <w:r>
        <w:t xml:space="preserve">a declarat</w:t>
      </w:r>
      <w:r>
        <w:t xml:space="preserve"> anul 132 dH </w:t>
      </w:r>
      <w:r>
        <w:t xml:space="preserve">drept </w:t>
      </w:r>
      <w:r>
        <w:t xml:space="preserve">„primul an al mântuirii lui Israel”. </w:t>
      </w:r>
      <w:r>
        <w:t xml:space="preserve">Într-un fel de echipă mesianică, el beneficiază de sprijinul profetic al lui rabbi Akiba, unul din contributori</w:t>
      </w:r>
      <w:r>
        <w:t xml:space="preserve">i</w:t>
      </w:r>
      <w:r>
        <w:t xml:space="preserve"> cei mai vestiţi la proiectul Ta</w:t>
      </w:r>
      <w:r>
        <w:t xml:space="preserve">lmudului (</w:t>
      </w:r>
      <w:r>
        <w:t xml:space="preserve">învăţător de seamă în</w:t>
      </w:r>
      <w:r>
        <w:t xml:space="preserve"> şco</w:t>
      </w:r>
      <w:r>
        <w:t xml:space="preserve">ala rabinică</w:t>
      </w:r>
      <w:r>
        <w:t xml:space="preserve"> de la Yavneh – Jamnia).</w:t>
      </w:r>
      <w:r>
        <w:t xml:space="preserve"> </w:t>
      </w:r>
      <w:r>
        <w:t xml:space="preserve">Hadrian, împăratul Romei, a înfrânt</w:t>
      </w:r>
      <w:r>
        <w:t xml:space="preserve"> revolta prin generalii săi Julius Severus, Hadrianus Quintus şi Lo</w:t>
      </w:r>
      <w:r>
        <w:t xml:space="preserve">llius Urbicus, care au adus </w:t>
      </w:r>
      <w:r>
        <w:t xml:space="preserve"> patru legiuni în Pale</w:t>
      </w:r>
      <w:r>
        <w:t xml:space="preserve">stina în vederea obţinerii, în condiţii foarte grele, a victoriei finale</w:t>
      </w:r>
      <w:r>
        <w:t xml:space="preserve"> (pe 9 August 136, Templul din Ierusalim a fost distrus).</w:t>
      </w:r>
      <w:r/>
    </w:p>
    <w:p>
      <w:pPr>
        <w:pStyle w:val="2227"/>
        <w:pBdr/>
        <w:spacing/>
        <w:ind/>
        <w:rPr/>
      </w:pPr>
      <w:r>
        <w:t xml:space="preserve">Organizată cu multă</w:t>
      </w:r>
      <w:r>
        <w:t xml:space="preserve"> îndrăzneală</w:t>
      </w:r>
      <w:r>
        <w:t xml:space="preserve">,</w:t>
      </w:r>
      <w:r>
        <w:t xml:space="preserve"> această acţiune mesianică a lui Bar Kochba </w:t>
      </w:r>
      <w:r>
        <w:t xml:space="preserve">a încercat să reuşescă în tot ceea ce a eşuat </w:t>
      </w:r>
      <w:r>
        <w:t xml:space="preserve">revolta evreilor din 70, şi </w:t>
      </w:r>
      <w:r>
        <w:t xml:space="preserve">în </w:t>
      </w:r>
      <w:r>
        <w:t xml:space="preserve">tot ceea ce Isus nu </w:t>
      </w:r>
      <w:r>
        <w:t xml:space="preserve">reuşise în timpul lucrării sale pământeşti</w:t>
      </w:r>
      <w:r>
        <w:t xml:space="preserve">: </w:t>
      </w:r>
      <w:r>
        <w:t xml:space="preserve">o </w:t>
      </w:r>
      <w:r>
        <w:t xml:space="preserve">acţiune militară</w:t>
      </w:r>
      <w:r>
        <w:t xml:space="preserve"> de succes</w:t>
      </w:r>
      <w:r>
        <w:t xml:space="preserve">. Seria aceasta de încercări ale evreilor dovedeşte fascinaţia de neoprit pe care o exercita speranţa mesianică</w:t>
      </w:r>
      <w:r>
        <w:t xml:space="preserve">, mai ales în varianta sa militară şi politică</w:t>
      </w:r>
      <w:r>
        <w:t xml:space="preserve">. În acelaşi timp, </w:t>
      </w:r>
      <w:r>
        <w:t xml:space="preserve">ea </w:t>
      </w:r>
      <w:r>
        <w:t xml:space="preserve">pune în vedere că soluţia lui Isus</w:t>
      </w:r>
      <w:r>
        <w:t xml:space="preserve">, mesianismul în două etape, cu dată deschisă,</w:t>
      </w:r>
      <w:r>
        <w:t xml:space="preserve"> s-a dovedit cea mai practică, şi singura care mai oferă </w:t>
      </w:r>
      <w:r>
        <w:t xml:space="preserve">un model posibil de</w:t>
      </w:r>
      <w:r>
        <w:t xml:space="preserve"> restaurare a lui Israel, anume, cândva în viitor.</w:t>
      </w:r>
      <w:r/>
    </w:p>
    <w:p>
      <w:pPr>
        <w:pStyle w:val="2231"/>
        <w:pBdr/>
        <w:spacing/>
        <w:ind/>
        <w:rPr>
          <w:lang w:val="ro-RO"/>
        </w:rPr>
      </w:pPr>
      <w:r>
        <w:rPr>
          <w:lang w:val="ro-RO"/>
        </w:rPr>
        <w:t xml:space="preserve">3.3.4 Imagologie</w:t>
      </w:r>
      <w:r>
        <w:rPr>
          <w:lang w:val="ro-RO"/>
        </w:rPr>
        <w:t xml:space="preserve"> mesianică generală</w:t>
      </w:r>
      <w:r>
        <w:rPr>
          <w:lang w:val="ro-RO"/>
        </w:rPr>
      </w:r>
      <w:r>
        <w:rPr>
          <w:lang w:val="ro-RO"/>
        </w:rPr>
      </w:r>
    </w:p>
    <w:p>
      <w:pPr>
        <w:pStyle w:val="2227"/>
        <w:pBdr/>
        <w:spacing/>
        <w:ind w:firstLine="0"/>
        <w:rPr/>
      </w:pPr>
      <w:r>
        <w:t xml:space="preserve">Printre simbolurile religioase şi politice </w:t>
      </w:r>
      <w:r>
        <w:t xml:space="preserve">centrale </w:t>
      </w:r>
      <w:r>
        <w:t xml:space="preserve">care s-au impus în Iudeea primului secol</w:t>
      </w:r>
      <w:r>
        <w:t xml:space="preserve"> şi care au influenţat teologia Noului Testament</w:t>
      </w:r>
      <w:r>
        <w:t xml:space="preserve"> se pot număra</w:t>
      </w:r>
      <w:r>
        <w:t xml:space="preserve">, aşa cum s-a menţionat deja:</w:t>
      </w:r>
      <w:r>
        <w:t xml:space="preserve"> ţara, Sionul (fortăreaţa Ierusalimului), Templul din Ierusalim, Torah, circumcizia, valea Gheenei (Ge-hinnom), </w:t>
      </w:r>
      <w:r>
        <w:t xml:space="preserve">sanhedrinul</w:t>
      </w:r>
      <w:r>
        <w:t xml:space="preserve">.</w:t>
      </w:r>
      <w:r>
        <w:rPr>
          <w:rStyle w:val="2248"/>
        </w:rPr>
        <w:footnoteReference w:id="57"/>
      </w:r>
      <w:r/>
    </w:p>
    <w:p>
      <w:pPr>
        <w:pStyle w:val="2227"/>
        <w:pBdr/>
        <w:spacing/>
        <w:ind/>
        <w:rPr/>
      </w:pPr>
      <w:r>
        <w:rPr>
          <w:b/>
          <w:bCs/>
        </w:rPr>
        <w:t xml:space="preserve">Ţara </w:t>
      </w:r>
      <w:r>
        <w:rPr>
          <w:b/>
          <w:bCs/>
        </w:rPr>
        <w:t xml:space="preserve">Canaanului</w:t>
      </w:r>
      <w:r>
        <w:t xml:space="preserve"> </w:t>
      </w:r>
      <w:r>
        <w:t xml:space="preserve">era importantă ca simbol, o realitate palpabilă care </w:t>
      </w:r>
      <w:r>
        <w:t xml:space="preserve">îi lega pe iudei de istorie, de chemarea </w:t>
      </w:r>
      <w:r>
        <w:t xml:space="preserve">dată </w:t>
      </w:r>
      <w:r>
        <w:t xml:space="preserve">lui Avraam, </w:t>
      </w:r>
      <w:r>
        <w:t xml:space="preserve">Isaac şi Iacov, </w:t>
      </w:r>
      <w:r>
        <w:t xml:space="preserve">de promisiunile divine</w:t>
      </w:r>
      <w:r>
        <w:t xml:space="preserve">, de destinul </w:t>
      </w:r>
      <w:r>
        <w:t xml:space="preserve">Israelului, </w:t>
      </w:r>
      <w:r>
        <w:t xml:space="preserve">ca popor</w:t>
      </w:r>
      <w:r>
        <w:t xml:space="preserve">. </w:t>
      </w:r>
      <w:r>
        <w:t xml:space="preserve">Nivelul ridicat de simbolizare se face simţit odată cu </w:t>
      </w:r>
      <w:r>
        <w:t xml:space="preserve">misiunea lui Moise</w:t>
      </w:r>
      <w:r>
        <w:t xml:space="preserve"> de eliberare din Egipt şi de conducere a poporului în Canaan</w:t>
      </w:r>
      <w:r>
        <w:t xml:space="preserve"> </w:t>
      </w:r>
      <w:r>
        <w:t xml:space="preserve">care este descris ca o </w:t>
      </w:r>
      <w:r>
        <w:t xml:space="preserve">„</w:t>
      </w:r>
      <w:r>
        <w:t xml:space="preserve">ţară</w:t>
      </w:r>
      <w:r>
        <w:t xml:space="preserve"> unde curge </w:t>
      </w:r>
      <w:r>
        <w:t xml:space="preserve">lapte şi miere”</w:t>
      </w:r>
      <w:r>
        <w:t xml:space="preserve"> (Exod 3.8; Deut. 6:3, </w:t>
      </w:r>
      <w:r>
        <w:t xml:space="preserve">etc.)</w:t>
      </w:r>
      <w:r>
        <w:t xml:space="preserve">.</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rPr>
          <w:lang w:eastAsia="en-US" w:bidi="he-IL"/>
        </w:rPr>
      </w:pPr>
      <w:r>
        <w:t xml:space="preserve">Ţara a fost pentru evrei</w:t>
      </w:r>
      <w:r>
        <w:t xml:space="preserve"> un dar divin, dar şi un test al curajului de a fi liber. A fost necesar</w:t>
      </w:r>
      <w:r>
        <w:t xml:space="preserve"> </w:t>
      </w:r>
      <w:r>
        <w:t xml:space="preserve"> să se lupte pentru a cuceri ţara, deşi le era promisă, </w:t>
      </w:r>
      <w:r>
        <w:t xml:space="preserve">şi au suferit 40 de ani în pustie, din cauză că nu au avut </w:t>
      </w:r>
      <w:r>
        <w:t xml:space="preserve">de la bun început </w:t>
      </w:r>
      <w:r>
        <w:t xml:space="preserve">îndrăzneala </w:t>
      </w:r>
      <w:r>
        <w:t xml:space="preserve">şi încrederea în Dumnezeu ca îşi cucerească libertatea şi să aducă în </w:t>
      </w:r>
      <w:r>
        <w:t xml:space="preserve">acel teritoriu</w:t>
      </w:r>
      <w:r>
        <w:t xml:space="preserve"> o cultură a dreptăţii şi sfinţeniei (Canaanul era cunoscut pentru depravare şi nedreptate, pentru imoralitate şi cruzime</w:t>
      </w:r>
      <w:r>
        <w:t xml:space="preserve">; cf. Deut. 6</w:t>
      </w:r>
      <w:r>
        <w:t xml:space="preserve">; în</w:t>
      </w:r>
      <w:r>
        <w:t xml:space="preserve"> Geneza 15, Dumnezeu îi apare în viziune lui Avraam şi îi prezintă în linii mari istoria care va urma: „</w:t>
      </w:r>
      <w:r>
        <w:rPr>
          <w:lang w:eastAsia="en-US" w:bidi="he-IL"/>
        </w:rPr>
        <w:t xml:space="preserve">16. În al patrulea neam [de robie în Egipt], ea [naţiunea lui Israel] se va întoarce aici; căci nelegiuirea Amoriţilor nu şi-a atins încă vâ</w:t>
      </w:r>
      <w:r>
        <w:rPr>
          <w:lang w:eastAsia="en-US" w:bidi="he-IL"/>
        </w:rPr>
        <w:t xml:space="preserve">rful</w:t>
      </w:r>
      <w:r>
        <w:rPr>
          <w:lang w:eastAsia="en-US" w:bidi="he-IL"/>
        </w:rPr>
        <w:t xml:space="preserve">”</w:t>
      </w:r>
      <w:r>
        <w:rPr>
          <w:lang w:eastAsia="en-US" w:bidi="he-IL"/>
        </w:rPr>
        <w:t xml:space="preserve">)</w:t>
      </w:r>
      <w:r>
        <w:rPr>
          <w:lang w:eastAsia="en-US" w:bidi="he-IL"/>
        </w:rPr>
        <w:t xml:space="preserve">.</w:t>
      </w:r>
      <w:r>
        <w:rPr>
          <w:lang w:eastAsia="en-US" w:bidi="he-IL"/>
        </w:rPr>
      </w:r>
      <w:r>
        <w:rPr>
          <w:lang w:eastAsia="en-US" w:bidi="he-IL"/>
        </w:rPr>
      </w:r>
    </w:p>
    <w:p>
      <w:pPr>
        <w:pStyle w:val="2227"/>
        <w:pBdr/>
        <w:spacing/>
        <w:ind/>
        <w:rPr/>
      </w:pPr>
      <w:r>
        <w:t xml:space="preserve"> </w:t>
      </w:r>
      <w:r>
        <w:t xml:space="preserve">Pe</w:t>
      </w:r>
      <w:r>
        <w:t xml:space="preserve">ntru evrei</w:t>
      </w:r>
      <w:r>
        <w:t xml:space="preserve"> ţara nu reprezenta doar un teritoriu, ci un teritoriu cu mandat divin. </w:t>
      </w:r>
      <w:r>
        <w:t xml:space="preserve">Mai mult, conform teologiei Vechiului Testament era o ţară barometru al stării spirituale a locuitorilor ei. Moise spune explicit, în Deuteronom 11:10-17, </w:t>
      </w:r>
      <w:r/>
    </w:p>
    <w:p>
      <w:pPr>
        <w:pStyle w:val="2227"/>
        <w:pBdr/>
        <w:spacing/>
        <w:ind/>
        <w:rPr/>
      </w:pPr>
      <w:r/>
      <w:r/>
    </w:p>
    <w:p>
      <w:pPr>
        <w:pStyle w:val="2316"/>
        <w:pBdr/>
        <w:spacing/>
        <w:ind/>
        <w:rPr>
          <w:lang w:eastAsia="en-US" w:bidi="he-IL"/>
        </w:rPr>
      </w:pPr>
      <w:r>
        <w:rPr>
          <w:lang w:eastAsia="en-US" w:bidi="he-IL"/>
        </w:rPr>
        <w:t xml:space="preserve">10. Căci ţara în stăpânirea căreia vei intra, nu este ca ţara Egiptului, din care aţi ieşit, unde îţi aruncai sămânţa în ogoare şi le udai cu piciorul ca pe o grădină de zarzavat.</w:t>
      </w:r>
      <w:r>
        <w:rPr>
          <w:lang w:eastAsia="en-US" w:bidi="he-IL"/>
        </w:rPr>
      </w:r>
    </w:p>
    <w:p>
      <w:pPr>
        <w:pStyle w:val="2316"/>
        <w:pBdr/>
        <w:spacing/>
        <w:ind/>
        <w:rPr>
          <w:lang w:eastAsia="en-US" w:bidi="he-IL"/>
        </w:rPr>
      </w:pPr>
      <w:r>
        <w:rPr>
          <w:lang w:eastAsia="en-US" w:bidi="he-IL"/>
        </w:rPr>
        <w:t xml:space="preserve">11. ţara pe care o veţi stăpâni este o ţară cu munţi şi văi, care se adapă din ploaia cerului;</w:t>
      </w:r>
      <w:r>
        <w:rPr>
          <w:lang w:eastAsia="en-US" w:bidi="he-IL"/>
        </w:rPr>
      </w:r>
    </w:p>
    <w:p>
      <w:pPr>
        <w:pStyle w:val="2316"/>
        <w:pBdr/>
        <w:spacing/>
        <w:ind/>
        <w:rPr>
          <w:lang w:eastAsia="en-US" w:bidi="he-IL"/>
        </w:rPr>
      </w:pPr>
      <w:r>
        <w:rPr>
          <w:lang w:eastAsia="en-US" w:bidi="he-IL"/>
        </w:rPr>
        <w:t xml:space="preserve">12. este o ţară de care îngrijeşte Domnul Dumnezeul tău, şi asupra căreia Domnul, Dumnezeul tău, are neîncetat ochii de la începutul până la sfârşitul anului.</w:t>
      </w:r>
      <w:r>
        <w:rPr>
          <w:lang w:eastAsia="en-US" w:bidi="he-IL"/>
        </w:rPr>
      </w:r>
    </w:p>
    <w:p>
      <w:pPr>
        <w:pStyle w:val="2316"/>
        <w:pBdr/>
        <w:spacing/>
        <w:ind/>
        <w:rPr>
          <w:lang w:eastAsia="en-US" w:bidi="he-IL"/>
        </w:rPr>
      </w:pPr>
      <w:r>
        <w:rPr>
          <w:lang w:eastAsia="en-US" w:bidi="he-IL"/>
        </w:rPr>
        <w:t xml:space="preserve">13. Dacă veţi asculta de poruncile mele pe care vi le dau astăzi, dacă veţi iubi pe Domnul, Dumnezeul vostru, şi dacă-I veţi sluji din toată inima voastră şi din tot sufletul vostru,</w:t>
      </w:r>
      <w:r>
        <w:rPr>
          <w:lang w:eastAsia="en-US" w:bidi="he-IL"/>
        </w:rPr>
      </w:r>
    </w:p>
    <w:p>
      <w:pPr>
        <w:pStyle w:val="2316"/>
        <w:pBdr/>
        <w:spacing/>
        <w:ind/>
        <w:rPr>
          <w:lang w:eastAsia="en-US" w:bidi="he-IL"/>
        </w:rPr>
      </w:pPr>
      <w:r>
        <w:rPr>
          <w:lang w:eastAsia="en-US" w:bidi="he-IL"/>
        </w:rPr>
        <w:t xml:space="preserve">14. el va da ţării voastre ploaie la vreme, ploaie timpurie şi ploaie târzie, şi-ţi vei strânge grâul, mustul şi untdelemnul;</w:t>
      </w:r>
      <w:r>
        <w:rPr>
          <w:lang w:eastAsia="en-US" w:bidi="he-IL"/>
        </w:rPr>
      </w:r>
    </w:p>
    <w:p>
      <w:pPr>
        <w:pStyle w:val="2316"/>
        <w:pBdr/>
        <w:spacing/>
        <w:ind/>
        <w:rPr>
          <w:lang w:eastAsia="en-US" w:bidi="he-IL"/>
        </w:rPr>
      </w:pPr>
      <w:r>
        <w:rPr>
          <w:lang w:eastAsia="en-US" w:bidi="he-IL"/>
        </w:rPr>
        <w:t xml:space="preserve">15. de asemenea va da iarbă în câmpiile tale pentru vite şi vei mânca şi te vei sătura.</w:t>
      </w:r>
      <w:r>
        <w:rPr>
          <w:lang w:eastAsia="en-US" w:bidi="he-IL"/>
        </w:rPr>
      </w:r>
    </w:p>
    <w:p>
      <w:pPr>
        <w:pStyle w:val="2316"/>
        <w:pBdr/>
        <w:spacing/>
        <w:ind/>
        <w:rPr>
          <w:lang w:eastAsia="en-US" w:bidi="he-IL"/>
        </w:rPr>
      </w:pPr>
      <w:r>
        <w:rPr>
          <w:lang w:eastAsia="en-US" w:bidi="he-IL"/>
        </w:rPr>
        <w:t xml:space="preserve">16. Vedeţi să nu vi se amăgească inima, şi să vă abateţi, ca să slujiţi altor dumnezei şi să vă închinaţi înaintea lor.</w:t>
      </w:r>
      <w:r>
        <w:rPr>
          <w:lang w:eastAsia="en-US" w:bidi="he-IL"/>
        </w:rPr>
      </w:r>
    </w:p>
    <w:p>
      <w:pPr>
        <w:pStyle w:val="2316"/>
        <w:pBdr/>
        <w:spacing/>
        <w:ind/>
        <w:rPr>
          <w:lang w:eastAsia="en-US" w:bidi="he-IL"/>
        </w:rPr>
      </w:pPr>
      <w:r>
        <w:rPr>
          <w:lang w:eastAsia="en-US" w:bidi="he-IL"/>
        </w:rPr>
        <w:t xml:space="preserve">17. Căci atunci Domnul S-ar aprinde de mânie împotriva voastră, ar închide cerurile, şi n-ar mai fi ploaie; pământul nu şi-ar mai da roadele, şi aţi pieri curând din ţara aceea bună pe care v-o dă Domnul (BC).</w:t>
      </w:r>
      <w:r>
        <w:rPr>
          <w:lang w:eastAsia="en-US" w:bidi="he-IL"/>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Times New Roman" w:hAnsi="Times New Roman"/>
          <w:lang w:eastAsia="en-US" w:bidi="he-IL"/>
        </w:rPr>
      </w:pPr>
      <w:r>
        <w:rPr>
          <w:rFonts w:ascii="Times New Roman" w:hAnsi="Times New Roman"/>
          <w:lang w:eastAsia="en-US" w:bidi="he-IL"/>
        </w:rPr>
      </w:r>
      <w:r>
        <w:rPr>
          <w:rFonts w:ascii="Times New Roman" w:hAnsi="Times New Roman"/>
          <w:lang w:eastAsia="en-US" w:bidi="he-IL"/>
        </w:rPr>
      </w:r>
    </w:p>
    <w:p>
      <w:pPr>
        <w:pStyle w:val="2227"/>
        <w:pBdr/>
        <w:spacing/>
        <w:ind/>
        <w:rPr>
          <w:lang w:eastAsia="en-US" w:bidi="he-IL"/>
        </w:rPr>
      </w:pPr>
      <w:r>
        <w:t xml:space="preserve">Argumentul pentru o viaţă sfântă, aşadar, este bazat nu numai pe atractivitatea morală a dreptăţii, dar şi pe faptul ca Dumnezeu face teologia revelantă chiar în meteorologia ţării, şi în fertilitatea ei.</w:t>
      </w:r>
      <w:r>
        <w:t xml:space="preserve"> Tocmai de aceea se străduiau diversele grupări politice, cum erau fariseii şi esenienii, </w:t>
      </w:r>
      <w:r>
        <w:t xml:space="preserve">în timpurile Noului Testament, </w:t>
      </w:r>
      <w:r>
        <w:t xml:space="preserve">să se asigure că au nivelul cerut de sfinţenie, </w:t>
      </w:r>
      <w:r>
        <w:t xml:space="preserve">ca să vină Mesia</w:t>
      </w:r>
      <w:r>
        <w:t xml:space="preserve">, eliberatorul,</w:t>
      </w:r>
      <w:r>
        <w:t xml:space="preserve"> şi </w:t>
      </w:r>
      <w:r>
        <w:t xml:space="preserve">ca să fie liberi şi </w:t>
      </w:r>
      <w:r>
        <w:t xml:space="preserve">prosperi, ca răsplată. </w:t>
      </w:r>
      <w:r>
        <w:t xml:space="preserve">Ţara nu este</w:t>
      </w:r>
      <w:r>
        <w:t xml:space="preserve">,</w:t>
      </w:r>
      <w:r>
        <w:t xml:space="preserve"> totuşi</w:t>
      </w:r>
      <w:r>
        <w:t xml:space="preserve">,</w:t>
      </w:r>
      <w:r>
        <w:t xml:space="preserve"> idealizată în extrem. </w:t>
      </w:r>
      <w:r>
        <w:t xml:space="preserve">În momentul exilului Babilonian, prizonierii de război primesc </w:t>
      </w:r>
      <w:r>
        <w:t xml:space="preserve">de la Dumnezeu, prin Ieremia, îndemnul să-şi investească vieţile acolo, să zidească case, să îşi crească familiile şi să „urmărească </w:t>
      </w:r>
      <w:r>
        <w:rPr>
          <w:lang w:eastAsia="en-US" w:bidi="he-IL"/>
        </w:rPr>
        <w:t xml:space="preserve">binele cetăţii”, în care vor fi prizonieri de război şi exilaţi, pentru că „fericirea voastră atîrnă de fericirea ei!” (Ieremia 29:5-8).</w:t>
      </w:r>
      <w:r>
        <w:rPr>
          <w:lang w:eastAsia="en-US" w:bidi="he-IL"/>
        </w:rPr>
      </w:r>
    </w:p>
    <w:p>
      <w:pPr>
        <w:pStyle w:val="2227"/>
        <w:pBdr/>
        <w:spacing/>
        <w:ind/>
        <w:rPr/>
      </w:pPr>
      <w:r>
        <w:rPr>
          <w:b/>
          <w:bCs/>
        </w:rPr>
        <w:t xml:space="preserve">Ierusalimul,</w:t>
      </w:r>
      <w:r>
        <w:t xml:space="preserve"> în mod deosebit</w:t>
      </w:r>
      <w:r>
        <w:t xml:space="preserve">, avea un loc central în seria simbolurilor mesianice.</w:t>
      </w:r>
      <w:r>
        <w:t xml:space="preserve"> Istoria lui iudai</w:t>
      </w:r>
      <w:r>
        <w:t xml:space="preserve">că începe odată cu cucerirea fortăreţei</w:t>
      </w:r>
      <w:r>
        <w:t xml:space="preserve"> de către David. </w:t>
      </w:r>
      <w:r>
        <w:t xml:space="preserve">Fiind zidit pe o creastă, pe un munte local, Ierusalimul oferea o poziţie ideală pentru o fortăreaţa şi, având apă, era un loc i</w:t>
      </w:r>
      <w:r>
        <w:t xml:space="preserve">deal pentru locuit, de asemeni (1 Cronici 11:4-6; 2 Samuel 5:7-9). </w:t>
      </w:r>
      <w:r>
        <w:t xml:space="preserve">De la zidurile Ierusalimului, până în vale, la Marea Moartă,</w:t>
      </w:r>
      <w:r>
        <w:t xml:space="preserve"> este aproape 1000 m diferenţă de altitudine, peisajul a fost admirat întotdeauna. </w:t>
      </w:r>
      <w:r>
        <w:t xml:space="preserve">Sionul, sau fortăreaţa Sionului, a devenit sinonim, în limbaj poetic, cu Ierusalimul (cf. Psalmi).</w:t>
      </w:r>
      <w:r/>
    </w:p>
    <w:p>
      <w:pPr>
        <w:pStyle w:val="2227"/>
        <w:pBdr/>
        <w:spacing/>
        <w:ind/>
        <w:rPr/>
      </w:pPr>
      <w:r>
        <w:t xml:space="preserve">Ca cetate, </w:t>
      </w:r>
      <w:r>
        <w:t xml:space="preserve">Ierusalimul avea câteva platforme pe care se puteau construi fortăreţe redu</w:t>
      </w:r>
      <w:r>
        <w:t xml:space="preserve">tabile: </w:t>
      </w:r>
      <w:r>
        <w:t xml:space="preserve">Sionul, </w:t>
      </w:r>
      <w:r>
        <w:t xml:space="preserve">platforma Templului (muntele Templului), platforma palatului lui Irod. </w:t>
      </w:r>
      <w:r>
        <w:t xml:space="preserve">Î</w:t>
      </w:r>
      <w:r>
        <w:t xml:space="preserve">ncepând</w:t>
      </w:r>
      <w:r>
        <w:t xml:space="preserve"> cu regii David şi Solomon, faima cetăţii a crescut foarte mult. </w:t>
      </w:r>
      <w:r>
        <w:t xml:space="preserve">Templul lui Solomon a fost privit ca una din cele 7 minuni ale lumii. </w:t>
      </w:r>
      <w:r>
        <w:t xml:space="preserve">Mesia trebuia să devină rege la Ierusalim. În profeţii biblici, Ierusalimul devine chiar o capitală mondială (şi Apocalipsa are acest punct de vedere, în multe texte, iar în final, se vorbeşte despre </w:t>
      </w:r>
      <w:r>
        <w:t xml:space="preserve">Ierusalimul ceresc, un simbol al oraşului ideal unde Dumnezeu locuieşte – sau îşi face prezenţa nemijlocită, împreună cu oamenii</w:t>
      </w:r>
      <w:r>
        <w:t xml:space="preserve">, Apoc. 21-22</w:t>
      </w:r>
      <w:r>
        <w:t xml:space="preserve">). </w:t>
      </w:r>
      <w:r/>
    </w:p>
    <w:p>
      <w:pPr>
        <w:pStyle w:val="2227"/>
        <w:pBdr/>
        <w:spacing/>
        <w:ind/>
        <w:rPr/>
      </w:pPr>
      <w:r>
        <w:t xml:space="preserve"> </w:t>
      </w:r>
      <w:r>
        <w:t xml:space="preserve">Datorită răs</w:t>
      </w:r>
      <w:r>
        <w:t xml:space="preserve">pândirii masive a evreilor în bazinul mării Mediterane (Alexandria, Efes, Roma), s-a ajuns ca un număr foarte mare de evrei să locuiască în afara Palestinei şi, în timp, chiar să nu mai ştie a vorbi ebraica. De aceea, Vechiul Testament a fost tradus în lim</w:t>
      </w:r>
      <w:r>
        <w:t xml:space="preserve">bile majore (aramaică, greacă), iar viaţa culturală şi religioasă a comunităţilor evreieşti s-a dezvoltat în sinagogi.</w:t>
      </w:r>
      <w:r>
        <w:rPr>
          <w:rStyle w:val="2248"/>
        </w:rPr>
        <w:footnoteReference w:id="58"/>
      </w: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Din cauza acestor comunităţi numeroase răspândite peste tot în </w:t>
      </w:r>
      <w:r>
        <w:rPr>
          <w:i/>
          <w:iCs/>
          <w:lang w:eastAsia="en-US" w:bidi="he-IL"/>
        </w:rPr>
        <w:t xml:space="preserve">oikoumene</w:t>
      </w:r>
      <w:r>
        <w:rPr>
          <w:i/>
          <w:iCs/>
          <w:lang w:eastAsia="en-US" w:bidi="he-IL"/>
        </w:rPr>
        <w:t xml:space="preserve">,</w:t>
      </w:r>
      <w:r>
        <w:rPr>
          <w:lang w:eastAsia="en-US" w:bidi="he-IL"/>
        </w:rPr>
        <w:t xml:space="preserve"> precum şi din cauza culturii răspândite în jur, Ierusalimul era considerat de evrei o capitală cu nimic mai prejos de Atena, Alexandria, Roma</w:t>
      </w:r>
      <w:r>
        <w:rPr>
          <w:lang w:eastAsia="en-US" w:bidi="he-IL"/>
        </w:rPr>
        <w:t xml:space="preserve">. Iată, de exemplu ce gândeau conducătorii evrei din primul secol</w:t>
      </w:r>
      <w:r>
        <w:rPr>
          <w:lang w:eastAsia="en-US" w:bidi="he-IL"/>
        </w:rPr>
        <w:t xml:space="preserve">:</w:t>
      </w:r>
      <w:r>
        <w:rPr>
          <w:lang w:eastAsia="en-US" w:bidi="he-IL"/>
        </w:rPr>
      </w:r>
      <w:r>
        <w:rPr>
          <w:lang w:eastAsia="en-US" w:bidi="he-IL"/>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Times New Roman" w:hAnsi="Times New Roman"/>
          <w:lang w:eastAsia="en-US" w:bidi="he-IL"/>
        </w:rPr>
      </w:pPr>
      <w:r>
        <w:rPr>
          <w:rFonts w:ascii="Times New Roman" w:hAnsi="Times New Roman"/>
          <w:lang w:eastAsia="en-US" w:bidi="he-IL"/>
        </w:rPr>
      </w:r>
      <w:r>
        <w:rPr>
          <w:rFonts w:ascii="Times New Roman" w:hAnsi="Times New Roman"/>
          <w:lang w:eastAsia="en-US" w:bidi="he-IL"/>
        </w:rPr>
      </w:r>
    </w:p>
    <w:p>
      <w:pPr>
        <w:pStyle w:val="2316"/>
        <w:pBdr/>
        <w:spacing/>
        <w:ind/>
        <w:rPr>
          <w:lang w:eastAsia="en-US" w:bidi="he-IL"/>
        </w:rPr>
      </w:pPr>
      <w:r>
        <w:rPr>
          <w:lang w:eastAsia="en-US" w:bidi="he-IL"/>
        </w:rPr>
        <w:t xml:space="preserve">Trebuie acum să spun despre oraşul cel sfânt, ceea ce trebuie spus. Acest oraş, zic, este patria mea, capitala nu doar a teritoriului iudeu ci şi a multor altora, pentru că a trimis colonişti, de-a lungul timpului, în ţările vecine...</w:t>
      </w:r>
      <w:r>
        <w:rPr>
          <w:vertAlign w:val="superscript"/>
          <w:lang w:eastAsia="en-US" w:bidi="he-IL"/>
        </w:rPr>
        <w:footnoteReference w:id="59"/>
      </w:r>
      <w:r>
        <w:rPr>
          <w:lang w:eastAsia="en-US" w:bidi="he-IL"/>
        </w:rPr>
        <w:t xml:space="preserve"> </w:t>
      </w:r>
      <w:r>
        <w:rPr>
          <w:lang w:eastAsia="en-US" w:bidi="he-IL"/>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Times New Roman" w:hAnsi="Times New Roman"/>
          <w:lang w:eastAsia="en-US" w:bidi="he-IL"/>
        </w:rPr>
      </w:pPr>
      <w:r>
        <w:rPr>
          <w:rFonts w:ascii="Times New Roman" w:hAnsi="Times New Roman"/>
          <w:lang w:eastAsia="en-US" w:bidi="he-IL"/>
        </w:rPr>
      </w:r>
      <w:r>
        <w:rPr>
          <w:rFonts w:ascii="Times New Roman" w:hAnsi="Times New Roman"/>
          <w:lang w:eastAsia="en-US" w:bidi="he-IL"/>
        </w:rPr>
      </w:r>
    </w:p>
    <w:p>
      <w:pPr>
        <w:pStyle w:val="2227"/>
        <w:pBdr/>
        <w:spacing/>
        <w:ind/>
        <w:rPr>
          <w:lang w:eastAsia="en-US" w:bidi="he-IL"/>
        </w:rPr>
      </w:pPr>
      <w:r>
        <w:rPr>
          <w:lang w:eastAsia="en-US" w:bidi="he-IL"/>
        </w:rPr>
        <w:t xml:space="preserve">O asemenea părere înaltă era încurajată şi de un număr important de</w:t>
      </w:r>
      <w:r>
        <w:rPr>
          <w:lang w:eastAsia="en-US" w:bidi="he-IL"/>
        </w:rPr>
        <w:t xml:space="preserve"> text</w:t>
      </w:r>
      <w:r>
        <w:rPr>
          <w:lang w:eastAsia="en-US" w:bidi="he-IL"/>
        </w:rPr>
        <w:t xml:space="preserve">e din Vechiul Testament</w:t>
      </w:r>
      <w:r>
        <w:rPr>
          <w:lang w:eastAsia="en-US" w:bidi="he-IL"/>
        </w:rPr>
        <w:t xml:space="preserve"> (LXX).</w:t>
      </w:r>
      <w:r>
        <w:rPr>
          <w:lang w:eastAsia="en-US" w:bidi="he-IL"/>
        </w:rPr>
        <w:t xml:space="preserve"> De exemplu, </w:t>
      </w:r>
      <w:r>
        <w:rPr>
          <w:lang w:eastAsia="en-US" w:bidi="he-IL"/>
        </w:rPr>
        <w:t xml:space="preserve">Isaia 1:26: </w:t>
      </w:r>
      <w:r>
        <w:rPr>
          <w:lang w:eastAsia="en-US" w:bidi="he-IL"/>
        </w:rPr>
      </w:r>
    </w:p>
    <w:p>
      <w:pPr>
        <w:pStyle w:val="2227"/>
        <w:pBdr/>
        <w:spacing/>
        <w:ind/>
        <w:rPr>
          <w:lang w:eastAsia="en-US" w:bidi="he-IL"/>
        </w:rPr>
      </w:pPr>
      <w:r>
        <w:rPr>
          <w:lang w:eastAsia="en-US" w:bidi="he-IL"/>
        </w:rPr>
      </w:r>
      <w:r>
        <w:rPr>
          <w:lang w:eastAsia="en-US" w:bidi="he-IL"/>
        </w:rPr>
      </w:r>
    </w:p>
    <w:p>
      <w:pPr>
        <w:pStyle w:val="2316"/>
        <w:pBdr/>
        <w:spacing/>
        <w:ind/>
        <w:rPr>
          <w:lang w:eastAsia="en-US" w:bidi="he-IL"/>
        </w:rPr>
      </w:pPr>
      <w:r>
        <w:rPr>
          <w:lang w:eastAsia="en-US" w:bidi="he-IL"/>
        </w:rPr>
        <w:t xml:space="preserve">Voi face iarăşi pe judecătorii tăi ca odinioară, şi pe sfetnicii tăi ca la început. După aceea, vei fi numită cetatea neprihănită, cetatea credincioasă.</w:t>
      </w:r>
      <w:r>
        <w:rPr>
          <w:vertAlign w:val="superscript"/>
          <w:lang w:eastAsia="en-US" w:bidi="he-IL"/>
        </w:rPr>
        <w:footnoteReference w:id="60"/>
      </w:r>
      <w:r>
        <w:rPr>
          <w:lang w:eastAsia="en-US" w:bidi="he-IL"/>
        </w:rPr>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Întregul spaţiu elenist încuraja o astfel de afirmare a  importanţei Ierusalimului, pentru că, şi</w:t>
      </w:r>
      <w:r>
        <w:rPr>
          <w:lang w:eastAsia="en-US" w:bidi="he-IL"/>
        </w:rPr>
        <w:t xml:space="preserve"> grecii, de exemplu, considerau </w:t>
      </w:r>
      <w:r>
        <w:rPr>
          <w:lang w:eastAsia="en-US" w:bidi="he-IL"/>
        </w:rPr>
        <w:t xml:space="preserve">că </w:t>
      </w:r>
      <w:r>
        <w:rPr>
          <w:lang w:eastAsia="en-US" w:bidi="he-IL"/>
        </w:rPr>
        <w:t xml:space="preserve">tem</w:t>
      </w:r>
      <w:r>
        <w:rPr>
          <w:lang w:eastAsia="en-US" w:bidi="he-IL"/>
        </w:rPr>
        <w:t xml:space="preserve">plul din Delfi</w:t>
      </w:r>
      <w:r>
        <w:rPr>
          <w:lang w:eastAsia="en-US" w:bidi="he-IL"/>
        </w:rPr>
        <w:t xml:space="preserve">, faimos pentru profeţiile sale,</w:t>
      </w:r>
      <w:r>
        <w:rPr>
          <w:lang w:eastAsia="en-US" w:bidi="he-IL"/>
        </w:rPr>
        <w:t xml:space="preserve"> </w:t>
      </w:r>
      <w:r>
        <w:rPr>
          <w:lang w:eastAsia="en-US" w:bidi="he-IL"/>
        </w:rPr>
        <w:t xml:space="preserve">era aşezat</w:t>
      </w:r>
      <w:r>
        <w:rPr>
          <w:lang w:eastAsia="en-US" w:bidi="he-IL"/>
        </w:rPr>
        <w:t xml:space="preserve"> „în mijlocul pământului”</w:t>
      </w:r>
      <w:r>
        <w:rPr>
          <w:lang w:eastAsia="en-US" w:bidi="he-IL"/>
        </w:rPr>
        <w:t xml:space="preserve">. La fel credeau şi iudeii despre templul din Ierusalim, ca loc central al închinării, a cărui restaurare era un simbol al epocii mesianice.</w:t>
      </w:r>
      <w:r>
        <w:rPr>
          <w:vertAlign w:val="superscript"/>
          <w:lang w:eastAsia="en-US" w:bidi="he-IL"/>
        </w:rPr>
        <w:footnoteReference w:id="61"/>
      </w:r>
      <w:r>
        <w:rPr>
          <w:lang w:eastAsia="en-US" w:bidi="he-IL"/>
        </w:rPr>
      </w:r>
      <w:r>
        <w:rPr>
          <w:lang w:eastAsia="en-US" w:bidi="he-IL"/>
        </w:rPr>
      </w:r>
    </w:p>
    <w:p>
      <w:pPr>
        <w:pStyle w:val="2227"/>
        <w:pBdr/>
        <w:spacing/>
        <w:ind/>
        <w:rPr>
          <w:lang w:eastAsia="en-US" w:bidi="he-IL"/>
        </w:rPr>
      </w:pPr>
      <w:r>
        <w:rPr>
          <w:b/>
          <w:bCs/>
          <w:lang w:eastAsia="en-US" w:bidi="he-IL"/>
        </w:rPr>
        <w:t xml:space="preserve">Templul</w:t>
      </w:r>
      <w:r>
        <w:rPr>
          <w:lang w:eastAsia="en-US" w:bidi="he-IL"/>
        </w:rPr>
        <w:t xml:space="preserve"> din Ierusalim era una din paradigmele mesianice majore, de asemeni. </w:t>
      </w:r>
      <w:r>
        <w:rPr>
          <w:lang w:eastAsia="en-US" w:bidi="he-IL"/>
        </w:rPr>
        <w:t xml:space="preserve">Nu fusese ideea divinităţii de a recomanda construcţia unui templu, ci a fost i</w:t>
      </w:r>
      <w:r>
        <w:rPr>
          <w:lang w:eastAsia="en-US" w:bidi="he-IL"/>
        </w:rPr>
        <w:t xml:space="preserve">deea lui David şi a lui Solomon (pe muntele Sinai, Moise primise schema unui cort al închinării, care reflecta un Templu ceresc veşnic, cf. şi Epistola către evrei; cu alte cuvinte, Templul veşn</w:t>
      </w:r>
      <w:r>
        <w:rPr>
          <w:lang w:eastAsia="en-US" w:bidi="he-IL"/>
        </w:rPr>
        <w:t xml:space="preserve">ic, din ceruri, era important, nu cel de pe pământ). Ideea însă prinsese foarte bine deoarece, ca şi în cazul chivotului cu tablele legii, poporul începea să vadă aceste simboluri ca semne şi mărturii ale prezenţei lui Dumnezeu în mijlocul poporului ales. </w:t>
      </w:r>
      <w:r>
        <w:rPr>
          <w:lang w:eastAsia="en-US" w:bidi="he-IL"/>
        </w:rPr>
      </w:r>
      <w:r>
        <w:rPr>
          <w:lang w:eastAsia="en-US" w:bidi="he-IL"/>
        </w:rPr>
      </w:r>
    </w:p>
    <w:p>
      <w:pPr>
        <w:pStyle w:val="2227"/>
        <w:pBdr/>
        <w:spacing/>
        <w:ind/>
        <w:rPr>
          <w:lang w:eastAsia="en-US" w:bidi="he-IL"/>
        </w:rPr>
      </w:pPr>
      <w:r>
        <w:rPr>
          <w:lang w:eastAsia="en-US" w:bidi="he-IL"/>
        </w:rPr>
        <w:t xml:space="preserve">Solomon şi-a dat silinţa să confere o semnificaţie sacră acestui Templu, acceptată doar în parte de Dumnezeu, şi condiţionată de ascultarea şi credincioşia poporului</w:t>
      </w:r>
      <w:r>
        <w:rPr>
          <w:lang w:eastAsia="en-US" w:bidi="he-IL"/>
        </w:rPr>
        <w:t xml:space="preserve"> (1Regi 8:1-61; </w:t>
      </w:r>
      <w:r>
        <w:rPr>
          <w:lang w:eastAsia="en-US" w:bidi="he-IL"/>
        </w:rPr>
        <w:t xml:space="preserve">9:2-9)</w:t>
      </w:r>
      <w:r>
        <w:rPr>
          <w:lang w:eastAsia="en-US" w:bidi="he-IL"/>
        </w:rPr>
        <w:t xml:space="preserve">. La un moment dat, </w:t>
      </w:r>
      <w:r>
        <w:rPr>
          <w:lang w:eastAsia="en-US" w:bidi="he-IL"/>
        </w:rPr>
        <w:t xml:space="preserve">înainte de plecare în Exil, profetul Ezechiel vede slava Domnului părăsind Templul, ca semn al abandonării şi judecăţii</w:t>
      </w:r>
      <w:r>
        <w:rPr>
          <w:lang w:eastAsia="en-US" w:bidi="he-IL"/>
        </w:rPr>
        <w:t xml:space="preserve"> (Ezechiel </w:t>
      </w:r>
      <w:r>
        <w:rPr>
          <w:lang w:eastAsia="en-US" w:bidi="he-IL"/>
        </w:rPr>
        <w:t xml:space="preserve">10:18; 11:22-23).</w:t>
      </w:r>
      <w:r>
        <w:rPr>
          <w:lang w:eastAsia="en-US" w:bidi="he-IL"/>
        </w:rPr>
      </w:r>
      <w:r>
        <w:rPr>
          <w:lang w:eastAsia="en-US" w:bidi="he-IL"/>
        </w:rPr>
      </w:r>
    </w:p>
    <w:p>
      <w:pPr>
        <w:pStyle w:val="2227"/>
        <w:pBdr/>
        <w:spacing/>
        <w:ind/>
        <w:rPr>
          <w:lang w:eastAsia="en-US" w:bidi="he-IL"/>
        </w:rPr>
      </w:pPr>
      <w:r>
        <w:rPr>
          <w:lang w:eastAsia="en-US" w:bidi="he-IL"/>
        </w:rPr>
        <w:t xml:space="preserve">E adevărat, că în caz de neascultare, Dumnezeu pro</w:t>
      </w:r>
      <w:r>
        <w:rPr>
          <w:lang w:eastAsia="en-US" w:bidi="he-IL"/>
        </w:rPr>
      </w:r>
      <w:r>
        <w:rPr>
          <w:lang w:eastAsia="en-US" w:bidi="he-IL"/>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line="240" w:lineRule="auto"/>
        <w:ind w:firstLine="0"/>
        <w:jc w:val="left"/>
        <w:rPr>
          <w:rFonts w:ascii="Times New Roman" w:hAnsi="Times New Roman"/>
          <w:lang w:eastAsia="en-US" w:bidi="he-IL"/>
        </w:rPr>
      </w:pPr>
      <w:r>
        <w:rPr>
          <w:rFonts w:ascii="Times New Roman" w:hAnsi="Times New Roman"/>
          <w:lang w:eastAsia="en-US" w:bidi="he-IL"/>
        </w:rPr>
      </w:r>
      <w:r>
        <w:rPr>
          <w:rFonts w:ascii="Times New Roman" w:hAnsi="Times New Roman"/>
          <w:lang w:eastAsia="en-US" w:bidi="he-IL"/>
        </w:rPr>
      </w:r>
    </w:p>
    <w:p>
      <w:pPr>
        <w:pStyle w:val="2227"/>
        <w:pBdr/>
        <w:spacing/>
        <w:ind/>
        <w:rPr/>
      </w:pPr>
      <w:r/>
      <w:r/>
    </w:p>
    <w:p>
      <w:pPr>
        <w:pStyle w:val="2227"/>
        <w:pBdr/>
        <w:spacing/>
        <w:ind/>
        <w:rPr/>
      </w:pPr>
      <w:r/>
      <w:r/>
    </w:p>
    <w:p>
      <w:pPr>
        <w:pStyle w:val="2227"/>
        <w:pBdr/>
        <w:spacing/>
        <w:ind/>
        <w:rPr/>
      </w:pPr>
      <w:r>
        <w:t xml:space="preserve">Templul din Ierusalim: simbol ceresc, simbolul lui Mesia.</w:t>
      </w:r>
      <w:r/>
    </w:p>
    <w:p>
      <w:pPr>
        <w:pStyle w:val="2227"/>
        <w:pBdr/>
        <w:spacing/>
        <w:ind/>
        <w:rPr/>
      </w:pPr>
      <w:r/>
      <w:r/>
    </w:p>
    <w:p>
      <w:pPr>
        <w:pStyle w:val="2227"/>
        <w:pBdr/>
        <w:spacing/>
        <w:ind/>
        <w:rPr/>
      </w:pPr>
      <w:r>
        <w:t xml:space="preserve">Torah</w:t>
      </w:r>
      <w:r/>
    </w:p>
    <w:p>
      <w:pPr>
        <w:pStyle w:val="2227"/>
        <w:pBdr/>
        <w:spacing/>
        <w:ind/>
        <w:rPr/>
      </w:pPr>
      <w:r>
        <w:t xml:space="preserve">Circumcizia: fertilitatea şi sexualitatea sub control etic divin şi sub binecuvântare divină</w:t>
      </w:r>
      <w:r/>
    </w:p>
    <w:p>
      <w:pPr>
        <w:pStyle w:val="2227"/>
        <w:pBdr/>
        <w:spacing/>
        <w:ind/>
        <w:rPr/>
      </w:pPr>
      <w:r/>
      <w:r/>
    </w:p>
    <w:p>
      <w:pPr>
        <w:pStyle w:val="2227"/>
        <w:pBdr/>
        <w:spacing/>
        <w:ind/>
        <w:rPr/>
      </w:pPr>
      <w:r>
        <w:t xml:space="preserve">Ge-hinnom, valea Gheenei: simbolul judecăţii, al distrugerii</w:t>
      </w:r>
      <w:r/>
    </w:p>
    <w:p>
      <w:pPr>
        <w:pStyle w:val="2227"/>
        <w:pBdr/>
        <w:spacing/>
        <w:ind/>
        <w:rPr/>
      </w:pPr>
      <w:r/>
      <w:r/>
    </w:p>
    <w:p>
      <w:pPr>
        <w:pStyle w:val="2227"/>
        <w:pBdr/>
        <w:spacing/>
        <w:ind/>
        <w:rPr/>
      </w:pPr>
      <w:r>
        <w:t xml:space="preserve">Sanhedrinul: simbolul conducerii; forul conducător, parlamentul</w:t>
      </w:r>
      <w:r/>
    </w:p>
    <w:p>
      <w:pPr>
        <w:pStyle w:val="2227"/>
        <w:pBdr/>
        <w:spacing/>
        <w:ind/>
        <w:rPr/>
      </w:pPr>
      <w:r/>
      <w:r/>
    </w:p>
    <w:p>
      <w:pPr>
        <w:pStyle w:val="2227"/>
        <w:pBdr/>
        <w:spacing/>
        <w:ind/>
        <w:rPr/>
      </w:pPr>
      <w:r/>
      <w:r/>
    </w:p>
    <w:p>
      <w:pPr>
        <w:pStyle w:val="2227"/>
        <w:pBdr/>
        <w:spacing/>
        <w:ind w:firstLine="0"/>
        <w:rPr/>
      </w:pPr>
      <w:r/>
      <w:r/>
    </w:p>
    <w:p>
      <w:pPr>
        <w:pStyle w:val="2230"/>
        <w:pBdr/>
        <w:spacing/>
        <w:ind/>
        <w:rPr>
          <w:lang w:val="ro-RO"/>
        </w:rPr>
      </w:pPr>
      <w:r/>
      <w:bookmarkStart w:id="19" w:name="_Toc252991844"/>
      <w:r>
        <w:rPr>
          <w:lang w:val="ro-RO"/>
        </w:rPr>
        <w:t xml:space="preserve">3.4</w:t>
      </w:r>
      <w:r>
        <w:rPr>
          <w:lang w:val="ro-RO"/>
        </w:rPr>
        <w:t xml:space="preserve"> P</w:t>
      </w:r>
      <w:r>
        <w:rPr>
          <w:lang w:val="ro-RO"/>
        </w:rPr>
        <w:t xml:space="preserve">aralele mesianice greco-romane</w:t>
      </w:r>
      <w:bookmarkEnd w:id="19"/>
      <w:r>
        <w:rPr>
          <w:lang w:val="ro-RO"/>
        </w:rPr>
      </w:r>
      <w:r>
        <w:rPr>
          <w:lang w:val="ro-RO"/>
        </w:rPr>
      </w:r>
    </w:p>
    <w:p>
      <w:pPr>
        <w:pStyle w:val="2227"/>
        <w:pBdr/>
        <w:spacing/>
        <w:ind/>
        <w:rPr/>
      </w:pPr>
      <w:r/>
      <w:r/>
    </w:p>
    <w:p>
      <w:pPr>
        <w:pStyle w:val="2227"/>
        <w:pBdr/>
        <w:spacing/>
        <w:ind w:firstLine="0"/>
        <w:rPr/>
      </w:pPr>
      <w:r>
        <w:t xml:space="preserve">Modelul mesianic al omului providenţial, salvator, nu este însă restrâ</w:t>
      </w:r>
      <w:r>
        <w:t xml:space="preserve">ns la tradiţia iudaică, el putând</w:t>
      </w:r>
      <w:r>
        <w:t xml:space="preserve"> fi întâlnit în forme core</w:t>
      </w:r>
      <w:r>
        <w:t xml:space="preserve">spondente şi în cultura păgână, mai ales sub forma regelui sau eroului de origine divină, destinat unor fapte măreţe, unor victorii fără egal.</w:t>
      </w:r>
      <w:r/>
    </w:p>
    <w:p>
      <w:pPr>
        <w:pStyle w:val="2227"/>
        <w:pBdr/>
        <w:spacing/>
        <w:ind/>
        <w:rPr/>
      </w:pPr>
      <w:r>
        <w:t xml:space="preserve">Astfel, poate fi amintită aici istoria lui Perseus, regel</w:t>
      </w:r>
      <w:r>
        <w:t xml:space="preserve">e născut din Zeus şi Danae, fiica regelui Acrisius din Argos. Perseus este cel ce va tăia capul Meduzei, </w:t>
      </w:r>
      <w:r>
        <w:t xml:space="preserve">a cărei înfăţişare şi privire </w:t>
      </w:r>
      <w:r>
        <w:t xml:space="preserve">putea </w:t>
      </w:r>
      <w:r>
        <w:t xml:space="preserve">transforma</w:t>
      </w:r>
      <w:r>
        <w:t xml:space="preserve"> în piatră, potrivit legendei, orice fiinţă vie.</w:t>
      </w:r>
      <w:r>
        <w:t xml:space="preserve"> Tot el întemeiază, </w:t>
      </w:r>
      <w:r>
        <w:t xml:space="preserve">conform legendelor,</w:t>
      </w:r>
      <w:r>
        <w:t xml:space="preserve"> dinastia regilor perse</w:t>
      </w:r>
      <w:r>
        <w:t xml:space="preserve">izi şi pune temeliile cetăţii Myc</w:t>
      </w:r>
      <w:r>
        <w:t xml:space="preserve">enae</w:t>
      </w:r>
      <w:r>
        <w:rPr>
          <w:rStyle w:val="2248"/>
        </w:rPr>
        <w:footnoteReference w:id="62"/>
      </w:r>
      <w:r>
        <w:t xml:space="preserve">.</w:t>
      </w:r>
      <w:r/>
    </w:p>
    <w:p>
      <w:pPr>
        <w:pStyle w:val="2227"/>
        <w:pBdr/>
        <w:spacing/>
        <w:ind/>
        <w:rPr/>
      </w:pPr>
      <w:r>
        <w:t xml:space="preserve">Heracles (</w:t>
      </w:r>
      <w:r>
        <w:t xml:space="preserve">în traducre </w:t>
      </w:r>
      <w:r>
        <w:t xml:space="preserve">„Glorie Herei”</w:t>
      </w:r>
      <w:r>
        <w:t xml:space="preserve">; lat.</w:t>
      </w:r>
      <w:r>
        <w:t xml:space="preserve"> </w:t>
      </w:r>
      <w:r>
        <w:t xml:space="preserve">Hercule</w:t>
      </w:r>
      <w:r>
        <w:t xml:space="preserve">s</w:t>
      </w:r>
      <w:r>
        <w:t xml:space="preserve">) e</w:t>
      </w:r>
      <w:r>
        <w:t xml:space="preserve">ste un alt erou </w:t>
      </w:r>
      <w:r>
        <w:t xml:space="preserve">reprezentativ </w:t>
      </w:r>
      <w:r>
        <w:t xml:space="preserve">din această categorie. </w:t>
      </w:r>
      <w:r>
        <w:t xml:space="preserve">N</w:t>
      </w:r>
      <w:r>
        <w:t xml:space="preserve">ăscut </w:t>
      </w:r>
      <w:r>
        <w:t xml:space="preserve">din Zeus şi Alcmene</w:t>
      </w:r>
      <w:r>
        <w:t xml:space="preserve">, Heracles este ameninţat curând</w:t>
      </w:r>
      <w:r>
        <w:t xml:space="preserve">, chiar din leagăn, de doi şerpi – trimişi de Hera cea geloasă, dar îi ucide pe amândoi cu mâinil</w:t>
      </w:r>
      <w:r>
        <w:t xml:space="preserve">e goale. Este cunoscut apoi pentru cele 12 de munci eroice pe care a trebuit să le îndeplinească la curtea regeului Eurystheus, ca ispăşire pentru crimele făcute când Hera îi luase minţile, şi, foarte interesant, este cunoscut şi pentru izbăvirea din Hades</w:t>
      </w:r>
      <w:r>
        <w:rPr>
          <w:rStyle w:val="2248"/>
        </w:rPr>
        <w:footnoteReference w:id="63"/>
      </w:r>
      <w:r>
        <w:t xml:space="preserve"> a </w:t>
      </w:r>
      <w:r>
        <w:t xml:space="preserve">lui Theseus</w:t>
      </w:r>
      <w:r>
        <w:t xml:space="preserve"> şi mai târziu, a Alcestei</w:t>
      </w:r>
      <w:r>
        <w:t xml:space="preserve">, soţia regelui Admetus</w:t>
      </w:r>
      <w:r>
        <w:t xml:space="preserve"> </w:t>
      </w:r>
      <w:r>
        <w:t xml:space="preserve">(tot </w:t>
      </w:r>
      <w:r>
        <w:t xml:space="preserve">Heracles </w:t>
      </w:r>
      <w:r>
        <w:t xml:space="preserve">îl ia din locul său, din Hades, pe Cerber, câinele păzitor al Hadesului, </w:t>
      </w:r>
      <w:r>
        <w:t xml:space="preserve">şi îl duce apoi la loc, </w:t>
      </w:r>
      <w:r>
        <w:t xml:space="preserve">arătând</w:t>
      </w:r>
      <w:r>
        <w:t xml:space="preserve">,</w:t>
      </w:r>
      <w:r>
        <w:t xml:space="preserve"> </w:t>
      </w:r>
      <w:r>
        <w:t xml:space="preserve">astfel, </w:t>
      </w:r>
      <w:r>
        <w:t xml:space="preserve">că are putere asupra morţii şi asupra paznicilor ei</w:t>
      </w:r>
      <w:r>
        <w:t xml:space="preserve">)</w:t>
      </w:r>
      <w:r>
        <w:t xml:space="preserve">. </w:t>
      </w:r>
      <w:r>
        <w:t xml:space="preserve">A</w:t>
      </w:r>
      <w:r>
        <w:t xml:space="preserve">ceste trăsături </w:t>
      </w:r>
      <w:r>
        <w:t xml:space="preserve">vor face ca </w:t>
      </w:r>
      <w:r>
        <w:t xml:space="preserve">Heracles</w:t>
      </w:r>
      <w:r>
        <w:t xml:space="preserve"> </w:t>
      </w:r>
      <w:r>
        <w:t xml:space="preserve">să fie reţinut chiar şi de simbolistica creştină, </w:t>
      </w:r>
      <w:r>
        <w:t xml:space="preserve">ca erou </w:t>
      </w:r>
      <w:r>
        <w:t xml:space="preserve">grec </w:t>
      </w:r>
      <w:r>
        <w:t xml:space="preserve">care </w:t>
      </w:r>
      <w:r>
        <w:t xml:space="preserve">poate izbăvi</w:t>
      </w:r>
      <w:r>
        <w:t xml:space="preserve"> oamenii de sub puterea morţii şi, prin aceasta oferea o paralelă antică, mitică, la ceea, de fapt, Isus realizează atunci</w:t>
      </w:r>
      <w:r>
        <w:t xml:space="preserve"> când moare pe cruce şi când învie.</w:t>
      </w:r>
      <w:r>
        <w:rPr>
          <w:rStyle w:val="2248"/>
        </w:rPr>
        <w:footnoteReference w:id="64"/>
      </w:r>
      <w:r/>
    </w:p>
    <w:p>
      <w:pPr>
        <w:pStyle w:val="2227"/>
        <w:pBdr/>
        <w:spacing/>
        <w:ind/>
        <w:rPr/>
      </w:pPr>
      <w:r>
        <w:t xml:space="preserve">În cele din urmă, ca să scape de durerile provocate de haina îmbibată în sângele lui </w:t>
      </w:r>
      <w:r>
        <w:t xml:space="preserve">Nessus, care îi ardea </w:t>
      </w:r>
      <w:r>
        <w:t xml:space="preserve">tot </w:t>
      </w:r>
      <w:r>
        <w:t xml:space="preserve">trupul, Heracles se suie pe un rug pregătit chiar de el, ca să moară, dar</w:t>
      </w:r>
      <w:r>
        <w:t xml:space="preserve"> Zeus îşi trimite vulturul sfânt să </w:t>
      </w:r>
      <w:r>
        <w:t xml:space="preserve">îl ia</w:t>
      </w:r>
      <w:r>
        <w:t xml:space="preserve"> între zei, unde primeşte un </w:t>
      </w:r>
      <w:r>
        <w:t xml:space="preserve">statut divin, </w:t>
      </w:r>
      <w:r>
        <w:t xml:space="preserve">ca răsplată</w:t>
      </w:r>
      <w:r>
        <w:t xml:space="preserve"> pentru cele îndurate pe pământ, ca şi pentru vitejia sa (în ceruri</w:t>
      </w:r>
      <w:r>
        <w:t xml:space="preserve">, el</w:t>
      </w:r>
      <w:r>
        <w:t xml:space="preserve"> primeşte drept soţie pe Hebe, zeiţa tinereţii veşnice).</w:t>
      </w:r>
      <w:r/>
    </w:p>
    <w:p>
      <w:pPr>
        <w:pStyle w:val="2227"/>
        <w:pBdr/>
        <w:spacing/>
        <w:ind/>
        <w:rPr/>
      </w:pPr>
      <w:r>
        <w:t xml:space="preserve">Mulţi regi greci, macedoneni şi romani şi-au pretins descendenţa din urmaşii lui Heracles şi, pe ansamblu, el a rămas modelul eroului masculin care </w:t>
      </w:r>
      <w:r>
        <w:t xml:space="preserve">este în stare să învingă forţele nefaste ale naturii şi poate </w:t>
      </w:r>
      <w:r>
        <w:t xml:space="preserve">face lumea un loc mai sigur pentru oameni</w:t>
      </w:r>
      <w:r>
        <w:t xml:space="preserve">, pentru viaţă; tot aşa, în c</w:t>
      </w:r>
      <w:r>
        <w:t xml:space="preserve">iuda defectelor</w:t>
      </w:r>
      <w:r>
        <w:t xml:space="preserve"> sale</w:t>
      </w:r>
      <w:r>
        <w:t xml:space="preserve">, </w:t>
      </w:r>
      <w:r>
        <w:t xml:space="preserve">el era venerat pentru că putea învinge chiar moartea, precum şi pentru faptul că</w:t>
      </w:r>
      <w:r>
        <w:t xml:space="preserve"> el însuşi </w:t>
      </w:r>
      <w:r>
        <w:t xml:space="preserve">a fost, în final, primit printre zei</w:t>
      </w:r>
      <w:r>
        <w:t xml:space="preserve">.</w:t>
      </w:r>
      <w:r>
        <w:t xml:space="preserve"> </w:t>
      </w: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2943009" cy="2047291"/>
                <wp:effectExtent l="0" t="0" r="0" b="0"/>
                <wp:docPr id="8"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6">
                          <a:extLst>
                            <a:ext uri="{96DAC541-7B7A-43D3-8B79-37D633B846F1}">
                              <asvg:svgBlip xmlns:asvg="http://schemas.microsoft.com/office/drawing/2016/SVG/main" r:embed="rId27"/>
                            </a:ext>
                          </a:extLst>
                        </a:blip>
                        <a:stretch/>
                      </pic:blipFill>
                      <pic:spPr bwMode="auto">
                        <a:xfrm>
                          <a:off x="0" y="0"/>
                          <a:ext cx="2943009" cy="204729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73pt;height:161.20pt;mso-wrap-distance-left:0.00pt;mso-wrap-distance-top:0.00pt;mso-wrap-distance-right:0.00pt;mso-wrap-distance-bottom:0.00pt;z-index:1;" stroked="false">
                <v:imagedata r:id="rId26" o:title=""/>
                <o:lock v:ext="edit" rotation="t"/>
              </v:shape>
            </w:pict>
          </mc:Fallback>
        </mc:AlternateContent>
      </w:r>
      <w:r/>
    </w:p>
    <w:p>
      <w:pPr>
        <w:pStyle w:val="2227"/>
        <w:pBdr/>
        <w:spacing/>
        <w:ind/>
        <w:rPr/>
      </w:pPr>
      <w:r/>
      <w:r/>
    </w:p>
    <w:p>
      <w:pPr>
        <w:pStyle w:val="2227"/>
        <w:pBdr/>
        <w:spacing/>
        <w:ind/>
        <w:jc w:val="center"/>
        <w:rPr>
          <w:sz w:val="22"/>
          <w:szCs w:val="22"/>
        </w:rPr>
      </w:pPr>
      <w:r>
        <w:rPr>
          <w:sz w:val="22"/>
          <w:szCs w:val="22"/>
        </w:rPr>
        <w:t xml:space="preserve">H</w:t>
      </w:r>
      <w:r>
        <w:rPr>
          <w:sz w:val="22"/>
          <w:szCs w:val="22"/>
        </w:rPr>
        <w:t xml:space="preserve">eracles</w:t>
      </w:r>
      <w:r>
        <w:rPr>
          <w:sz w:val="22"/>
          <w:szCs w:val="22"/>
        </w:rPr>
        <w:t xml:space="preserve"> îl ţine pe Cerber</w:t>
      </w:r>
      <w:r>
        <w:rPr>
          <w:sz w:val="22"/>
          <w:szCs w:val="22"/>
        </w:rPr>
        <w:t xml:space="preserve"> deoparte</w:t>
      </w:r>
      <w:r>
        <w:rPr>
          <w:sz w:val="22"/>
          <w:szCs w:val="22"/>
        </w:rPr>
        <w:t xml:space="preserve"> şi o aduce </w:t>
      </w:r>
      <w:r>
        <w:rPr>
          <w:sz w:val="22"/>
          <w:szCs w:val="22"/>
        </w:rPr>
        <w:t xml:space="preserve">pe Alceste </w:t>
      </w:r>
      <w:r>
        <w:rPr>
          <w:sz w:val="22"/>
          <w:szCs w:val="22"/>
        </w:rPr>
      </w:r>
      <w:r>
        <w:rPr>
          <w:sz w:val="22"/>
          <w:szCs w:val="22"/>
        </w:rPr>
      </w:r>
    </w:p>
    <w:p>
      <w:pPr>
        <w:pStyle w:val="2227"/>
        <w:pBdr/>
        <w:spacing/>
        <w:ind/>
        <w:jc w:val="center"/>
        <w:rPr>
          <w:sz w:val="22"/>
          <w:szCs w:val="22"/>
        </w:rPr>
      </w:pPr>
      <w:r>
        <w:rPr>
          <w:sz w:val="22"/>
          <w:szCs w:val="22"/>
        </w:rPr>
        <w:t xml:space="preserve">din Hades</w:t>
      </w:r>
      <w:r>
        <w:rPr>
          <w:sz w:val="22"/>
          <w:szCs w:val="22"/>
        </w:rPr>
        <w:t xml:space="preserve">, iar soţul acest</w:t>
      </w:r>
      <w:r>
        <w:rPr>
          <w:sz w:val="22"/>
          <w:szCs w:val="22"/>
        </w:rPr>
        <w:t xml:space="preserve">eia, Admetus, o aşteaptă aşezat.</w:t>
      </w:r>
      <w:r>
        <w:rPr>
          <w:sz w:val="22"/>
          <w:szCs w:val="22"/>
        </w:rPr>
      </w:r>
      <w:r>
        <w:rPr>
          <w:sz w:val="22"/>
          <w:szCs w:val="22"/>
        </w:rPr>
      </w:r>
    </w:p>
    <w:p>
      <w:pPr>
        <w:pStyle w:val="2227"/>
        <w:pBdr/>
        <w:spacing/>
        <w:ind/>
        <w:jc w:val="center"/>
        <w:rPr>
          <w:sz w:val="22"/>
          <w:szCs w:val="22"/>
        </w:rPr>
      </w:pPr>
      <w:r>
        <w:rPr>
          <w:sz w:val="22"/>
          <w:szCs w:val="22"/>
        </w:rPr>
        <w:t xml:space="preserve">Cubiculum N, catacomba din Via Latina, 300-500 dH.</w:t>
      </w:r>
      <w:r>
        <w:rPr>
          <w:sz w:val="22"/>
          <w:szCs w:val="22"/>
        </w:rPr>
      </w:r>
    </w:p>
    <w:p>
      <w:pPr>
        <w:pStyle w:val="2227"/>
        <w:pBdr/>
        <w:spacing/>
        <w:ind/>
        <w:rPr/>
      </w:pPr>
      <w:r/>
      <w:r/>
    </w:p>
    <w:p>
      <w:pPr>
        <w:pStyle w:val="2227"/>
        <w:pBdr/>
        <w:spacing/>
        <w:ind/>
        <w:rPr/>
      </w:pPr>
      <w:r>
        <w:t xml:space="preserve">Romulus</w:t>
      </w:r>
      <w:r>
        <w:t xml:space="preserve">, </w:t>
      </w:r>
      <w:r>
        <w:t xml:space="preserve">regele fondator al Romei</w:t>
      </w:r>
      <w:r>
        <w:t xml:space="preserve"> (771-717)</w:t>
      </w:r>
      <w:r>
        <w:t xml:space="preserve">, alături de Remus, fratele său </w:t>
      </w:r>
      <w:r>
        <w:t xml:space="preserve">(771-753)</w:t>
      </w:r>
      <w:r>
        <w:t xml:space="preserve">,</w:t>
      </w:r>
      <w:r>
        <w:t xml:space="preserve"> </w:t>
      </w:r>
      <w:r>
        <w:t xml:space="preserve">are şi el un destin de semi-zeu</w:t>
      </w:r>
      <w:r>
        <w:t xml:space="preserve">: născut, conform legendei, </w:t>
      </w:r>
      <w:r>
        <w:t xml:space="preserve">din Marte şi </w:t>
      </w:r>
      <w:r>
        <w:t xml:space="preserve">Rhea-Silvia</w:t>
      </w:r>
      <w:r>
        <w:t xml:space="preserve">, </w:t>
      </w:r>
      <w:r>
        <w:t xml:space="preserve">el aduce Roma la statutul de cetate puternică şi destinată gloriei, şi este şi el zeificat la moarte</w:t>
      </w:r>
      <w:r>
        <w:t xml:space="preserve">, </w:t>
      </w:r>
      <w:r>
        <w:t xml:space="preserve">cu numele Quirin</w:t>
      </w:r>
      <w:r>
        <w:t xml:space="preserve">us, în calitatea aceasta el veghind </w:t>
      </w:r>
      <w:r>
        <w:t xml:space="preserve">în continuare </w:t>
      </w:r>
      <w:r>
        <w:t xml:space="preserve">asupra destinelor Romei.</w:t>
      </w:r>
      <w:r>
        <w:t xml:space="preserve"> </w:t>
      </w:r>
      <w:r>
        <w:t xml:space="preserve">Chiar</w:t>
      </w:r>
      <w:r>
        <w:t xml:space="preserve"> şi Alexandru Macedon îşi asumase o istorie semi-divină, pretinzând că este născut din mama sa Olympia şi Zeus (oracolul din </w:t>
      </w:r>
      <w:r>
        <w:t xml:space="preserve">Egipt, din Siwa, avea să confirme în 331 îH, că este fiul lui Ammon, adică al lui Zeus; </w:t>
      </w:r>
      <w:r>
        <w:t xml:space="preserve">însă, </w:t>
      </w:r>
      <w:r>
        <w:t xml:space="preserve">oricum, Alexandru le recunoscuse preoţilor şi aristocraţiei locale drepturile de a conduce Egiptul la fel ca şi înainte</w:t>
      </w:r>
      <w:r>
        <w:t xml:space="preserve"> de victoriile lui</w:t>
      </w:r>
      <w:r>
        <w:t xml:space="preserve">).</w:t>
      </w:r>
      <w:r>
        <w:t xml:space="preserve"> </w:t>
      </w:r>
      <w:r/>
    </w:p>
    <w:p>
      <w:pPr>
        <w:pStyle w:val="2227"/>
        <w:pBdr/>
        <w:spacing/>
        <w:ind/>
        <w:rPr/>
      </w:pPr>
      <w:r/>
      <w:r/>
    </w:p>
    <w:p>
      <w:pPr>
        <w:pStyle w:val="2230"/>
        <w:pBdr/>
        <w:spacing/>
        <w:ind/>
        <w:rPr>
          <w:lang w:val="ro-RO"/>
        </w:rPr>
      </w:pPr>
      <w:r/>
      <w:bookmarkStart w:id="20" w:name="_Toc252991845"/>
      <w:r>
        <w:rPr>
          <w:lang w:val="ro-RO"/>
        </w:rPr>
        <w:t xml:space="preserve">3.5 Semnificaţia mesianismului pentru teologia politică</w:t>
      </w:r>
      <w:bookmarkEnd w:id="20"/>
      <w:r>
        <w:rPr>
          <w:lang w:val="ro-RO"/>
        </w:rPr>
      </w:r>
      <w:r>
        <w:rPr>
          <w:lang w:val="ro-RO"/>
        </w:rPr>
      </w:r>
    </w:p>
    <w:p>
      <w:pPr>
        <w:pStyle w:val="2227"/>
        <w:pBdr/>
        <w:spacing/>
        <w:ind w:firstLine="0"/>
        <w:rPr/>
      </w:pPr>
      <w:r/>
      <w:r/>
    </w:p>
    <w:p>
      <w:pPr>
        <w:pStyle w:val="2227"/>
        <w:pBdr/>
        <w:spacing/>
        <w:ind w:firstLine="0"/>
        <w:rPr/>
      </w:pPr>
      <w:r>
        <w:t xml:space="preserve">În cupri</w:t>
      </w:r>
      <w:r>
        <w:t xml:space="preserve">nsul acestei secţiuni s-a dezvoltat argumentul</w:t>
      </w:r>
      <w:r>
        <w:t xml:space="preserve"> că ideea de om providenţial era destul de răspândită în cultura antică</w:t>
      </w:r>
      <w:r>
        <w:t xml:space="preserve">, atât la e</w:t>
      </w:r>
      <w:r>
        <w:t xml:space="preserve">vrei, cât şi în civilizaţia greco-romană</w:t>
      </w:r>
      <w:r>
        <w:t xml:space="preserve">. În m</w:t>
      </w:r>
      <w:r>
        <w:t xml:space="preserve">od deosebit, în cultura iudaică</w:t>
      </w:r>
      <w:r>
        <w:t xml:space="preserve"> s-au dezvoltat anumite caracteristici </w:t>
      </w:r>
      <w:r>
        <w:t xml:space="preserve">politice </w:t>
      </w:r>
      <w:r>
        <w:t xml:space="preserve">a</w:t>
      </w:r>
      <w:r>
        <w:t xml:space="preserve">le acestei paradigme, </w:t>
      </w:r>
      <w:r>
        <w:t xml:space="preserve">care au c</w:t>
      </w:r>
      <w:r>
        <w:t xml:space="preserve">ontribuit </w:t>
      </w:r>
      <w:r>
        <w:t xml:space="preserve">în mod major </w:t>
      </w:r>
      <w:r>
        <w:t xml:space="preserve">la </w:t>
      </w:r>
      <w:r>
        <w:t xml:space="preserve">conturarea aşteptărilor şi motivaţiilor mesianice din vremea evenimentelor Noului Testament.</w:t>
      </w:r>
      <w:r/>
    </w:p>
    <w:p>
      <w:pPr>
        <w:pStyle w:val="2227"/>
        <w:pBdr/>
        <w:spacing/>
        <w:ind/>
        <w:rPr/>
      </w:pPr>
      <w:r>
        <w:t xml:space="preserve">În mod clar, Isus nu a corespuns tuturor aşteptărilor din vremea lui. Pe unele le-a confirmat, pe altele nu.</w:t>
      </w:r>
      <w:r>
        <w:t xml:space="preserve"> Modelul său mesianic a fost mai dezvoltat decât altele, cuprinzând două etape: prima venire ş</w:t>
      </w:r>
      <w:r>
        <w:t xml:space="preserve">i a doua venire a Fiului Omului (Fiul Omului este titlul mesianic folosit foarte mult de Isus în relatările evangheliilor, mai ales în evangheliile sinoptice, Matei, Marcu şi Luca). </w:t>
      </w:r>
      <w:r>
        <w:t xml:space="preserve">De fapt, modelul lui Isus implică trei etape: prima venire, etapa intermediară, cea de a doua venire a lui Mesia.</w:t>
      </w:r>
      <w:r/>
    </w:p>
    <w:p>
      <w:pPr>
        <w:pStyle w:val="2227"/>
        <w:pBdr/>
        <w:spacing/>
        <w:ind/>
        <w:rPr/>
      </w:pPr>
      <w:r>
        <w:t xml:space="preserve">Din această cauză, creştinismul trăieşte o anumită tensiune a perioadei de tranziţie, conceptualizată prin expresia „deja da, dar nu încă”. </w:t>
      </w:r>
      <w:r>
        <w:t xml:space="preserve">Acest mesianism </w:t>
      </w:r>
      <w:r>
        <w:t xml:space="preserve">este parţial realizat, este încă într-o tranziţie, de unde şi concepţiile politice creştine, la nivelul Noului Testament, oscilează între angajare şi aşteptare, între integrare în viaţa politică a statului şi neimplicare, sau implicare într-un grad redus. </w:t>
      </w:r>
      <w:r/>
    </w:p>
    <w:p>
      <w:pPr>
        <w:pStyle w:val="2227"/>
        <w:pBdr/>
        <w:spacing/>
        <w:ind/>
        <w:rPr/>
      </w:pPr>
      <w:r>
        <w:t xml:space="preserve">Conform Noului Testament, p</w:t>
      </w:r>
      <w:r>
        <w:t xml:space="preserve">rogramul </w:t>
      </w:r>
      <w:r>
        <w:t xml:space="preserve">mesianic </w:t>
      </w:r>
      <w:r>
        <w:t xml:space="preserve">al lui Isus </w:t>
      </w:r>
      <w:r>
        <w:t xml:space="preserve">prezintă următoarele caracteristici</w:t>
      </w:r>
      <w:r>
        <w:t xml:space="preserve"> principale</w:t>
      </w:r>
      <w:r>
        <w:t xml:space="preserve">: persoana mesianică</w:t>
      </w:r>
      <w:r>
        <w:t xml:space="preserve"> însumează mai multe oficii (preot-profet-jertfă-rege), conduce istoria – dar în două etape</w:t>
      </w:r>
      <w:r>
        <w:t xml:space="preserve">, mai întâi spiritual, apoi promite o revenire în forţă, atât spiritual cât şi politic, militar</w:t>
      </w:r>
      <w:r>
        <w:t xml:space="preserve">; îşi asumă misiunea de reprezentare şi restaurare a omenirii</w:t>
      </w:r>
      <w:r>
        <w:t xml:space="preserve">, pe care o duce la împăcare cu Dumnezeu, apoi la împlinirea potenţialului ei</w:t>
      </w:r>
      <w:r>
        <w:t xml:space="preserve">; are autoritate divină şi, din punct de vedere uman, se supune autorităţii divine.</w:t>
      </w:r>
      <w:r>
        <w:rPr>
          <w:rStyle w:val="2248"/>
        </w:rPr>
        <w:footnoteReference w:id="65"/>
      </w:r>
      <w:r/>
    </w:p>
    <w:p>
      <w:pPr>
        <w:pStyle w:val="2227"/>
        <w:pBdr/>
        <w:spacing/>
        <w:ind/>
        <w:rPr/>
      </w:pPr>
      <w:r>
        <w:t xml:space="preserve">P</w:t>
      </w:r>
      <w:r>
        <w:t xml:space="preserve">rin contrast, tot din</w:t>
      </w:r>
      <w:r>
        <w:t xml:space="preserve"> Noul Testament</w:t>
      </w:r>
      <w:r>
        <w:t xml:space="preserve"> se desprinde şi un program mesianic anti-hristic, conform căruia Mesia cel fals, Antihristul, va avea o agendă în oglindă cu cea hristică</w:t>
      </w:r>
      <w:r>
        <w:t xml:space="preserve"> (informaţii despre această agendă apar în evangheliile sinoptice, mai ales Marcu şi Matei; în scrisorile lui Pavel către tesaloniceni, 1-2 Tesaloniceni; în epistola 1 Ioan şi în Apocalipsa)</w:t>
      </w:r>
      <w:r>
        <w:t xml:space="preserve">: el va căuta să conducă prin substituire şi înlocuirea lui Hristos; </w:t>
      </w:r>
      <w:r>
        <w:t xml:space="preserve">el </w:t>
      </w:r>
      <w:r>
        <w:t xml:space="preserve">are o singură venire – anunţată de un număr mare de antihrişti premergători, de mai mică anvergură; </w:t>
      </w:r>
      <w:r>
        <w:t xml:space="preserve">el </w:t>
      </w:r>
      <w:r>
        <w:t xml:space="preserve">îşi asumă reprezentarea şi o încercare de aducere a omenirii la maximul potenţialului ei</w:t>
      </w:r>
      <w:r>
        <w:t xml:space="preserve">, dar prin confruntarea divinităţii şi negarea ei, nu prin raportare pozitivă la divinitate</w:t>
      </w:r>
      <w:r>
        <w:t xml:space="preserve">; </w:t>
      </w:r>
      <w:r>
        <w:t xml:space="preserve">el </w:t>
      </w:r>
      <w:r>
        <w:t xml:space="preserve">înşeală</w:t>
      </w:r>
      <w:r>
        <w:t xml:space="preserve">,</w:t>
      </w:r>
      <w:r>
        <w:t xml:space="preserve"> nu conduce cu dreptate; supune pe alţii, dar autoritatea sa distruge; nu are autoritate şi recunoaştere divină.</w:t>
      </w:r>
      <w:r/>
    </w:p>
    <w:p>
      <w:pPr>
        <w:pStyle w:val="2227"/>
        <w:pBdr/>
        <w:spacing/>
        <w:ind/>
        <w:rPr/>
      </w:pPr>
      <w:r>
        <w:t xml:space="preserve">Spiritul antihristic în Noul Testament are </w:t>
      </w:r>
      <w:r>
        <w:t xml:space="preserve">şi el </w:t>
      </w:r>
      <w:r>
        <w:t xml:space="preserve">vocaţie imperială (vezi semnificaţia Babilonului cel mare, din Apocalipsa</w:t>
      </w:r>
      <w:r>
        <w:t xml:space="preserve">; vezi istoria ispitirii lui Isus, Matei 3 şi Luca 3, cu </w:t>
      </w:r>
      <w:r>
        <w:t xml:space="preserve">puterea împărăţiilor pământului, venită de la Satan</w:t>
      </w:r>
      <w:r>
        <w:t xml:space="preserve">), </w:t>
      </w:r>
      <w:r>
        <w:t xml:space="preserve">are o agendă economică eficientă, exercită un control social total, sufocant (în cele din urmă, distructiv), este partizan declarat al progresului tehnologic (cf. chipul vorbitor al Fiarei, în Apocalipsa; </w:t>
      </w:r>
      <w:r>
        <w:t xml:space="preserve">echiparea militară; dovezile de eficienţă economică şi tehnologică în Ba</w:t>
      </w:r>
      <w:r>
        <w:t xml:space="preserve">bilonul cel mare); este elitist şi ierarhic</w:t>
      </w:r>
      <w:r>
        <w:t xml:space="preserve">. </w:t>
      </w:r>
      <w:r/>
    </w:p>
    <w:p>
      <w:pPr>
        <w:pStyle w:val="2227"/>
        <w:pBdr/>
        <w:spacing/>
        <w:ind/>
        <w:rPr/>
      </w:pPr>
      <w:r>
        <w:t xml:space="preserve">Practic modelele Noului Testament, sau din timpul acelei perioade a antichităţii, au continuat să informeze sau să contribuie la profilul acţiunii politice contemporane.</w:t>
      </w:r>
      <w:r/>
    </w:p>
    <w:p>
      <w:pPr>
        <w:pStyle w:val="2227"/>
        <w:pBdr/>
        <w:spacing/>
        <w:ind/>
        <w:rPr/>
      </w:pPr>
      <w:r>
        <w:t xml:space="preserve">Se poate observa, a</w:t>
      </w:r>
      <w:r>
        <w:t xml:space="preserve">stfel, </w:t>
      </w:r>
      <w:r>
        <w:t xml:space="preserve">că </w:t>
      </w:r>
      <w:r>
        <w:t xml:space="preserve">d</w:t>
      </w:r>
      <w:r>
        <w:t xml:space="preserve">ictatorii </w:t>
      </w:r>
      <w:r>
        <w:t xml:space="preserve">au tendinţa de </w:t>
      </w:r>
      <w:r>
        <w:t xml:space="preserve">se folosesc de </w:t>
      </w:r>
      <w:r>
        <w:t xml:space="preserve">arhetipul mesianic pentru a-şi justifica demersul de putere şi pentru a-şi motiva potenţialii supuşi</w:t>
      </w:r>
      <w:r>
        <w:t xml:space="preserve">. De exemplu, </w:t>
      </w:r>
      <w:r>
        <w:t xml:space="preserve">A. </w:t>
      </w:r>
      <w:r>
        <w:t xml:space="preserve">Hitler </w:t>
      </w:r>
      <w:r>
        <w:t xml:space="preserve">a </w:t>
      </w:r>
      <w:r>
        <w:t xml:space="preserve">acţiona</w:t>
      </w:r>
      <w:r>
        <w:t xml:space="preserve">t</w:t>
      </w:r>
      <w:r>
        <w:t xml:space="preserve"> paradigmatic ca </w:t>
      </w:r>
      <w:r>
        <w:t xml:space="preserve">fel de </w:t>
      </w:r>
      <w:r>
        <w:t xml:space="preserve">un mesia (</w:t>
      </w:r>
      <w:r>
        <w:t xml:space="preserve">a subliniat valorile tradiţionale germane, e adevărat, de pe o poziţie rasistă </w:t>
      </w:r>
      <w:r>
        <w:t xml:space="preserve">– echivalentul L</w:t>
      </w:r>
      <w:r>
        <w:t xml:space="preserve">egii; </w:t>
      </w:r>
      <w:r>
        <w:t xml:space="preserve">a adus un standar</w:t>
      </w:r>
      <w:r>
        <w:t xml:space="preserve">d</w:t>
      </w:r>
      <w:r>
        <w:t xml:space="preserve"> social mai înalt, după eşecul Republicii de la Weimar</w:t>
      </w:r>
      <w:r>
        <w:t xml:space="preserve"> – echivalentul restaurării ţării</w:t>
      </w:r>
      <w:r>
        <w:t xml:space="preserve">; a găsit o motivaţie de justificare a acţiunii armate, o viziune pentru asigurarea spaţiului vital necesar naţiunii germane, Lebenraum</w:t>
      </w:r>
      <w:r>
        <w:t xml:space="preserve"> – echivalentul împărăţiei viitoare, </w:t>
      </w:r>
      <w:r>
        <w:t xml:space="preserve">der Dritte Reich, care trebuia să ţină 1000 de ani: un alt termen mesianic, prezent în Apocalipsa</w:t>
      </w:r>
      <w:r>
        <w:t xml:space="preserve">).</w:t>
      </w:r>
      <w:r>
        <w:t xml:space="preserve"> </w:t>
      </w:r>
      <w:r/>
    </w:p>
    <w:p>
      <w:pPr>
        <w:pStyle w:val="2227"/>
        <w:pBdr/>
        <w:spacing/>
        <w:ind/>
        <w:rPr/>
      </w:pPr>
      <w:r>
        <w:t xml:space="preserve">Într-un alt exemplu apropiat, </w:t>
      </w:r>
      <w:r>
        <w:t xml:space="preserve">N. </w:t>
      </w:r>
      <w:r>
        <w:t xml:space="preserve">Ceauşescu</w:t>
      </w:r>
      <w:r>
        <w:t xml:space="preserve">, </w:t>
      </w:r>
      <w:r>
        <w:t xml:space="preserve">bazat pe un </w:t>
      </w:r>
      <w:r>
        <w:t xml:space="preserve">puternic cult </w:t>
      </w:r>
      <w:r>
        <w:t xml:space="preserve">al personalităţii</w:t>
      </w:r>
      <w:r>
        <w:t xml:space="preserve">, </w:t>
      </w:r>
      <w:r>
        <w:t xml:space="preserve">a încercat să îşi justifice conducerea prin </w:t>
      </w:r>
      <w:r>
        <w:t xml:space="preserve">ideea restaurării unor valori naţionale cum sunt independenţa</w:t>
      </w:r>
      <w:r>
        <w:t xml:space="preserve"> poporului</w:t>
      </w:r>
      <w:r>
        <w:t xml:space="preserve">, mândria</w:t>
      </w:r>
      <w:r>
        <w:t xml:space="preserve"> de a fi român</w:t>
      </w:r>
      <w:r>
        <w:t xml:space="preserve">, venirea „epocii de aur”. În cazul lui N.C. se </w:t>
      </w:r>
      <w:r>
        <w:t xml:space="preserve">pate observa că în emisiunile omagiale televizat începea să fie folosit tot mai des o variantă de titlu mesianic, asemenea titlului </w:t>
      </w:r>
      <w:r>
        <w:t xml:space="preserve">Fiul Omului: N.C. era numit „</w:t>
      </w:r>
      <w:r>
        <w:t xml:space="preserve">El, Omul, Ceauşescu Nicolae</w:t>
      </w:r>
      <w:r>
        <w:t xml:space="preserve">”</w:t>
      </w:r>
      <w:r>
        <w:rPr>
          <w:rStyle w:val="2248"/>
        </w:rPr>
        <w:footnoteReference w:id="66"/>
      </w:r>
      <w:r>
        <w:t xml:space="preserve">.</w:t>
      </w:r>
      <w:r/>
    </w:p>
    <w:p>
      <w:pPr>
        <w:pStyle w:val="2227"/>
        <w:pBdr/>
        <w:spacing/>
        <w:ind/>
        <w:rPr/>
      </w:pPr>
      <w:r>
        <w:t xml:space="preserve">Până la un punct, din dorinţa de a recupera şi re-interpreta anumite zone sau etape ale politicii româneşti, se poate spune şi despre </w:t>
      </w:r>
      <w:r>
        <w:t xml:space="preserve">Corneliu Zelea Codreanu</w:t>
      </w:r>
      <w:r>
        <w:t xml:space="preserve"> </w:t>
      </w:r>
      <w:r>
        <w:t xml:space="preserve">(1899-1938) </w:t>
      </w:r>
      <w:r>
        <w:t xml:space="preserve">că s-a bucurat în cadrul mişcării legionare de conturarea unui portret mesianic influent</w:t>
      </w:r>
      <w:r>
        <w:t xml:space="preserve">: acesta dorea (sau alţii doreau)</w:t>
      </w:r>
      <w:r>
        <w:t xml:space="preserve"> să fie receptat ca un reprezentat valid al poporului, ca un păstrător de tradiţie, ca un creştin</w:t>
      </w:r>
      <w:r>
        <w:t xml:space="preserve"> ortodox, conform paradigmei locale</w:t>
      </w:r>
      <w:r>
        <w:t xml:space="preserve"> – </w:t>
      </w:r>
      <w:r>
        <w:t xml:space="preserve">naţionale şi naţionaliste , în acelaşi</w:t>
      </w:r>
      <w:r>
        <w:t xml:space="preserve"> </w:t>
      </w:r>
      <w:r>
        <w:t xml:space="preserve">timp; ca un politician radical; şi nu în ultimul rând, ca un tânăr vlăstar al neamului care oferă speranţă (în general, portretul mesianic include şi tinereţea pers</w:t>
      </w:r>
      <w:r>
        <w:t xml:space="preserve">onajului central</w:t>
      </w:r>
      <w:r>
        <w:rPr>
          <w:rStyle w:val="2248"/>
        </w:rPr>
        <w:footnoteReference w:id="67"/>
      </w:r>
      <w:r>
        <w:t xml:space="preserve">)</w:t>
      </w:r>
      <w:r>
        <w:t xml:space="preserve">.</w:t>
      </w:r>
      <w:r>
        <w:t xml:space="preserve"> Astfel</w:t>
      </w:r>
      <w:r>
        <w:t xml:space="preserve">, S.</w:t>
      </w:r>
      <w:r>
        <w:t xml:space="preserve"> Mehedinţi avea o admiraţie deosebită pentru </w:t>
      </w:r>
      <w:r>
        <w:t xml:space="preserve">el</w:t>
      </w:r>
      <w:r>
        <w:t xml:space="preserve"> </w:t>
      </w:r>
      <w:r>
        <w:t xml:space="preserve">şi îl numea </w:t>
      </w:r>
      <w:r>
        <w:t xml:space="preserve">„un Mesia al timpurilor noastre şi Dumnezeul drept al noii Românii de mâine...”.</w:t>
      </w:r>
      <w:r>
        <w:rPr>
          <w:rStyle w:val="2248"/>
        </w:rPr>
        <w:footnoteReference w:id="68"/>
      </w:r>
      <w:r>
        <w:t xml:space="preserve"> S</w:t>
      </w:r>
      <w:r>
        <w:t xml:space="preserve">ub influenţa naţionalismului tot mai prezent pe scena politică a Europei, </w:t>
      </w:r>
      <w:r>
        <w:t xml:space="preserve">N. Ionescu </w:t>
      </w:r>
      <w:r>
        <w:t xml:space="preserve">şi</w:t>
      </w:r>
      <w:r>
        <w:t xml:space="preserve"> C. Noica</w:t>
      </w:r>
      <w:r>
        <w:t xml:space="preserve"> </w:t>
      </w:r>
      <w:r>
        <w:t xml:space="preserve">considera</w:t>
      </w:r>
      <w:r>
        <w:t xml:space="preserve">u </w:t>
      </w:r>
      <w:r>
        <w:t xml:space="preserve">şi ei </w:t>
      </w:r>
      <w:r>
        <w:t xml:space="preserve">că</w:t>
      </w:r>
      <w:r>
        <w:t xml:space="preserve"> evreii trebuie </w:t>
      </w:r>
      <w:r>
        <w:t xml:space="preserve">– sau merită – </w:t>
      </w:r>
      <w:r>
        <w:t xml:space="preserve">să sufere</w:t>
      </w:r>
      <w:r>
        <w:t xml:space="preserve">, deoarece ei nu </w:t>
      </w:r>
      <w:r>
        <w:t xml:space="preserve">contribui</w:t>
      </w:r>
      <w:r>
        <w:t xml:space="preserve">au</w:t>
      </w:r>
      <w:r>
        <w:t xml:space="preserve"> cu nimic la speranţa mesianică </w:t>
      </w:r>
      <w:r>
        <w:t xml:space="preserve">a</w:t>
      </w:r>
      <w:r>
        <w:t xml:space="preserve"> „</w:t>
      </w:r>
      <w:r>
        <w:t xml:space="preserve">României</w:t>
      </w:r>
      <w:r>
        <w:t xml:space="preserve"> de mâine”, pe când alţii, </w:t>
      </w:r>
      <w:r>
        <w:t xml:space="preserve">de exemplu</w:t>
      </w:r>
      <w:r>
        <w:t xml:space="preserve">, C.Z.C. aveau un mesaj mesianic</w:t>
      </w:r>
      <w:r>
        <w:t xml:space="preserve"> major</w:t>
      </w:r>
      <w:r>
        <w:rPr>
          <w:rStyle w:val="2248"/>
        </w:rPr>
        <w:footnoteReference w:id="69"/>
      </w:r>
      <w:r>
        <w:t xml:space="preserve">.</w:t>
      </w:r>
      <w:r>
        <w:t xml:space="preserve"> </w:t>
      </w:r>
      <w:r/>
    </w:p>
    <w:p>
      <w:pPr>
        <w:pStyle w:val="2227"/>
        <w:pBdr/>
        <w:spacing/>
        <w:ind/>
        <w:rPr/>
      </w:pPr>
      <w:r>
        <w:br w:type="page" w:clear="all"/>
      </w:r>
      <w:r/>
    </w:p>
    <w:p>
      <w:pPr>
        <w:pStyle w:val="2229"/>
        <w:pBdr/>
        <w:spacing/>
        <w:ind w:firstLine="0"/>
        <w:rPr/>
      </w:pPr>
      <w:r/>
      <w:bookmarkStart w:id="21" w:name="_Toc252991846"/>
      <w:r>
        <w:t xml:space="preserve">Capitolul </w:t>
      </w:r>
      <w:r>
        <w:t xml:space="preserve">4</w:t>
      </w:r>
      <w:r>
        <w:t xml:space="preserve">. </w:t>
      </w:r>
      <w:r>
        <w:t xml:space="preserve">Context</w:t>
      </w:r>
      <w:r>
        <w:t xml:space="preserve">ul</w:t>
      </w:r>
      <w:r>
        <w:t xml:space="preserve"> </w:t>
      </w:r>
      <w:r>
        <w:t xml:space="preserve">politic </w:t>
      </w:r>
      <w:r>
        <w:t xml:space="preserve">iudaic în timpul NT</w:t>
      </w:r>
      <w:bookmarkEnd w:id="21"/>
      <w:r/>
      <w:r/>
    </w:p>
    <w:p>
      <w:pPr>
        <w:pStyle w:val="2227"/>
        <w:pBdr/>
        <w:spacing/>
        <w:ind w:firstLine="0"/>
        <w:rPr/>
      </w:pPr>
      <w:r/>
      <w:r/>
    </w:p>
    <w:p>
      <w:pPr>
        <w:pStyle w:val="2227"/>
        <w:pBdr/>
        <w:spacing/>
        <w:ind w:firstLine="0"/>
        <w:rPr/>
      </w:pPr>
      <w:r>
        <w:t xml:space="preserve">Idealurile mesia</w:t>
      </w:r>
      <w:r>
        <w:t xml:space="preserve">nice studiate anterior </w:t>
      </w:r>
      <w:r>
        <w:t xml:space="preserve">au operat</w:t>
      </w:r>
      <w:r>
        <w:t xml:space="preserve"> într-un </w:t>
      </w:r>
      <w:r>
        <w:t xml:space="preserve">spaţiu</w:t>
      </w:r>
      <w:r>
        <w:t xml:space="preserve"> politic</w:t>
      </w:r>
      <w:r>
        <w:t xml:space="preserve"> şi social</w:t>
      </w:r>
      <w:r>
        <w:t xml:space="preserve"> complex</w:t>
      </w:r>
      <w:r>
        <w:t xml:space="preserve">. </w:t>
      </w:r>
      <w:r>
        <w:t xml:space="preserve">Aşezarea generală în istorie (Sitz-im-leben) are de a face cu stăpânirea autoritară şi abilă a lui Irod, cu partidele politice şi aspiraţiile lor</w:t>
      </w:r>
      <w:r>
        <w:t xml:space="preserve">, în secolele</w:t>
      </w:r>
      <w:r>
        <w:t xml:space="preserve"> întâi </w:t>
      </w:r>
      <w:r>
        <w:t xml:space="preserve">di</w:t>
      </w:r>
      <w:r>
        <w:t xml:space="preserve">nainte şi </w:t>
      </w:r>
      <w:r>
        <w:t xml:space="preserve">de </w:t>
      </w:r>
      <w:r>
        <w:t xml:space="preserve">după Hristos.</w:t>
      </w:r>
      <w:r/>
    </w:p>
    <w:p>
      <w:pPr>
        <w:pStyle w:val="2230"/>
        <w:pBdr/>
        <w:spacing/>
        <w:ind/>
        <w:rPr>
          <w:lang w:val="ro-RO"/>
        </w:rPr>
      </w:pPr>
      <w:r/>
      <w:bookmarkStart w:id="22" w:name="_Toc252991847"/>
      <w:r>
        <w:rPr>
          <w:lang w:val="ro-RO"/>
        </w:rPr>
        <w:t xml:space="preserve">4.1</w:t>
      </w:r>
      <w:r>
        <w:rPr>
          <w:lang w:val="ro-RO"/>
        </w:rPr>
        <w:t xml:space="preserve"> </w:t>
      </w:r>
      <w:r>
        <w:rPr>
          <w:lang w:val="ro-RO"/>
        </w:rPr>
        <w:t xml:space="preserve">Politica locală în timpul dinastiei irodiene</w:t>
      </w:r>
      <w:bookmarkEnd w:id="22"/>
      <w:r>
        <w:rPr>
          <w:lang w:val="ro-RO"/>
        </w:rPr>
      </w:r>
      <w:r>
        <w:rPr>
          <w:lang w:val="ro-RO"/>
        </w:rPr>
      </w:r>
    </w:p>
    <w:p>
      <w:pPr>
        <w:pStyle w:val="2227"/>
        <w:pBdr/>
        <w:spacing/>
        <w:ind w:firstLine="0"/>
        <w:rPr/>
      </w:pPr>
      <w:r/>
      <w:r/>
    </w:p>
    <w:p>
      <w:pPr>
        <w:pStyle w:val="2227"/>
        <w:pBdr/>
        <w:spacing/>
        <w:ind w:firstLine="0"/>
        <w:rPr/>
      </w:pPr>
      <w:r>
        <w:t xml:space="preserve">Aflat la confluenţa intereselor vestice (Egiptul) şi estice (Asiria, Babilonul, Persia), Israelul a pendulat în istorie, în mod tradiţional, între supunerea faţă de aceşti doi poli imperiali. După Alexandru cel Mare, ce</w:t>
      </w:r>
      <w:r>
        <w:t xml:space="preserve">le două centre de putere capătă forma istorică a influenţei dinastiilor ptolemeilor (regii greci ai Egiptului) şi, respectiv, a seleucizilor (regii greci ai Siriei). Această perioadă coincide cu desfăşurarea dinastiilor hasmoneilor şi a celei irodiene, şi </w:t>
      </w:r>
      <w:r>
        <w:t xml:space="preserve">a reprezentat o perioadă în care evreii au fost preocupaţi de afirmarea legământului şi de recuperarea stăpânirii asupra ţării. Observarea acestor teme majore trebuie făcută în contextul Noului Testament, vizavi de înţelegerea lor în societate, în general.</w:t>
      </w:r>
      <w:r/>
    </w:p>
    <w:p>
      <w:pPr>
        <w:pStyle w:val="2227"/>
        <w:pBdr/>
        <w:spacing/>
        <w:ind w:firstLine="0"/>
        <w:rPr/>
      </w:pPr>
      <w:r/>
      <w:r/>
    </w:p>
    <w:p>
      <w:pPr>
        <w:pStyle w:val="2231"/>
        <w:pBdr/>
        <w:spacing/>
        <w:ind/>
        <w:rPr>
          <w:lang w:val="ro-RO"/>
        </w:rPr>
      </w:pPr>
      <w:r>
        <w:rPr>
          <w:lang w:val="ro-RO"/>
        </w:rPr>
        <w:t xml:space="preserve">4.1.1 Politica externă : relaţiile cu romanii</w:t>
      </w:r>
      <w:r>
        <w:rPr>
          <w:lang w:val="ro-RO"/>
        </w:rPr>
      </w:r>
    </w:p>
    <w:p>
      <w:pPr>
        <w:pStyle w:val="2227"/>
        <w:pBdr/>
        <w:spacing/>
        <w:ind w:firstLine="0"/>
        <w:rPr/>
      </w:pPr>
      <w:r>
        <w:t xml:space="preserve">Încercând să depăşească handicapul său de a fi </w:t>
      </w:r>
      <w:r>
        <w:t xml:space="preserve">doar</w:t>
      </w:r>
      <w:r>
        <w:t xml:space="preserve"> </w:t>
      </w:r>
      <w:r>
        <w:t xml:space="preserve">un </w:t>
      </w:r>
      <w:r>
        <w:t xml:space="preserve">edomit</w:t>
      </w:r>
      <w:r>
        <w:t xml:space="preserve"> convertit şi circumcis</w:t>
      </w:r>
      <w:r>
        <w:t xml:space="preserve"> –</w:t>
      </w:r>
      <w:r>
        <w:t xml:space="preserve"> dar, totuşi</w:t>
      </w:r>
      <w:r>
        <w:t xml:space="preserve">,</w:t>
      </w:r>
      <w:r>
        <w:t xml:space="preserve"> </w:t>
      </w:r>
      <w:r>
        <w:t xml:space="preserve">nu evreu</w:t>
      </w:r>
      <w:r>
        <w:t xml:space="preserve"> (nu numai că era de neam edomit, </w:t>
      </w:r>
      <w:r>
        <w:t xml:space="preserve">din partea tatălui său, </w:t>
      </w:r>
      <w:r>
        <w:t xml:space="preserve">dar mama sa era de origine arabă)</w:t>
      </w:r>
      <w:r>
        <w:t xml:space="preserve">, Irod </w:t>
      </w:r>
      <w:r>
        <w:t xml:space="preserve">cel mare </w:t>
      </w:r>
      <w:r>
        <w:t xml:space="preserve">a dorit să se prezinte ca un rege puternic, activ, </w:t>
      </w:r>
      <w:r>
        <w:t xml:space="preserve">care se prezenta pe sine drept prieten al romanilor, al lui Cezar (</w:t>
      </w:r>
      <w:r>
        <w:rPr>
          <w:i/>
          <w:iCs/>
        </w:rPr>
        <w:t xml:space="preserve">philokaisar</w:t>
      </w:r>
      <w:r>
        <w:t xml:space="preserve">), dar </w:t>
      </w:r>
      <w:r>
        <w:t xml:space="preserve">care </w:t>
      </w:r>
      <w:r>
        <w:t xml:space="preserve">se îngrijea şi de idealurile naţionale ale iudeilor</w:t>
      </w:r>
      <w:r>
        <w:t xml:space="preserve"> </w:t>
      </w:r>
      <w:r>
        <w:t xml:space="preserve">Astfel, </w:t>
      </w:r>
      <w:r>
        <w:t xml:space="preserve">el</w:t>
      </w:r>
      <w:r>
        <w:t xml:space="preserve"> a început </w:t>
      </w:r>
      <w:r>
        <w:t xml:space="preserve">un program ambiţios de construcţi</w:t>
      </w:r>
      <w:r>
        <w:t xml:space="preserve">i</w:t>
      </w:r>
      <w:r>
        <w:t xml:space="preserve"> de fortăreţe, palate, mausolee, temple</w:t>
      </w:r>
      <w:r>
        <w:t xml:space="preserve">.</w:t>
      </w:r>
      <w:r>
        <w:rPr>
          <w:rStyle w:val="2248"/>
        </w:rPr>
        <w:footnoteReference w:id="70"/>
      </w:r>
      <w:r>
        <w:t xml:space="preserve"> Construieşte fortul </w:t>
      </w:r>
      <w:r>
        <w:rPr>
          <w:i/>
          <w:iCs/>
        </w:rPr>
        <w:t xml:space="preserve">Antonia</w:t>
      </w:r>
      <w:r>
        <w:t xml:space="preserve"> din Ierusalim</w:t>
      </w:r>
      <w:r>
        <w:t xml:space="preserve">, în cinstea lui Marc Antonius, care îl ajutase să ajungă la tron</w:t>
      </w:r>
      <w:r>
        <w:t xml:space="preserve">. Fortul era chiar în apropierea Templului, şi de aici romanii puteau extrem de uşor să supravegheze manifestările religioase de la Templu, posibilele derapaje sociale şi răzvrătiri.</w:t>
      </w:r>
      <w:r>
        <w:rPr>
          <w:rStyle w:val="2248"/>
        </w:rPr>
        <w:footnoteReference w:id="71"/>
      </w:r>
      <w:r>
        <w:t xml:space="preserve"> </w:t>
      </w:r>
      <w:r>
        <w:t xml:space="preserve">În felul acesta, Irod a separat puterea militară de simbolul religios al Templului.</w:t>
      </w:r>
      <w:r>
        <w:t xml:space="preserve"> </w:t>
      </w:r>
      <w:r/>
    </w:p>
    <w:p>
      <w:pPr>
        <w:pStyle w:val="2227"/>
        <w:pBdr/>
        <w:spacing/>
        <w:ind w:firstLine="0"/>
        <w:rPr/>
      </w:pPr>
      <w:r/>
      <w:r/>
    </w:p>
    <w:p>
      <w:pPr>
        <w:pStyle w:val="2227"/>
        <w:pBdr/>
        <w:spacing/>
        <w:ind w:firstLine="0"/>
        <w:jc w:val="center"/>
        <w:rPr/>
      </w:pPr>
      <w:r>
        <mc:AlternateContent>
          <mc:Choice Requires="wpg">
            <w:drawing>
              <wp:inline xmlns:wp="http://schemas.openxmlformats.org/drawingml/2006/wordprocessingDrawing" distT="0" distB="0" distL="0" distR="0">
                <wp:extent cx="2617470" cy="1353769"/>
                <wp:effectExtent l="0" t="0" r="0" b="0"/>
                <wp:docPr id="9"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8"/>
                        <a:stretch/>
                      </pic:blipFill>
                      <pic:spPr bwMode="auto">
                        <a:xfrm>
                          <a:off x="0" y="0"/>
                          <a:ext cx="2617470" cy="135376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6.10pt;height:106.60pt;mso-wrap-distance-left:0.00pt;mso-wrap-distance-top:0.00pt;mso-wrap-distance-right:0.00pt;mso-wrap-distance-bottom:0.00pt;z-index:1;" stroked="false">
                <v:imagedata r:id="rId28" o:title=""/>
                <o:lock v:ext="edit" rotation="t"/>
              </v:shape>
            </w:pict>
          </mc:Fallback>
        </mc:AlternateContent>
      </w:r>
      <w:r/>
    </w:p>
    <w:p>
      <w:pPr>
        <w:pStyle w:val="2227"/>
        <w:pBdr/>
        <w:spacing/>
        <w:ind w:firstLine="0"/>
        <w:rPr/>
      </w:pPr>
      <w:r/>
      <w:r/>
    </w:p>
    <w:p>
      <w:pPr>
        <w:pStyle w:val="2227"/>
        <w:pBdr/>
        <w:spacing/>
        <w:ind w:firstLine="0"/>
        <w:jc w:val="center"/>
        <w:rPr>
          <w:sz w:val="22"/>
          <w:szCs w:val="22"/>
        </w:rPr>
      </w:pPr>
      <w:r>
        <w:rPr>
          <w:sz w:val="22"/>
          <w:szCs w:val="22"/>
        </w:rPr>
        <w:t xml:space="preserve">Fortăreaţa Antonia</w:t>
      </w:r>
      <w:r>
        <w:rPr>
          <w:sz w:val="22"/>
          <w:szCs w:val="22"/>
        </w:rPr>
        <w:t xml:space="preserve">, reconstrucţia lui</w:t>
      </w:r>
      <w:r>
        <w:rPr>
          <w:sz w:val="22"/>
          <w:szCs w:val="22"/>
        </w:rPr>
        <w:t xml:space="preserve"> E. Netzer</w:t>
      </w:r>
      <w:r>
        <w:rPr>
          <w:sz w:val="22"/>
          <w:szCs w:val="22"/>
        </w:rPr>
      </w:r>
      <w:r>
        <w:rPr>
          <w:sz w:val="22"/>
          <w:szCs w:val="22"/>
        </w:rPr>
      </w:r>
    </w:p>
    <w:p>
      <w:pPr>
        <w:pStyle w:val="2227"/>
        <w:pBdr/>
        <w:spacing/>
        <w:ind w:firstLine="0"/>
        <w:rPr/>
      </w:pPr>
      <w:r/>
      <w:r/>
    </w:p>
    <w:p>
      <w:pPr>
        <w:pStyle w:val="2227"/>
        <w:pBdr/>
        <w:spacing/>
        <w:ind w:firstLine="0"/>
        <w:rPr/>
      </w:pPr>
      <w:r>
        <w:t xml:space="preserve">Această separare era continuată, în fapt, şi de palatul lui Irod din Ierusalim, care rivaliza cu construcţia Templului</w:t>
      </w:r>
      <w:r>
        <w:t xml:space="preserve"> (unii îl considerau chiar mai strălucit, mai impresionant decât Templul)</w:t>
      </w:r>
      <w:r>
        <w:t xml:space="preserve">. </w:t>
      </w:r>
      <w:r>
        <w:t xml:space="preserve">Praetoriul unde a fost judecat Isus se afla în palatul lui Irod. </w:t>
      </w:r>
      <w:r>
        <w:t xml:space="preserve">Palatul era înconjurat cu ziduri puternice, de fortăreaţă, şi era compus din două cladiri complexe separate între ele – şi înconjurate de jur împrejur, de un parc regal cu copaci, canale, bazine şi fântâni. Avea aproape 300 m lungime şi 60 metri lăţime. </w:t>
      </w:r>
      <w:r>
        <w:t xml:space="preserve"> </w:t>
      </w:r>
      <w:r>
        <w:t xml:space="preserve">În partea de nord a palatului se găseau trei turnuri fortificate (turnul Phasael; turnul Hippicus; turnul Mariamne, care era cel mai impresionant).</w:t>
      </w:r>
      <w:r>
        <w:t xml:space="preserve"> Irod îşi construise un palat magnific, Herodium, </w:t>
      </w:r>
      <w:r>
        <w:t xml:space="preserve">la 12 km de Ierusalim, întărit să funcţioneze ca fort; un al palat de iarnă, avea la Ierihon; un altul la Cezareea.</w:t>
      </w: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3159874" cy="1686611"/>
                <wp:effectExtent l="0" t="0" r="0" b="0"/>
                <wp:docPr id="10"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29">
                          <a:extLst>
                            <a:ext uri="{96DAC541-7B7A-43D3-8B79-37D633B846F1}">
                              <asvg:svgBlip xmlns:asvg="http://schemas.microsoft.com/office/drawing/2016/SVG/main" r:embed="rId30"/>
                            </a:ext>
                          </a:extLst>
                        </a:blip>
                        <a:stretch/>
                      </pic:blipFill>
                      <pic:spPr bwMode="auto">
                        <a:xfrm>
                          <a:off x="0" y="0"/>
                          <a:ext cx="3159874" cy="168661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8.81pt;height:132.80pt;mso-wrap-distance-left:0.00pt;mso-wrap-distance-top:0.00pt;mso-wrap-distance-right:0.00pt;mso-wrap-distance-bottom:0.00pt;z-index:1;" stroked="false">
                <v:imagedata r:id="rId29" o:title=""/>
                <o:lock v:ext="edit" rotation="t"/>
              </v:shape>
            </w:pict>
          </mc:Fallback>
        </mc:AlternateContent>
      </w:r>
      <w:r/>
    </w:p>
    <w:p>
      <w:pPr>
        <w:pStyle w:val="2227"/>
        <w:pBdr/>
        <w:spacing/>
        <w:ind/>
        <w:rPr/>
      </w:pPr>
      <w:r/>
      <w:r/>
    </w:p>
    <w:p>
      <w:pPr>
        <w:pStyle w:val="2227"/>
        <w:pBdr/>
        <w:spacing/>
        <w:ind/>
        <w:jc w:val="center"/>
        <w:rPr>
          <w:sz w:val="22"/>
          <w:szCs w:val="22"/>
        </w:rPr>
      </w:pPr>
      <w:r>
        <w:rPr>
          <w:sz w:val="22"/>
          <w:szCs w:val="22"/>
        </w:rPr>
        <w:t xml:space="preserve">Palatul lui Irod, la Ierusalim</w:t>
      </w:r>
      <w:r>
        <w:rPr>
          <w:sz w:val="22"/>
          <w:szCs w:val="22"/>
        </w:rPr>
      </w:r>
    </w:p>
    <w:p>
      <w:pPr>
        <w:pStyle w:val="2227"/>
        <w:pBdr/>
        <w:spacing/>
        <w:ind/>
        <w:rPr/>
      </w:pPr>
      <w:r/>
      <w:r/>
    </w:p>
    <w:p>
      <w:pPr>
        <w:pStyle w:val="2227"/>
        <w:pBdr/>
        <w:spacing/>
        <w:ind/>
        <w:rPr/>
      </w:pPr>
      <w:r>
        <w:t xml:space="preserve">Construcţia de fortăreţe a continuat cu ce</w:t>
      </w:r>
      <w:r>
        <w:t xml:space="preserve">le</w:t>
      </w:r>
      <w:r>
        <w:t xml:space="preserve"> de la Maherus şi de la Masada</w:t>
      </w:r>
      <w:r>
        <w:t xml:space="preserve"> (37-31 îH)</w:t>
      </w:r>
      <w:r>
        <w:t xml:space="preserve">, </w:t>
      </w:r>
      <w:r>
        <w:t xml:space="preserve">ultima având o istorie deosebită. </w:t>
      </w:r>
      <w:r>
        <w:t xml:space="preserve">În 70 dH, după dărâmarea Ierusalimului şi a Templului, un grup din rezistenţa iudee s-a refugiat la Masada şi a început să ducă un război de gherilă împotriva romanilor. Aceştia au avut nevoie d</w:t>
      </w:r>
      <w:r>
        <w:t xml:space="preserve">e un an întreg şi de o legiune întreagă, ca să asedieze fortăreaţa apărată doar de câţiva oameni (73-74 dH; legiunea X, condusă de Flavius Silva, a construit o rampă imensă şi doar aşa, aducând pe rampă catapulte uriaşe, au reuşit să înfrângă fortăreaţa). </w:t>
      </w:r>
      <w:r/>
    </w:p>
    <w:p>
      <w:pPr>
        <w:pStyle w:val="2227"/>
        <w:pBdr/>
        <w:spacing/>
        <w:ind/>
        <w:rPr/>
      </w:pPr>
      <w:r>
        <w:t xml:space="preserve">Probabil că </w:t>
      </w:r>
      <w:r>
        <w:t xml:space="preserve">una din realizările cele mai remarcabile, făcute în favoarea romanilor, a fost</w:t>
      </w:r>
      <w:r>
        <w:t xml:space="preserve"> portul </w:t>
      </w:r>
      <w:r>
        <w:t xml:space="preserve">fortificat şi </w:t>
      </w:r>
      <w:r>
        <w:t xml:space="preserve">impozant </w:t>
      </w:r>
      <w:r>
        <w:t xml:space="preserve">de la </w:t>
      </w:r>
      <w:r>
        <w:t xml:space="preserve">Cezareea</w:t>
      </w:r>
      <w:r>
        <w:t xml:space="preserve">, </w:t>
      </w:r>
      <w:r>
        <w:t xml:space="preserve">numit</w:t>
      </w:r>
      <w:r>
        <w:t xml:space="preserve"> aşa </w:t>
      </w:r>
      <w:r>
        <w:t xml:space="preserve">în cinstea lui Cezar</w:t>
      </w:r>
      <w:r>
        <w:t xml:space="preserve"> (</w:t>
      </w:r>
      <w:r>
        <w:t xml:space="preserve">în greceşte</w:t>
      </w:r>
      <w:r>
        <w:t xml:space="preserve"> se numea</w:t>
      </w:r>
      <w:r>
        <w:t xml:space="preserve"> </w:t>
      </w:r>
      <w:r>
        <w:rPr>
          <w:i/>
          <w:iCs/>
        </w:rPr>
        <w:t xml:space="preserve">Sebastos</w:t>
      </w:r>
      <w:r>
        <w:t xml:space="preserve">, </w:t>
      </w:r>
      <w:r>
        <w:t xml:space="preserve">echivalentul latinului </w:t>
      </w:r>
      <w:r>
        <w:rPr>
          <w:i/>
          <w:iCs/>
        </w:rPr>
        <w:t xml:space="preserve">Augustus</w:t>
      </w:r>
      <w:r>
        <w:t xml:space="preserve">). </w:t>
      </w:r>
      <w:r>
        <w:t xml:space="preserve">Cezareea a fost terminată în anul 9 îH şi era construită </w:t>
      </w:r>
      <w:r>
        <w:t xml:space="preserve">să fie o cetate impunătoare, eficientă, </w:t>
      </w:r>
      <w:r>
        <w:t xml:space="preserve">încât să poată concura Alexandria în comerţul cu Arabia şi Roma.</w:t>
      </w:r>
      <w:r>
        <w:t xml:space="preserve"> Cezareea a fost construită integral în stil elenist (avea apeducte, circ, temple păgâne) şi, ca port, era la nivelul celor mai moderne tehnologii de atunci (diguri submarine</w:t>
      </w:r>
      <w:r>
        <w:t xml:space="preserve">; dane lungi, încăpătoare; ciment rezistent, hidrofil,</w:t>
      </w:r>
      <w:r>
        <w:t xml:space="preserve"> etc.).</w:t>
      </w:r>
      <w:r/>
    </w:p>
    <w:p>
      <w:pPr>
        <w:pStyle w:val="2227"/>
        <w:pBdr/>
        <w:spacing/>
        <w:ind/>
        <w:rPr/>
      </w:pPr>
      <w:r>
        <w:t xml:space="preserve">Relaţia </w:t>
      </w:r>
      <w:r>
        <w:t xml:space="preserve">lui Irod </w:t>
      </w:r>
      <w:r>
        <w:t xml:space="preserve">cu Roma a avut </w:t>
      </w:r>
      <w:r>
        <w:t xml:space="preserve">însă </w:t>
      </w:r>
      <w:r>
        <w:t xml:space="preserve">un drum sinuos</w:t>
      </w:r>
      <w:r>
        <w:t xml:space="preserve">, marcat de drumul schimbător al luptelor pentru conducerea Romei</w:t>
      </w:r>
      <w:r>
        <w:t xml:space="preserve">. În prima parte, Irod a încercat să fie câ</w:t>
      </w:r>
      <w:r>
        <w:t xml:space="preserve">t mai recunoscător lui Antonius</w:t>
      </w:r>
      <w:r>
        <w:t xml:space="preserve"> şi</w:t>
      </w:r>
      <w:r>
        <w:t xml:space="preserve">, după ce i-a dedicat fortăreaţa Antonia,</w:t>
      </w:r>
      <w:r>
        <w:t xml:space="preserve"> i-a făcut acestuia, precum şi Cleopatrei,</w:t>
      </w:r>
      <w:r>
        <w:t xml:space="preserve"> regina Egiptului şi amanta lui Antonius</w:t>
      </w:r>
      <w:r>
        <w:t xml:space="preserve">, o mulţime de daruri regale.</w:t>
      </w:r>
      <w:r>
        <w:t xml:space="preserve"> Alianţa </w:t>
      </w:r>
      <w:r>
        <w:t xml:space="preserve">tot mai apropiată cu Antonius şi Cleopatra era</w:t>
      </w:r>
      <w:r>
        <w:t xml:space="preserve"> să îl coste</w:t>
      </w:r>
      <w:r>
        <w:t xml:space="preserve">, curând,</w:t>
      </w:r>
      <w:r>
        <w:t xml:space="preserve"> şi tronul şi viaţa</w:t>
      </w:r>
      <w:r>
        <w:t xml:space="preserve">, atunci</w:t>
      </w:r>
      <w:r>
        <w:t xml:space="preserve"> când a început războiul civil între </w:t>
      </w:r>
      <w:r>
        <w:t xml:space="preserve">Antonius şi Octavian</w:t>
      </w:r>
      <w:r>
        <w:t xml:space="preserve"> (31 îH)</w:t>
      </w:r>
      <w:r>
        <w:t xml:space="preserve">.</w:t>
      </w:r>
      <w:r>
        <w:t xml:space="preserve"> Tactica lui Irod s-a dovedit strălucită: mai întâi l-a ucis pe Hircanu</w:t>
      </w:r>
      <w:r>
        <w:t xml:space="preserve">s, ca să nu mai fie cine să îi solicite sau să îi ameninţe tronul, din interior; apoi, s-a întâlnit cu Octavian, în Rodos, unde, recunoscând alianţa cu Marc Antoniu, a promis ca va sluji cu acelaşi devotament pe conducătorul legitim al Romei, pe Octavian. </w:t>
      </w:r>
      <w:r>
        <w:t xml:space="preserve">Octavian urmărea</w:t>
      </w:r>
      <w:r>
        <w:t xml:space="preserve"> şi el</w:t>
      </w:r>
      <w:r>
        <w:t xml:space="preserve">, într-adevăr, să şi-i apropie pe toţi foştii aliaţi ai lui Antonius şi, de altminteri, a fost uimit de îndrăzneala şi curajul lui Irod. L-a lăsat</w:t>
      </w:r>
      <w:r>
        <w:t xml:space="preserve">, aşadar,</w:t>
      </w:r>
      <w:r>
        <w:t xml:space="preserve"> să fie în continuare rege al Iudeii şi i-a dat şi stăpânirea unor noi regiuni: Gaza şi Ierichon.</w:t>
      </w:r>
      <w:r/>
    </w:p>
    <w:p>
      <w:pPr>
        <w:pStyle w:val="2227"/>
        <w:pBdr/>
        <w:spacing/>
        <w:ind w:firstLine="0"/>
        <w:rPr/>
      </w:pPr>
      <w:r/>
      <w:r/>
    </w:p>
    <w:p>
      <w:pPr>
        <w:pStyle w:val="2231"/>
        <w:pBdr/>
        <w:spacing/>
        <w:ind/>
        <w:rPr>
          <w:lang w:val="ro-RO"/>
        </w:rPr>
      </w:pPr>
      <w:r>
        <w:rPr>
          <w:lang w:val="ro-RO"/>
        </w:rPr>
        <w:t xml:space="preserve">4.1.2 </w:t>
      </w:r>
      <w:r>
        <w:rPr>
          <w:lang w:val="ro-RO"/>
        </w:rPr>
        <w:t xml:space="preserve">Politica internă a lui Irod</w:t>
      </w:r>
      <w:r>
        <w:rPr>
          <w:lang w:val="ro-RO"/>
        </w:rPr>
      </w:r>
      <w:r>
        <w:rPr>
          <w:lang w:val="ro-RO"/>
        </w:rPr>
      </w:r>
    </w:p>
    <w:p>
      <w:pPr>
        <w:pStyle w:val="2227"/>
        <w:pBdr/>
        <w:spacing/>
        <w:ind w:firstLine="0"/>
        <w:rPr/>
      </w:pPr>
      <w:r>
        <w:t xml:space="preserve">În plan intern, Irod a încercat să</w:t>
      </w:r>
      <w:r>
        <w:t xml:space="preserve">-i impresioneze pe iudei</w:t>
      </w:r>
      <w:r>
        <w:t xml:space="preserve"> prin pa</w:t>
      </w:r>
      <w:r>
        <w:t xml:space="preserve">cea asigurată cu romanii, prin viaţa economică înfloritoare, precum şi prin grija arătată faţă de iudeii religioşi din Ierusalim. Astfel, pe lângă palatele sale proprii şi fortăreţele care arătau clar de partea cui este puterea, Irod cel mare a adăugat şi </w:t>
      </w:r>
      <w:r>
        <w:t xml:space="preserve">reconstrucţia T</w:t>
      </w:r>
      <w:r>
        <w:t xml:space="preserve">emplului din Ierusalim în 19 îH (</w:t>
      </w:r>
      <w:r>
        <w:t xml:space="preserve">cel de al doilea Templu, sau mai bine zis, al treilea, după al lui Solomon şi al lui Zorobabel; construcţia Templului</w:t>
      </w:r>
      <w:r>
        <w:t xml:space="preserve"> s-a întins mult după moartea sa, fiind încheiată de abia în</w:t>
      </w:r>
      <w:r>
        <w:t xml:space="preserve"> 63 dH</w:t>
      </w:r>
      <w:r>
        <w:t xml:space="preserve">)</w:t>
      </w:r>
      <w:r>
        <w:t xml:space="preserve">.</w:t>
      </w:r>
      <w:r>
        <w:rPr>
          <w:rStyle w:val="2248"/>
        </w:rPr>
        <w:footnoteReference w:id="72"/>
      </w:r>
      <w:r>
        <w:t xml:space="preserve"> Proiectul lui Irod a încercat să fie la înălţimea Templului lui Solomon, şi </w:t>
      </w:r>
      <w:r>
        <w:t xml:space="preserve">chiar</w:t>
      </w:r>
      <w:r>
        <w:t xml:space="preserve"> să îl depăşească în mărime</w:t>
      </w:r>
      <w:r>
        <w:t xml:space="preserve"> şi glorie</w:t>
      </w:r>
      <w:r>
        <w:t xml:space="preserve">. </w:t>
      </w:r>
      <w:r>
        <w:t xml:space="preserve">Prin faptul că a </w:t>
      </w:r>
      <w:r>
        <w:t xml:space="preserve">re</w:t>
      </w:r>
      <w:r>
        <w:t xml:space="preserve">dat </w:t>
      </w:r>
      <w:r>
        <w:t xml:space="preserve">evreilor un simbol religios</w:t>
      </w:r>
      <w:r>
        <w:t xml:space="preserve"> la o scară</w:t>
      </w:r>
      <w:r>
        <w:t xml:space="preserve"> fără paralel (era cel mai mare templu din zona Mediteranei</w:t>
      </w:r>
      <w:r>
        <w:t xml:space="preserve">, rivalizand, </w:t>
      </w:r>
      <w:r>
        <w:t xml:space="preserve">se pare, </w:t>
      </w:r>
      <w:r>
        <w:t xml:space="preserve">şi </w:t>
      </w:r>
      <w:r>
        <w:t xml:space="preserve">chiar inspirându-se din</w:t>
      </w:r>
      <w:r>
        <w:t xml:space="preserve"> ansamblul Acropo</w:t>
      </w:r>
      <w:r>
        <w:t xml:space="preserve">lis din Atena), Irod a lăsat drum deschis şi dorinţelor extremiste ale evreilor. Astfel, </w:t>
      </w:r>
      <w:r>
        <w:t xml:space="preserve">a construit patru curţi separate în d</w:t>
      </w:r>
      <w:r>
        <w:t xml:space="preserve">ouă sectoare majore, printr-un zid gros de piatră (Soreq)</w:t>
      </w:r>
      <w:r>
        <w:t xml:space="preserve">: curtea neamurilor </w:t>
      </w:r>
      <w:r>
        <w:t xml:space="preserve">era prima incintă, cea mare, iar în interiorul ei se delimita Templul propriu-zis cu curţile evreilor înconjurate cu un zid:</w:t>
      </w:r>
      <w:r>
        <w:t xml:space="preserve"> </w:t>
      </w:r>
      <w:r>
        <w:t xml:space="preserve">curtea femeilor</w:t>
      </w:r>
      <w:r>
        <w:t xml:space="preserve"> (unde puteau veni şi bărbaţii, doar că femeilor nu li se permitea să meargă mai departe)</w:t>
      </w:r>
      <w:r>
        <w:t xml:space="preserve">, curtea </w:t>
      </w:r>
      <w:r>
        <w:t xml:space="preserve">bărbaţilor şi a leviţilor,</w:t>
      </w:r>
      <w:r>
        <w:t xml:space="preserve"> şi curtea preoţilor.</w:t>
      </w:r>
      <w:r>
        <w:t xml:space="preserve"> </w:t>
      </w:r>
      <w:r/>
    </w:p>
    <w:p>
      <w:pPr>
        <w:pStyle w:val="2227"/>
        <w:pBdr/>
        <w:spacing/>
        <w:ind w:firstLine="0"/>
        <w:rPr/>
      </w:pPr>
      <w:r/>
      <w:r/>
    </w:p>
    <w:p>
      <w:pPr>
        <w:pStyle w:val="2227"/>
        <w:pBdr/>
        <w:spacing/>
        <w:ind w:firstLine="0"/>
        <w:jc w:val="center"/>
        <w:rPr/>
      </w:pPr>
      <w:r>
        <mc:AlternateContent>
          <mc:Choice Requires="wpg">
            <w:drawing>
              <wp:inline xmlns:wp="http://schemas.openxmlformats.org/drawingml/2006/wordprocessingDrawing" distT="0" distB="0" distL="0" distR="0">
                <wp:extent cx="2907767" cy="2016277"/>
                <wp:effectExtent l="0" t="0" r="0" b="0"/>
                <wp:docPr id="11"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31">
                          <a:extLst>
                            <a:ext uri="{96DAC541-7B7A-43D3-8B79-37D633B846F1}">
                              <asvg:svgBlip xmlns:asvg="http://schemas.microsoft.com/office/drawing/2016/SVG/main" r:embed="rId32"/>
                            </a:ext>
                          </a:extLst>
                        </a:blip>
                        <a:stretch/>
                      </pic:blipFill>
                      <pic:spPr bwMode="auto">
                        <a:xfrm>
                          <a:off x="0" y="0"/>
                          <a:ext cx="2907767" cy="201627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8.96pt;height:158.76pt;mso-wrap-distance-left:0.00pt;mso-wrap-distance-top:0.00pt;mso-wrap-distance-right:0.00pt;mso-wrap-distance-bottom:0.00pt;z-index:1;" stroked="false">
                <v:imagedata r:id="rId31" o:title=""/>
                <o:lock v:ext="edit" rotation="t"/>
              </v:shape>
            </w:pict>
          </mc:Fallback>
        </mc:AlternateContent>
      </w:r>
      <w:r/>
    </w:p>
    <w:p>
      <w:pPr>
        <w:pStyle w:val="2227"/>
        <w:pBdr/>
        <w:spacing/>
        <w:ind w:firstLine="0"/>
        <w:rPr/>
      </w:pPr>
      <w:r/>
      <w:r/>
    </w:p>
    <w:p>
      <w:pPr>
        <w:pStyle w:val="2227"/>
        <w:pBdr/>
        <w:spacing/>
        <w:ind w:firstLine="0"/>
        <w:jc w:val="center"/>
        <w:rPr/>
      </w:pPr>
      <w:r>
        <w:rPr>
          <w:sz w:val="22"/>
          <w:szCs w:val="22"/>
        </w:rPr>
        <w:t xml:space="preserve">Templul irodian: doar curtea mare era accesibilă neamurilor</w:t>
      </w:r>
      <w:r/>
    </w:p>
    <w:p>
      <w:pPr>
        <w:pStyle w:val="2227"/>
        <w:pBdr/>
        <w:spacing/>
        <w:ind w:firstLine="0"/>
        <w:rPr/>
      </w:pPr>
      <w:r/>
      <w:r/>
    </w:p>
    <w:p>
      <w:pPr>
        <w:pStyle w:val="2227"/>
        <w:pBdr/>
        <w:spacing/>
        <w:ind w:firstLine="0"/>
        <w:rPr/>
      </w:pPr>
      <w:r>
        <w:t xml:space="preserve">Această împărţire nu reflecta </w:t>
      </w:r>
      <w:r>
        <w:t xml:space="preserve">structura Templului lui </w:t>
      </w:r>
      <w:r>
        <w:t xml:space="preserve">Sol</w:t>
      </w:r>
      <w:r>
        <w:t xml:space="preserve">omon</w:t>
      </w:r>
      <w:r>
        <w:t xml:space="preserve">, nici simbolistica</w:t>
      </w:r>
      <w:r>
        <w:t xml:space="preserve"> tradiţională</w:t>
      </w:r>
      <w:r>
        <w:t xml:space="preserve">, biblică.</w:t>
      </w:r>
      <w:r>
        <w:t xml:space="preserve"> Prin crearea unei curţi a neamurilor, ale cărei limite </w:t>
      </w:r>
      <w:r>
        <w:t xml:space="preserve">nu trebuiau depăşite,</w:t>
      </w:r>
      <w:r>
        <w:t xml:space="preserve"> Irod</w:t>
      </w:r>
      <w:r>
        <w:t xml:space="preserve"> includea în arhitectura Templului u</w:t>
      </w:r>
      <w:r>
        <w:t xml:space="preserve">na </w:t>
      </w:r>
      <w:r>
        <w:t xml:space="preserve">din cele </w:t>
      </w:r>
      <w:r>
        <w:t xml:space="preserve">mai exclusiviste şi mai </w:t>
      </w:r>
      <w:r>
        <w:t xml:space="preserve">naţionaliste concepţi</w:t>
      </w:r>
      <w:r>
        <w:t xml:space="preserve">i imaginabile.</w:t>
      </w:r>
      <w:r>
        <w:t xml:space="preserve"> După cum arată inscripţia următoare,  </w:t>
      </w:r>
      <w:r>
        <w:t xml:space="preserve">nici un prozelit dintre păgâni nu avea voie, chiar dacă credea în acelaşi Dumnezeu, să intre în zona rezervată evreilor:</w:t>
      </w:r>
      <w:r/>
    </w:p>
    <w:p>
      <w:pPr>
        <w:pStyle w:val="2227"/>
        <w:pBdr/>
        <w:spacing/>
        <w:ind w:firstLine="0"/>
        <w:rPr/>
      </w:pPr>
      <w:r>
        <w:t xml:space="preserve"> </w:t>
      </w:r>
      <w:r/>
    </w:p>
    <w:p>
      <w:pPr>
        <w:pStyle w:val="2227"/>
        <w:pBdr/>
        <w:spacing/>
        <w:ind w:firstLine="0"/>
        <w:jc w:val="center"/>
        <w:rPr/>
      </w:pPr>
      <w:r>
        <mc:AlternateContent>
          <mc:Choice Requires="wpg">
            <w:drawing>
              <wp:inline xmlns:wp="http://schemas.openxmlformats.org/drawingml/2006/wordprocessingDrawing" distT="0" distB="0" distL="0" distR="0">
                <wp:extent cx="3142933" cy="1742631"/>
                <wp:effectExtent l="0" t="0" r="0" b="0"/>
                <wp:docPr id="12" name="_x0000_i103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33">
                          <a:extLst>
                            <a:ext uri="{96DAC541-7B7A-43D3-8B79-37D633B846F1}">
                              <asvg:svgBlip xmlns:asvg="http://schemas.microsoft.com/office/drawing/2016/SVG/main" r:embed="rId34"/>
                            </a:ext>
                          </a:extLst>
                        </a:blip>
                        <a:stretch/>
                      </pic:blipFill>
                      <pic:spPr bwMode="auto">
                        <a:xfrm>
                          <a:off x="0" y="0"/>
                          <a:ext cx="3142933" cy="174263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47.48pt;height:137.22pt;mso-wrap-distance-left:0.00pt;mso-wrap-distance-top:0.00pt;mso-wrap-distance-right:0.00pt;mso-wrap-distance-bottom:0.00pt;z-index:1;" stroked="false">
                <v:imagedata r:id="rId33" o:title=""/>
                <o:lock v:ext="edit" rotation="t"/>
              </v:shape>
            </w:pict>
          </mc:Fallback>
        </mc:AlternateContent>
      </w:r>
      <w:r/>
    </w:p>
    <w:p>
      <w:pPr>
        <w:pStyle w:val="2227"/>
        <w:pBdr/>
        <w:spacing/>
        <w:ind w:firstLine="0"/>
        <w:rPr/>
      </w:pPr>
      <w:r/>
      <w:r/>
    </w:p>
    <w:p>
      <w:pPr>
        <w:pStyle w:val="2227"/>
        <w:pBdr/>
        <w:spacing/>
        <w:ind w:firstLine="0"/>
        <w:jc w:val="center"/>
        <w:rPr>
          <w:sz w:val="22"/>
          <w:szCs w:val="22"/>
        </w:rPr>
      </w:pPr>
      <w:r>
        <w:rPr>
          <w:sz w:val="22"/>
          <w:szCs w:val="22"/>
        </w:rPr>
        <w:t xml:space="preserve">Inscripţie de avertizare a ne-evreilor</w:t>
      </w:r>
      <w:r>
        <w:rPr>
          <w:sz w:val="22"/>
          <w:szCs w:val="22"/>
        </w:rPr>
      </w:r>
    </w:p>
    <w:p>
      <w:pPr>
        <w:pStyle w:val="2227"/>
        <w:pBdr/>
        <w:spacing/>
        <w:ind w:firstLine="0"/>
        <w:rPr/>
      </w:pPr>
      <w:r/>
      <w:r/>
    </w:p>
    <w:p>
      <w:pPr>
        <w:pStyle w:val="2227"/>
        <w:pBdr/>
        <w:spacing/>
        <w:ind w:firstLine="0"/>
        <w:rPr/>
      </w:pPr>
      <w:r>
        <w:t xml:space="preserve">Inscripţia are următorul mesaj:</w:t>
      </w:r>
      <w:r/>
    </w:p>
    <w:p>
      <w:pPr>
        <w:pStyle w:val="2227"/>
        <w:pBdr/>
        <w:spacing/>
        <w:ind w:firstLine="0"/>
        <w:rPr/>
      </w:pPr>
      <w:r/>
      <w:r/>
    </w:p>
    <w:p>
      <w:pPr>
        <w:pStyle w:val="2227"/>
        <w:pBdr/>
        <w:tabs>
          <w:tab w:val="left" w:leader="none" w:pos="1276"/>
          <w:tab w:val="left" w:leader="none" w:pos="5387"/>
        </w:tabs>
        <w:spacing/>
        <w:ind w:firstLine="0" w:left="1276"/>
        <w:rPr>
          <w:rFonts w:ascii="SPIonic" w:hAnsi="SPIonic"/>
        </w:rPr>
      </w:pPr>
      <w:r>
        <w:rPr>
          <w:rFonts w:ascii="SPIonic" w:hAnsi="SPIonic"/>
        </w:rPr>
        <w:t xml:space="preserve">MHQENA . ALLOGENH . EISPO-</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REUESQAI . ENTOS . TOU . PE-</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RI. TO. IERON. TRUFAKTOU</w:t>
      </w:r>
      <w:r>
        <w:rPr>
          <w:rFonts w:ascii="SPIonic" w:hAnsi="SPIonic"/>
        </w:rPr>
        <w:t xml:space="preserve">. KAI</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PERIBOLOU . OS . D . AN . LH-</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FQH . EAUTWI . AITIOS . ES-</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TAI . DIA . TO . ECAKOLOU-</w:t>
      </w:r>
      <w:r>
        <w:rPr>
          <w:rFonts w:ascii="SPIonic" w:hAnsi="SPIonic"/>
        </w:rPr>
      </w:r>
    </w:p>
    <w:p>
      <w:pPr>
        <w:pStyle w:val="2227"/>
        <w:pBdr/>
        <w:tabs>
          <w:tab w:val="left" w:leader="none" w:pos="1276"/>
          <w:tab w:val="left" w:leader="none" w:pos="5387"/>
        </w:tabs>
        <w:spacing/>
        <w:ind w:firstLine="0" w:left="1276"/>
        <w:rPr>
          <w:rFonts w:ascii="SPIonic" w:hAnsi="SPIonic"/>
        </w:rPr>
      </w:pPr>
      <w:r>
        <w:rPr>
          <w:rFonts w:ascii="SPIonic" w:hAnsi="SPIonic"/>
        </w:rPr>
        <w:t xml:space="preserve">QEIN . QANATON</w:t>
      </w:r>
      <w:r>
        <w:rPr>
          <w:rFonts w:ascii="SPIonic" w:hAnsi="SPIonic"/>
        </w:rPr>
      </w:r>
      <w:r>
        <w:rPr>
          <w:rFonts w:ascii="SPIonic" w:hAnsi="SPIonic"/>
        </w:rPr>
      </w:r>
    </w:p>
    <w:p>
      <w:pPr>
        <w:pStyle w:val="2227"/>
        <w:pBdr/>
        <w:spacing/>
        <w:ind w:firstLine="0"/>
        <w:rPr/>
      </w:pPr>
      <w:r/>
      <w:r/>
    </w:p>
    <w:p>
      <w:pPr>
        <w:pStyle w:val="2227"/>
        <w:pBdr/>
        <w:spacing/>
        <w:ind w:firstLine="0"/>
        <w:rPr/>
      </w:pPr>
      <w:r>
        <w:t xml:space="preserve">În traducere</w:t>
      </w:r>
      <w:r>
        <w:t xml:space="preserve">:</w:t>
      </w:r>
      <w:r>
        <w:t xml:space="preserve"> „nici un străin (de alt neam) nu va intra în</w:t>
      </w:r>
      <w:r>
        <w:t xml:space="preserve">ăuntrul zonei protejate</w:t>
      </w:r>
      <w:r>
        <w:t xml:space="preserve"> a T</w:t>
      </w:r>
      <w:r>
        <w:t xml:space="preserve">emplului. Şi oricine va fi prins</w:t>
      </w:r>
      <w:r>
        <w:t xml:space="preserve">,</w:t>
      </w:r>
      <w:r>
        <w:t xml:space="preserve"> va fi singur răspunzător </w:t>
      </w:r>
      <w:r>
        <w:t xml:space="preserve">(cauza) </w:t>
      </w:r>
      <w:r>
        <w:t xml:space="preserve">pentru</w:t>
      </w:r>
      <w:r>
        <w:t xml:space="preserve"> pedeapsa c</w:t>
      </w:r>
      <w:r>
        <w:t xml:space="preserve">are va urma, adică </w:t>
      </w:r>
      <w:r>
        <w:t xml:space="preserve">moartea.”</w:t>
      </w:r>
      <w:r>
        <w:rPr>
          <w:rStyle w:val="2248"/>
        </w:rPr>
        <w:t xml:space="preserve"> </w:t>
      </w:r>
      <w:r>
        <w:rPr>
          <w:rStyle w:val="2248"/>
        </w:rPr>
        <w:footnoteReference w:id="73"/>
      </w:r>
      <w:r/>
    </w:p>
    <w:p>
      <w:pPr>
        <w:pStyle w:val="2227"/>
        <w:pBdr/>
        <w:spacing/>
        <w:ind/>
        <w:rPr/>
      </w:pPr>
      <w:r>
        <w:t xml:space="preserve">Treptat, dintr-un anume dispreţ religios şi înclinare spre comerţ, mulţi evrei au transformat </w:t>
      </w:r>
      <w:r>
        <w:t xml:space="preserve">şi acest spaţiu într-o zonă</w:t>
      </w:r>
      <w:r>
        <w:t xml:space="preserve"> a schimburilor de bani şi a comerţului cu animale de jertfă, ceea ce îi lăsa practic pe vizitatori </w:t>
      </w:r>
      <w:r>
        <w:t xml:space="preserve">dintre celelalte neamuri, </w:t>
      </w:r>
      <w:r>
        <w:t xml:space="preserve">fără nicio posibilitate de închinare veritabilă, la Templu. </w:t>
      </w:r>
      <w:r>
        <w:t xml:space="preserve">Aceasta este curtea Templului pe care o</w:t>
      </w:r>
      <w:r>
        <w:t xml:space="preserve"> curăţă Isus, </w:t>
      </w:r>
      <w:r>
        <w:t xml:space="preserve">şi faţă de care îşi arată indignarea că în loc să ţină Templul ca o </w:t>
      </w:r>
      <w:r>
        <w:t xml:space="preserve">„casa de </w:t>
      </w:r>
      <w:r>
        <w:t xml:space="preserve">închinare</w:t>
      </w:r>
      <w:r>
        <w:t xml:space="preserve">” </w:t>
      </w:r>
      <w:r>
        <w:t xml:space="preserve">pentru toate popoarele, iudeii făcuseră din ea „o tavernă şi o peşteră de tâlhari”.</w:t>
      </w:r>
      <w:r>
        <w:t xml:space="preserve"> </w:t>
      </w:r>
      <w:r/>
    </w:p>
    <w:p>
      <w:pPr>
        <w:pStyle w:val="2227"/>
        <w:pBdr/>
        <w:spacing/>
        <w:ind/>
        <w:rPr/>
      </w:pPr>
      <w:r>
        <w:t xml:space="preserve">În afară de aceasta, </w:t>
      </w:r>
      <w:r>
        <w:t xml:space="preserve">Irod a lărgit teritoriul de sub stănânirea evreiască, ducând mai departe cuceririle hasmoneilor. </w:t>
      </w:r>
      <w:r>
        <w:t xml:space="preserve">Pe lângă teritoriile Gaza şi Ierichon, primite de la romani, Irod a mai câştigat şi altele, învingându-i </w:t>
      </w:r>
      <w:r>
        <w:t xml:space="preserve">pe arabii din Petra (31 îH; 9 îH</w:t>
      </w:r>
      <w:r>
        <w:t xml:space="preserve">)</w:t>
      </w:r>
      <w:r>
        <w:t xml:space="preserve"> şi cucerind, în </w:t>
      </w:r>
      <w:r>
        <w:t xml:space="preserve">23 îH, </w:t>
      </w:r>
      <w:r>
        <w:t xml:space="preserve">Iture</w:t>
      </w:r>
      <w:r>
        <w:t xml:space="preserve">e</w:t>
      </w:r>
      <w:r>
        <w:t xml:space="preserve">a </w:t>
      </w:r>
      <w:r>
        <w:t xml:space="preserve">şi înălţimile Golan, spre Siria, împreună cu alte domenii. </w:t>
      </w:r>
      <w:r>
        <w:t xml:space="preserve">Iudeea încep</w:t>
      </w:r>
      <w:r>
        <w:t xml:space="preserve">ea să fie tot mai aproape de graniţele ţării de pe timpul lui David şi Solomon. </w:t>
      </w:r>
      <w:r>
        <w:t xml:space="preserve">Dacă nu altfel, atunc</w:t>
      </w:r>
      <w:r>
        <w:t xml:space="preserve">i cel puţin în această privinţă</w:t>
      </w:r>
      <w:r>
        <w:t xml:space="preserve"> Irod putea fi numit un „fiu al lui David”.</w:t>
      </w:r>
      <w:r/>
    </w:p>
    <w:p>
      <w:pPr>
        <w:pStyle w:val="2227"/>
        <w:pBdr/>
        <w:spacing/>
        <w:ind/>
        <w:rPr/>
      </w:pPr>
      <w:r/>
      <w:r/>
    </w:p>
    <w:p>
      <w:pPr>
        <w:pStyle w:val="2227"/>
        <w:pBdr/>
        <w:spacing/>
        <w:ind/>
        <w:jc w:val="center"/>
        <w:rPr/>
      </w:pPr>
      <w:r>
        <mc:AlternateContent>
          <mc:Choice Requires="wpg">
            <w:drawing>
              <wp:inline xmlns:wp="http://schemas.openxmlformats.org/drawingml/2006/wordprocessingDrawing" distT="0" distB="0" distL="0" distR="0">
                <wp:extent cx="2038299" cy="2449220"/>
                <wp:effectExtent l="0" t="0" r="0" b="0"/>
                <wp:docPr id="13"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rotWithShape="1">
                        <a:blip r:embed="rId35">
                          <a:extLst>
                            <a:ext uri="{96DAC541-7B7A-43D3-8B79-37D633B846F1}">
                              <asvg:svgBlip xmlns:asvg="http://schemas.microsoft.com/office/drawing/2016/SVG/main" r:embed="rId36"/>
                            </a:ext>
                          </a:extLst>
                        </a:blip>
                        <a:stretch/>
                      </pic:blipFill>
                      <pic:spPr bwMode="auto">
                        <a:xfrm>
                          <a:off x="0" y="0"/>
                          <a:ext cx="2038299" cy="24492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60.50pt;height:192.85pt;mso-wrap-distance-left:0.00pt;mso-wrap-distance-top:0.00pt;mso-wrap-distance-right:0.00pt;mso-wrap-distance-bottom:0.00pt;z-index:1;" stroked="false">
                <v:imagedata r:id="rId35" o:title=""/>
                <o:lock v:ext="edit" rotation="t"/>
              </v:shape>
            </w:pict>
          </mc:Fallback>
        </mc:AlternateContent>
      </w:r>
      <w:r/>
    </w:p>
    <w:p>
      <w:pPr>
        <w:pStyle w:val="2227"/>
        <w:pBdr/>
        <w:spacing/>
        <w:ind/>
        <w:rPr/>
      </w:pPr>
      <w:r/>
      <w:r/>
    </w:p>
    <w:p>
      <w:pPr>
        <w:pStyle w:val="2227"/>
        <w:pBdr/>
        <w:spacing/>
        <w:ind/>
        <w:jc w:val="center"/>
        <w:rPr>
          <w:sz w:val="22"/>
          <w:szCs w:val="22"/>
        </w:rPr>
      </w:pPr>
      <w:r>
        <w:rPr>
          <w:sz w:val="22"/>
          <w:szCs w:val="22"/>
        </w:rPr>
        <w:t xml:space="preserve">Regatul iudaic în timpul lui Irod cel Mare</w:t>
      </w:r>
      <w:r>
        <w:rPr>
          <w:sz w:val="22"/>
          <w:szCs w:val="22"/>
        </w:rPr>
      </w:r>
    </w:p>
    <w:p>
      <w:pPr>
        <w:pStyle w:val="2227"/>
        <w:pBdr/>
        <w:spacing/>
        <w:ind/>
        <w:rPr/>
      </w:pPr>
      <w:r/>
      <w:r/>
    </w:p>
    <w:p>
      <w:pPr>
        <w:pStyle w:val="2227"/>
        <w:pBdr/>
        <w:spacing/>
        <w:ind w:firstLine="0"/>
        <w:rPr/>
      </w:pPr>
      <w:r>
        <w:t xml:space="preserve">Irod cel Mare rămâne, astfel, un conducător ambiţios şi contradictoriu. </w:t>
      </w:r>
      <w:r>
        <w:t xml:space="preserve">El a</w:t>
      </w:r>
      <w:r>
        <w:t xml:space="preserve"> desăvâr</w:t>
      </w:r>
      <w:r>
        <w:t xml:space="preserve">şit din punct de vedere politic</w:t>
      </w:r>
      <w:r>
        <w:t xml:space="preserve"> ascensiunea tatălui său, Antipater, </w:t>
      </w:r>
      <w:r>
        <w:t xml:space="preserve">dar nu a reuşit să creeze o dinastie trainică, pentru că fiii şi nepoţii săi, deşi au continuat să conducă</w:t>
      </w:r>
      <w:r>
        <w:t xml:space="preserve"> – în mare număr şi cu influenţă</w:t>
      </w:r>
      <w:r>
        <w:t xml:space="preserve">, nu au fost regi, ci doar tetrarchi</w:t>
      </w:r>
      <w:r>
        <w:t xml:space="preserve">, conducători locali, peste regate considerabil mai mici decât regatul hasmoneilor sau cel al lui Irod cel Mare</w:t>
      </w:r>
      <w:r>
        <w:t xml:space="preserve">. </w:t>
      </w:r>
      <w:r>
        <w:t xml:space="preserve">Ambiţiile regale au co</w:t>
      </w:r>
      <w:r>
        <w:t xml:space="preserve">ntinuat însă şi la urmaşii săi</w:t>
      </w:r>
      <w:r>
        <w:t xml:space="preserve">. Luca îl numeşte pe Irod Agripp</w:t>
      </w:r>
      <w:r>
        <w:t xml:space="preserve">a</w:t>
      </w:r>
      <w:r>
        <w:t xml:space="preserve"> II</w:t>
      </w:r>
      <w:r>
        <w:t xml:space="preserve">, împărat (basileus), şi arată că şi Festus îi zice la fel „Împărate Agrippa” (Agrippa, basileu</w:t>
      </w:r>
      <w:r>
        <w:t xml:space="preserve">; Fapte 25:13, 24</w:t>
      </w:r>
      <w:r>
        <w:t xml:space="preserve">), deşi nu era decât tetrarh al Chalcisului (27-100). </w:t>
      </w:r>
      <w:r>
        <w:t xml:space="preserve">Adevărul este că după Irod cel Mare, toţi regii din dinastie nu au fost decât tetrarchi</w:t>
      </w:r>
      <w:r>
        <w:t xml:space="preserve">, chiar dacă şi-au atribuit titulatura de „regi”</w:t>
      </w:r>
      <w:r>
        <w:t xml:space="preserve"> (Irod Archelau, etnarch peste Samaria, Iudea şi Idumea; Irod Antipas</w:t>
      </w:r>
      <w:r>
        <w:t xml:space="preserve">, tetrarch peste Galileea şi Pereea; Irod Agrippa I, </w:t>
      </w:r>
      <w:r>
        <w:t xml:space="preserve">rege </w:t>
      </w:r>
      <w:r>
        <w:t xml:space="preserve">al Iudeii; </w:t>
      </w:r>
      <w:r>
        <w:t xml:space="preserve">Irod II, Philip, tetrarch peste Itureea şi Trachonitis; Irod III, rege peste Chalcis; Irod Agrippa II, tetrarch peste Chalcis</w:t>
      </w:r>
      <w:r>
        <w:t xml:space="preserve">)</w:t>
      </w:r>
      <w:r>
        <w:t xml:space="preserve">.</w:t>
      </w:r>
      <w:r/>
    </w:p>
    <w:p>
      <w:pPr>
        <w:pStyle w:val="2227"/>
        <w:pBdr/>
        <w:spacing/>
        <w:ind/>
        <w:rPr/>
      </w:pPr>
      <w:r>
        <w:t xml:space="preserve">Istoria împărţirii regatului iudeu consemnează că după ce Irod cel Mare a murit în 4 îH, Augustus i-a aplicat testamentul şi a împărţit regatul în trei: Antipas a luat Galileea </w:t>
      </w:r>
      <w:r>
        <w:t xml:space="preserve">şi Pereea, Philip a primit Bataneea, Trachonitis, Auranitis şi părţi din Zeno (Itureea). Ambii au primit titlul de tetrarch. Restul regatului (aproape jumătate din fostul regat, Idumeea, Iudeea şi Samaria) le-a primit Archelaus, care a fost numit ethnarch.</w:t>
      </w:r>
      <w:r>
        <w:t xml:space="preserve"> Din cauza intrigilor şi brutalităţii lui Archelaus, acesta a pierdut conducerea, în 14 dH, iar Iudeea a fost transformată în provincie romană.</w:t>
      </w:r>
      <w:r/>
    </w:p>
    <w:p>
      <w:pPr>
        <w:pStyle w:val="2227"/>
        <w:pBdr/>
        <w:spacing/>
        <w:ind/>
        <w:rPr/>
      </w:pPr>
      <w:r>
        <w:t xml:space="preserve">Nemulţumirile create în sânul populaţiei evreieşti de creşterea tot mai accentuată a influenţei romane, a dus în cele din urmă la răscoala din anul 70, când Ierusalimul a fost distrus. </w:t>
      </w:r>
      <w:r>
        <w:t xml:space="preserve">Între timp, conducătorii din dinastia lui Irod au fost în permanenţă secondaţi de </w:t>
      </w:r>
      <w:r>
        <w:t xml:space="preserve">prefecţi şi procuratori</w:t>
      </w:r>
      <w:r>
        <w:t xml:space="preserve"> romani:</w:t>
      </w:r>
      <w:r/>
    </w:p>
    <w:p>
      <w:pPr>
        <w:pStyle w:val="2227"/>
        <w:pBdr/>
        <w:spacing/>
        <w:ind w:firstLine="0" w:left="720"/>
        <w:rPr/>
      </w:pPr>
      <w:r/>
      <w:r/>
    </w:p>
    <w:p>
      <w:pPr>
        <w:pStyle w:val="2227"/>
        <w:pBdr/>
        <w:spacing/>
        <w:ind w:firstLine="0" w:left="720"/>
        <w:rPr/>
      </w:pPr>
      <w:r>
        <w:t xml:space="preserve">Coponius </w:t>
        <w:tab/>
        <w:tab/>
        <w:tab/>
        <w:tab/>
        <w:t xml:space="preserve">6–9</w:t>
      </w:r>
      <w:r/>
    </w:p>
    <w:p>
      <w:pPr>
        <w:pStyle w:val="2227"/>
        <w:pBdr/>
        <w:spacing/>
        <w:ind w:firstLine="0" w:left="720"/>
        <w:rPr/>
      </w:pPr>
      <w:r>
        <w:t xml:space="preserve">Marcus Ambivulus </w:t>
        <w:tab/>
        <w:tab/>
        <w:t xml:space="preserve">9–12</w:t>
      </w:r>
      <w:r/>
    </w:p>
    <w:p>
      <w:pPr>
        <w:pStyle w:val="2227"/>
        <w:pBdr/>
        <w:spacing/>
        <w:ind w:firstLine="0" w:left="720"/>
        <w:rPr/>
      </w:pPr>
      <w:r>
        <w:t xml:space="preserve">Annius Rufus </w:t>
        <w:tab/>
        <w:tab/>
        <w:tab/>
        <w:t xml:space="preserve">12–15</w:t>
      </w:r>
      <w:r/>
    </w:p>
    <w:p>
      <w:pPr>
        <w:pStyle w:val="2227"/>
        <w:pBdr/>
        <w:spacing/>
        <w:ind w:firstLine="0" w:left="720"/>
        <w:rPr/>
      </w:pPr>
      <w:r>
        <w:t xml:space="preserve">Valerius Gratus </w:t>
        <w:tab/>
        <w:tab/>
        <w:tab/>
        <w:t xml:space="preserve">15–26</w:t>
      </w:r>
      <w:r/>
    </w:p>
    <w:p>
      <w:pPr>
        <w:pStyle w:val="2227"/>
        <w:pBdr/>
        <w:spacing/>
        <w:ind w:firstLine="0" w:left="720"/>
        <w:rPr/>
      </w:pPr>
      <w:r>
        <w:t xml:space="preserve">Pontius Pilat</w:t>
      </w:r>
      <w:r>
        <w:t xml:space="preserve"> </w:t>
        <w:tab/>
        <w:tab/>
        <w:tab/>
        <w:t xml:space="preserve">26–36</w:t>
      </w:r>
      <w:r/>
    </w:p>
    <w:p>
      <w:pPr>
        <w:pStyle w:val="2227"/>
        <w:pBdr/>
        <w:spacing/>
        <w:ind w:firstLine="0" w:left="720"/>
        <w:rPr/>
      </w:pPr>
      <w:r>
        <w:t xml:space="preserve">Marcellus </w:t>
        <w:tab/>
        <w:tab/>
        <w:tab/>
        <w:tab/>
        <w:t xml:space="preserve">36–37</w:t>
      </w:r>
      <w:r/>
    </w:p>
    <w:p>
      <w:pPr>
        <w:pStyle w:val="2227"/>
        <w:pBdr/>
        <w:spacing/>
        <w:ind w:firstLine="0" w:left="720"/>
        <w:rPr/>
      </w:pPr>
      <w:r>
        <w:t xml:space="preserve">Marullus </w:t>
        <w:tab/>
        <w:tab/>
        <w:tab/>
        <w:tab/>
        <w:t xml:space="preserve">37–41</w:t>
      </w:r>
      <w:r/>
    </w:p>
    <w:p>
      <w:pPr>
        <w:pStyle w:val="2227"/>
        <w:pBdr/>
        <w:spacing/>
        <w:ind w:firstLine="0" w:left="720"/>
        <w:rPr/>
      </w:pPr>
      <w:r/>
      <w:r/>
    </w:p>
    <w:p>
      <w:pPr>
        <w:pStyle w:val="2227"/>
        <w:pBdr/>
        <w:spacing/>
        <w:ind w:firstLine="0" w:left="720"/>
        <w:rPr/>
      </w:pPr>
      <w:r>
        <w:t xml:space="preserve">Cuspius Fadus </w:t>
        <w:tab/>
        <w:tab/>
        <w:tab/>
        <w:t xml:space="preserve">44–46</w:t>
      </w:r>
      <w:r/>
    </w:p>
    <w:p>
      <w:pPr>
        <w:pStyle w:val="2227"/>
        <w:pBdr/>
        <w:spacing/>
        <w:ind w:firstLine="0" w:left="720"/>
        <w:rPr/>
      </w:pPr>
      <w:r>
        <w:t xml:space="preserve">Tiberius Iulius Alexandru</w:t>
        <w:tab/>
      </w:r>
      <w:r>
        <w:t xml:space="preserve">46–48</w:t>
      </w:r>
      <w:r/>
    </w:p>
    <w:p>
      <w:pPr>
        <w:pStyle w:val="2227"/>
        <w:pBdr/>
        <w:spacing/>
        <w:ind w:firstLine="0" w:left="720"/>
        <w:rPr/>
      </w:pPr>
      <w:r>
        <w:t xml:space="preserve">Ventidius Cumanus </w:t>
        <w:tab/>
        <w:tab/>
        <w:t xml:space="preserve">48–52</w:t>
      </w:r>
      <w:r/>
    </w:p>
    <w:p>
      <w:pPr>
        <w:pStyle w:val="2227"/>
        <w:pBdr/>
        <w:spacing/>
        <w:ind w:firstLine="0" w:left="720"/>
        <w:rPr/>
      </w:pPr>
      <w:r>
        <w:t xml:space="preserve">Marcus Antonius Felix </w:t>
        <w:tab/>
        <w:tab/>
        <w:t xml:space="preserve">52–60</w:t>
      </w:r>
      <w:r/>
    </w:p>
    <w:p>
      <w:pPr>
        <w:pStyle w:val="2227"/>
        <w:pBdr/>
        <w:spacing/>
        <w:ind w:firstLine="0" w:left="720"/>
        <w:rPr/>
      </w:pPr>
      <w:r>
        <w:t xml:space="preserve">Porcius Festus </w:t>
        <w:tab/>
        <w:tab/>
        <w:tab/>
        <w:t xml:space="preserve">60–62</w:t>
      </w:r>
      <w:r/>
    </w:p>
    <w:p>
      <w:pPr>
        <w:pStyle w:val="2227"/>
        <w:pBdr/>
        <w:spacing/>
        <w:ind w:firstLine="0" w:left="720"/>
        <w:rPr/>
      </w:pPr>
      <w:r>
        <w:t xml:space="preserve">Lucceius Albinus </w:t>
        <w:tab/>
        <w:tab/>
        <w:tab/>
        <w:t xml:space="preserve">62–64</w:t>
      </w:r>
      <w:r/>
    </w:p>
    <w:p>
      <w:pPr>
        <w:pStyle w:val="2227"/>
        <w:pBdr/>
        <w:spacing/>
        <w:ind w:firstLine="0" w:left="720"/>
        <w:rPr/>
      </w:pPr>
      <w:r>
        <w:t xml:space="preserve">Gessius Florus </w:t>
        <w:tab/>
        <w:tab/>
        <w:tab/>
        <w:t xml:space="preserve">64–66</w:t>
      </w:r>
      <w:r/>
    </w:p>
    <w:p>
      <w:pPr>
        <w:pStyle w:val="2227"/>
        <w:pBdr/>
        <w:spacing/>
        <w:ind w:firstLine="0" w:left="720"/>
        <w:rPr/>
      </w:pPr>
      <w:r>
        <w:t xml:space="preserve">Marcus Antonius I</w:t>
      </w:r>
      <w:r>
        <w:t xml:space="preserve">ulianus </w:t>
        <w:tab/>
        <w:t xml:space="preserve">66-70</w:t>
      </w:r>
      <w:r/>
    </w:p>
    <w:p>
      <w:pPr>
        <w:pStyle w:val="2227"/>
        <w:pBdr/>
        <w:spacing/>
        <w:ind w:firstLine="0"/>
        <w:rPr/>
      </w:pPr>
      <w:r/>
      <w:r/>
    </w:p>
    <w:p>
      <w:pPr>
        <w:pStyle w:val="2227"/>
        <w:pBdr/>
        <w:spacing/>
        <w:ind w:firstLine="0"/>
        <w:rPr/>
      </w:pPr>
      <w:r>
        <w:t xml:space="preserve">Ambiguitatea conducerii lui Irod nu putea decât să stârnească nemulţumiri. Pe deoparte era supus</w:t>
      </w:r>
      <w:r>
        <w:t xml:space="preserve"> Romei, fiindu-i dator cu suirea la tron</w:t>
      </w:r>
      <w:r>
        <w:t xml:space="preserve">, pe de alta voia să îi convingă pe iudei că este un rege glorios, de anvergură mesianică, şi niciodată ei nu au putut să îl slujească mai bine pe Dumnezeu, decât în timpul domniei sale. </w:t>
      </w:r>
      <w:r/>
    </w:p>
    <w:p>
      <w:pPr>
        <w:pStyle w:val="2227"/>
        <w:pBdr/>
        <w:spacing/>
        <w:ind/>
        <w:rPr/>
      </w:pPr>
      <w:r>
        <w:t xml:space="preserve">Urmele stăpânirii romane se simţeau pretutindeni. </w:t>
      </w:r>
      <w:r>
        <w:t xml:space="preserve">Până în anul 63 îH, în cadrul dinastiei hasmoneene, regele era şi mare preot şi funcţia aceasta se transmitea ereditar. După ce romanii au preluat controlul asupra Ideii, au separat cele d</w:t>
      </w:r>
      <w:r>
        <w:t xml:space="preserve">ouă funcţii, iar marele preot era numit şi acceptat dacă avea aprobarea romanilor. Hainele marelui preot, pe care le purta la Paşti, erau păzite în fortăreaţa Antonia, iar obţinerea lor din mâna romanilor era, în sine, un gest de supunere faţă de imperiu. </w:t>
      </w:r>
      <w:r/>
    </w:p>
    <w:p>
      <w:pPr>
        <w:pStyle w:val="2227"/>
        <w:pBdr/>
        <w:spacing/>
        <w:ind/>
        <w:rPr/>
      </w:pPr>
      <w:r>
        <w:t xml:space="preserve">În piaţă circulau bani romani, evreieşti şi grece</w:t>
      </w:r>
      <w:r>
        <w:t xml:space="preserve">şti, cu care se plăteau şi taxele. Taxa către Templu nu putea fi plătită decât în moneda templului (jumătate de shekel), ca să nu fie spurcat templul cu chipuri de păgâni. Leviţii şi preoţii care se ocupau cu casele de schimb strângeau averi considerabile.</w:t>
      </w:r>
      <w:r>
        <w:t xml:space="preserve"> După ce Templul a fost distrus, în 70 dH, romanii i-au obligat pe evrei să-şi plateasca taxa către templu, de doi dinari pe an, dar </w:t>
      </w:r>
      <w:r>
        <w:t xml:space="preserve">către templul lui Zeus din Roma (</w:t>
      </w:r>
      <w:r>
        <w:rPr>
          <w:i/>
          <w:iCs/>
        </w:rPr>
        <w:t xml:space="preserve">Fiscus Iudaicus</w:t>
      </w:r>
      <w:r>
        <w:t xml:space="preserve">). Taxa nu a fost întreruptă decât de împăratul Nerva Traian, </w:t>
      </w:r>
      <w:r>
        <w:t xml:space="preserve">sau cel puţin a fost ridicată </w:t>
      </w:r>
      <w:r>
        <w:t xml:space="preserve">calomnia sau discriminarea apărută prin înregistrarea plătitorilor ca evrei (moneda bătută de Traian cu această ocazie purta inscripţia: </w:t>
      </w:r>
      <w:r>
        <w:rPr>
          <w:i/>
          <w:iCs/>
        </w:rPr>
        <w:t xml:space="preserve">Fisci Iudaici Calumnia Sublata, SC</w:t>
      </w:r>
      <w:r>
        <w:t xml:space="preserve">; adică „Calomnia taxei iudaice </w:t>
      </w:r>
      <w:r>
        <w:t xml:space="preserve">[este] </w:t>
      </w:r>
      <w:r>
        <w:t xml:space="preserve">abolită, </w:t>
      </w:r>
      <w:r>
        <w:t xml:space="preserve">[prin] </w:t>
      </w:r>
      <w:r>
        <w:t xml:space="preserve">Consensul Senatului”).</w:t>
      </w:r>
      <w:r/>
    </w:p>
    <w:p>
      <w:pPr>
        <w:pStyle w:val="2227"/>
        <w:pBdr/>
        <w:spacing/>
        <w:ind/>
        <w:rPr/>
      </w:pPr>
      <w:r>
        <w:t xml:space="preserve">Când Pilat a fost pus în funcţie </w:t>
      </w:r>
      <w:r>
        <w:t xml:space="preserve">de Tiberius (14-37)</w:t>
      </w:r>
      <w:r>
        <w:t xml:space="preserve">, în poziţia de</w:t>
      </w:r>
      <w:r>
        <w:t xml:space="preserve"> guvernator al Iudeii</w:t>
      </w:r>
      <w:r>
        <w:t xml:space="preserve"> (26</w:t>
      </w:r>
      <w:r>
        <w:t xml:space="preserve">-3</w:t>
      </w:r>
      <w:r>
        <w:t xml:space="preserve">6</w:t>
      </w:r>
      <w:r>
        <w:t xml:space="preserve">)</w:t>
      </w:r>
      <w:r>
        <w:rPr>
          <w:rStyle w:val="2248"/>
        </w:rPr>
        <w:footnoteReference w:id="74"/>
      </w:r>
      <w:r>
        <w:t xml:space="preserve">, el a </w:t>
      </w:r>
      <w:r>
        <w:t xml:space="preserve">trimis trupe î</w:t>
      </w:r>
      <w:r>
        <w:t xml:space="preserve">n Ierusalim</w:t>
      </w:r>
      <w:r>
        <w:t xml:space="preserve"> ca să pună în oraş stindardele </w:t>
      </w:r>
      <w:r>
        <w:t xml:space="preserve">şi scuturile </w:t>
      </w:r>
      <w:r>
        <w:t xml:space="preserve">cu chipul lui Cezar</w:t>
      </w:r>
      <w:r>
        <w:t xml:space="preserve">, </w:t>
      </w:r>
      <w:r>
        <w:t xml:space="preserve">pe zidul palatului lui Irod, </w:t>
      </w:r>
      <w:r>
        <w:t xml:space="preserve">ceea ce a stârnit o reacţie extrem de vehementă din partea populaţiei</w:t>
      </w:r>
      <w:r>
        <w:t xml:space="preserve">.</w:t>
      </w:r>
      <w:r>
        <w:rPr>
          <w:rStyle w:val="2248"/>
        </w:rPr>
        <w:footnoteReference w:id="75"/>
      </w:r>
      <w:r>
        <w:t xml:space="preserve"> </w:t>
      </w:r>
      <w:r>
        <w:t xml:space="preserve">Au existat şi plângeri despre el, la Tiberius, dar acesta l-a lăsat să conducă </w:t>
      </w:r>
      <w:r>
        <w:t xml:space="preserve">pe mai departe, </w:t>
      </w:r>
      <w:r>
        <w:t xml:space="preserve">cu mustrările de rigoare.</w:t>
      </w:r>
      <w:r>
        <w:t xml:space="preserve"> În timp ce prefectul dinaintea lui schimbase 5 mari preoţi la Ierusalim, în tot timpul administraţiei sale Pilat la păstrat pe Annas ca mare preot, probabil </w:t>
      </w:r>
      <w:r>
        <w:t xml:space="preserve">din dorinţa de a crea o s</w:t>
      </w:r>
      <w:r>
        <w:t xml:space="preserve">ituaţie</w:t>
      </w:r>
      <w:r>
        <w:t xml:space="preserve"> politică</w:t>
      </w:r>
      <w:r>
        <w:t xml:space="preserve"> stabilă, dar şi ca</w:t>
      </w:r>
      <w:r>
        <w:t xml:space="preserve"> urmare, foarte probabil, a serviciilor aduse de Annas.</w:t>
      </w:r>
      <w:r>
        <w:t xml:space="preserve"> </w:t>
      </w:r>
      <w:r>
        <w:t xml:space="preserve">În cele din urmă</w:t>
      </w:r>
      <w:r>
        <w:t xml:space="preserve">,</w:t>
      </w:r>
      <w:r>
        <w:t xml:space="preserve"> Pilat a fost înlăturat din funcţie din cauza unei delegaţii a samaritenilor la Vitellius, legatul roman pentru Siria</w:t>
      </w:r>
      <w:r>
        <w:t xml:space="preserve">, care l-a numit în locul său pe Marcellus</w:t>
      </w:r>
      <w:r>
        <w:t xml:space="preserve">.</w:t>
      </w:r>
      <w:r>
        <w:rPr>
          <w:rStyle w:val="2248"/>
        </w:rPr>
        <w:footnoteReference w:id="76"/>
      </w:r>
      <w:r/>
    </w:p>
    <w:p>
      <w:pPr>
        <w:pStyle w:val="2227"/>
        <w:pBdr/>
        <w:spacing/>
        <w:ind/>
        <w:rPr/>
      </w:pPr>
      <w:r>
        <w:t xml:space="preserve">O soartă asemănătoare a avut şi Flaccus, prefectul Egiptului</w:t>
      </w:r>
      <w:r>
        <w:t xml:space="preserve"> (Aulus Avilius Flaccus, conform unei inscripţii din Tentyra, Egipt, </w:t>
      </w:r>
      <w:r>
        <w:t xml:space="preserve">"C.I.</w:t>
      </w:r>
      <w:r>
        <w:t xml:space="preserve">G." No. 4716).</w:t>
      </w:r>
      <w:r>
        <w:t xml:space="preserve"> După intervenţiile iudeilor la Roma, Flaccus a fost înlăturat din administraţie</w:t>
      </w:r>
      <w:r>
        <w:t xml:space="preserve">, şi a fost executat în 39</w:t>
      </w:r>
      <w:r>
        <w:t xml:space="preserve">.</w:t>
      </w:r>
      <w:r>
        <w:rPr>
          <w:rStyle w:val="2248"/>
        </w:rPr>
        <w:footnoteReference w:id="77"/>
      </w:r>
      <w:r/>
    </w:p>
    <w:p>
      <w:pPr>
        <w:pStyle w:val="2227"/>
        <w:pBdr/>
        <w:spacing/>
        <w:ind/>
        <w:rPr/>
      </w:pPr>
      <w:r>
        <w:t xml:space="preserve">Philo</w:t>
      </w:r>
      <w:r>
        <w:t xml:space="preserve"> din Alexandria </w:t>
      </w:r>
      <w:r>
        <w:t xml:space="preserve">(25 îH – 47 dH)</w:t>
      </w:r>
      <w:r>
        <w:t xml:space="preserve">, învăţat şi politician iudeu</w:t>
      </w:r>
      <w:r>
        <w:t xml:space="preserve"> de seamă, </w:t>
      </w:r>
      <w:r>
        <w:t xml:space="preserve">reprezenta</w:t>
      </w:r>
      <w:r>
        <w:t xml:space="preserve">n</w:t>
      </w:r>
      <w:r>
        <w:t xml:space="preserve">t al uriaşei comunităţi evreieşti din Alexandria</w:t>
      </w:r>
      <w:r>
        <w:t xml:space="preserve">,</w:t>
      </w:r>
      <w:r>
        <w:t xml:space="preserve"> </w:t>
      </w:r>
      <w:r>
        <w:t xml:space="preserve">Egipt, </w:t>
      </w:r>
      <w:r>
        <w:t xml:space="preserve">a fost implicat, în mod deosebit, în apărarea dreptu</w:t>
      </w:r>
      <w:r>
        <w:t xml:space="preserve">rilor populaţiei evreieşti din i</w:t>
      </w:r>
      <w:r>
        <w:t xml:space="preserve">mperiu, atât </w:t>
      </w:r>
      <w:r>
        <w:t xml:space="preserve">pentru cei </w:t>
      </w:r>
      <w:r>
        <w:t xml:space="preserve">din Iudeea, cât şi din Alexandria</w:t>
      </w:r>
      <w:r>
        <w:t xml:space="preserve">. El chiar a condus o delegaţie la Gaius Caligula</w:t>
      </w:r>
      <w:r>
        <w:t xml:space="preserve"> (37-41)</w:t>
      </w:r>
      <w:r>
        <w:t xml:space="preserve">, în</w:t>
      </w:r>
      <w:r>
        <w:t xml:space="preserve"> </w:t>
      </w:r>
      <w:r>
        <w:t xml:space="preserve">39, în care a prezentat împăratului nedreptăţile</w:t>
      </w:r>
      <w:r>
        <w:t xml:space="preserve"> şi cruzimile</w:t>
      </w:r>
      <w:r>
        <w:t xml:space="preserve"> suferite de iudei, printre altele, </w:t>
      </w:r>
      <w:r>
        <w:t xml:space="preserve">din partea </w:t>
      </w:r>
      <w:r>
        <w:t xml:space="preserve">prefectu</w:t>
      </w:r>
      <w:r>
        <w:t xml:space="preserve">lui Flaccus, în Egipt, </w:t>
      </w:r>
      <w:r>
        <w:t xml:space="preserve">precum </w:t>
      </w:r>
      <w:r>
        <w:t xml:space="preserve">şi din partea </w:t>
      </w:r>
      <w:r>
        <w:t xml:space="preserve">prefectu</w:t>
      </w:r>
      <w:r>
        <w:t xml:space="preserve">lui Pilat</w:t>
      </w:r>
      <w:r>
        <w:t xml:space="preserve">, </w:t>
      </w:r>
      <w:r>
        <w:t xml:space="preserve">mai înainte, </w:t>
      </w:r>
      <w:r>
        <w:t xml:space="preserve">în I</w:t>
      </w:r>
      <w:r>
        <w:t xml:space="preserve">u</w:t>
      </w:r>
      <w:r>
        <w:t xml:space="preserve">deea</w:t>
      </w:r>
      <w:r>
        <w:t xml:space="preserve">, cu urmările cunoscute</w:t>
      </w:r>
      <w:r>
        <w:t xml:space="preserve">.</w:t>
      </w:r>
      <w:r>
        <w:rPr>
          <w:rStyle w:val="2248"/>
        </w:rPr>
        <w:footnoteReference w:id="78"/>
      </w:r>
      <w:r>
        <w:t xml:space="preserve"> </w:t>
      </w:r>
      <w:r/>
    </w:p>
    <w:p>
      <w:pPr>
        <w:pStyle w:val="2227"/>
        <w:pBdr/>
        <w:spacing/>
        <w:ind/>
        <w:rPr/>
      </w:pPr>
      <w:r>
        <w:t xml:space="preserve">Este interesant</w:t>
      </w:r>
      <w:r>
        <w:t xml:space="preserve"> de urmărit</w:t>
      </w:r>
      <w:r>
        <w:t xml:space="preserve"> legăturile dintre familia lu</w:t>
      </w:r>
      <w:r>
        <w:t xml:space="preserve">i Philo şi conducătorii vremii. Philo era de neam aristocrat, înrudit cu familiile regale iudee. F</w:t>
      </w:r>
      <w:r>
        <w:t xml:space="preserve">ratele său Alexandru, era de vârstă apropiată cu Claudiu</w:t>
      </w:r>
      <w:r>
        <w:t xml:space="preserve">s (împărat între 41-54)</w:t>
      </w:r>
      <w:r>
        <w:t xml:space="preserve"> şi a fost educat la Roma. El a ajuns în cele din urmă şef </w:t>
      </w:r>
      <w:r>
        <w:t xml:space="preserve">(</w:t>
      </w:r>
      <w:r>
        <w:rPr>
          <w:i/>
          <w:iCs/>
        </w:rPr>
        <w:t xml:space="preserve">alabarch</w:t>
      </w:r>
      <w:r>
        <w:t xml:space="preserve">) </w:t>
      </w:r>
      <w:r>
        <w:t xml:space="preserve">al administraţiei taxelor</w:t>
      </w:r>
      <w:r>
        <w:t xml:space="preserve"> în Egipt</w:t>
      </w:r>
      <w:r>
        <w:t xml:space="preserve"> (importuri</w:t>
      </w:r>
      <w:r>
        <w:t xml:space="preserve"> – </w:t>
      </w:r>
      <w:r>
        <w:t xml:space="preserve">exporturi spre Roma)</w:t>
      </w:r>
      <w:r>
        <w:t xml:space="preserve">, peste posesiu</w:t>
      </w:r>
      <w:r>
        <w:t xml:space="preserve">nile romane de acolo</w:t>
      </w:r>
      <w:r>
        <w:t xml:space="preserve">, şi unul din cei mai bogaţi oameni din răsăritul imperiului. Cu banii săi s-au acoperit cu argint şi aur uşile templului din Ierusalim</w:t>
      </w:r>
      <w:r>
        <w:rPr>
          <w:rStyle w:val="2248"/>
        </w:rPr>
        <w:footnoteReference w:id="79"/>
      </w:r>
      <w:r>
        <w:t xml:space="preserve"> </w:t>
      </w:r>
      <w:r>
        <w:t xml:space="preserve">şi tot el l-a împrumutat pe Irod Agrippa I cu o sumă uriaşă.</w:t>
      </w:r>
      <w:r>
        <w:rPr>
          <w:rStyle w:val="2248"/>
        </w:rPr>
        <w:footnoteReference w:id="80"/>
      </w:r>
      <w:r>
        <w:t xml:space="preserve"> Marcu, unul din fiii lui Alexandru (nepot al lui Philo), s-a căsătorit cu Berenice, fiica lui Irod Agrippa I.</w:t>
      </w:r>
      <w:r>
        <w:t xml:space="preserve"> </w:t>
      </w:r>
      <w:r>
        <w:t xml:space="preserve">Un alt nepot al lui Philo,</w:t>
      </w:r>
      <w:r>
        <w:t xml:space="preserve"> </w:t>
      </w:r>
      <w:r>
        <w:t xml:space="preserve">cetăţean roman, </w:t>
      </w:r>
      <w:r>
        <w:t xml:space="preserve">Julius Alexander Tiberius, a ajuns prefect al Egiptului şi, apoi, procurator al Iudeii</w:t>
      </w:r>
      <w:r>
        <w:t xml:space="preserve"> (46-48</w:t>
      </w:r>
      <w:r>
        <w:t xml:space="preserve">). </w:t>
      </w:r>
      <w:r/>
    </w:p>
    <w:p>
      <w:pPr>
        <w:pStyle w:val="2227"/>
        <w:pBdr/>
        <w:spacing/>
        <w:ind/>
        <w:rPr/>
      </w:pPr>
      <w:r/>
      <w:r/>
    </w:p>
    <w:p>
      <w:pPr>
        <w:pStyle w:val="2227"/>
        <w:pBdr/>
        <w:spacing/>
        <w:ind/>
        <w:rPr/>
      </w:pPr>
      <w:r/>
      <w:r/>
    </w:p>
    <w:p>
      <w:pPr>
        <w:pStyle w:val="2227"/>
        <w:pBdr/>
        <w:spacing/>
        <w:ind/>
        <w:rPr/>
      </w:pPr>
      <w:r/>
      <w:r/>
    </w:p>
    <w:p>
      <w:pPr>
        <w:pStyle w:val="2227"/>
        <w:pBdr/>
        <w:spacing/>
        <w:ind/>
        <w:rPr/>
      </w:pPr>
      <w:r/>
      <w:r/>
    </w:p>
    <w:p>
      <w:pPr>
        <w:pStyle w:val="2231"/>
        <w:pBdr/>
        <w:spacing/>
        <w:ind/>
        <w:rPr/>
      </w:pPr>
      <w:r>
        <w:t xml:space="preserve">4.1.3 Ide</w:t>
      </w:r>
      <w:r>
        <w:t xml:space="preserve">ologia</w:t>
      </w:r>
      <w:r>
        <w:t xml:space="preserve"> creştină şi imperiul roman</w:t>
      </w:r>
      <w:r/>
    </w:p>
    <w:p>
      <w:pPr>
        <w:pStyle w:val="2227"/>
        <w:pBdr/>
        <w:spacing/>
        <w:ind/>
        <w:rPr/>
      </w:pPr>
      <w:r/>
      <w:r/>
    </w:p>
    <w:p>
      <w:pPr>
        <w:pStyle w:val="2227"/>
        <w:pBdr/>
        <w:spacing/>
        <w:ind/>
        <w:rPr/>
      </w:pPr>
      <w:r>
        <w:t xml:space="preserve">Demersurile</w:t>
      </w:r>
      <w:r>
        <w:t xml:space="preserve"> politic</w:t>
      </w:r>
      <w:r>
        <w:t xml:space="preserve">e</w:t>
      </w:r>
      <w:r>
        <w:t xml:space="preserve"> </w:t>
      </w:r>
      <w:r>
        <w:t xml:space="preserve">din</w:t>
      </w:r>
      <w:r>
        <w:t xml:space="preserve"> timpul dinastiei irodiene </w:t>
      </w:r>
      <w:r>
        <w:t xml:space="preserve">au şi ş</w:t>
      </w:r>
      <w:r>
        <w:t xml:space="preserve">i o componentă creştină, în sensul că</w:t>
      </w:r>
      <w:r>
        <w:t xml:space="preserve">, în acelaşi timp, creştinii dezvoltau, pe acelaşi teritoriu al Iudeii, o altă viziune politică.</w:t>
      </w:r>
      <w:r/>
    </w:p>
    <w:p>
      <w:pPr>
        <w:pStyle w:val="2227"/>
        <w:pBdr/>
        <w:spacing/>
        <w:ind/>
        <w:rPr/>
      </w:pPr>
      <w:r>
        <w:t xml:space="preserve">De exemplu, pot fi identificate în NT mai multe linii politice proprii. </w:t>
      </w:r>
      <w:r>
        <w:t xml:space="preserve">De ex</w:t>
      </w:r>
      <w:r>
        <w:t xml:space="preserve"> </w:t>
      </w:r>
      <w:r/>
    </w:p>
    <w:p>
      <w:pPr>
        <w:pStyle w:val="2227"/>
        <w:pBdr/>
        <w:spacing/>
        <w:ind/>
        <w:rPr/>
      </w:pPr>
      <w:r>
        <w:tab/>
        <w:t xml:space="preserve">Alianţe de interes şi procuratorii romani </w:t>
      </w:r>
      <w:r/>
    </w:p>
    <w:p>
      <w:pPr>
        <w:pStyle w:val="2227"/>
        <w:pBdr/>
        <w:spacing/>
        <w:ind/>
        <w:rPr/>
      </w:pPr>
      <w:r>
        <w:t xml:space="preserve">(procesul lui Isus </w:t>
      </w:r>
      <w:r/>
    </w:p>
    <w:p>
      <w:pPr>
        <w:pStyle w:val="2227"/>
        <w:pBdr/>
        <w:spacing/>
        <w:ind/>
        <w:rPr/>
      </w:pPr>
      <w:r>
        <w:tab/>
        <w:t xml:space="preserve">şi procesele lui Pavel)</w:t>
      </w:r>
      <w:r/>
    </w:p>
    <w:p>
      <w:pPr>
        <w:pStyle w:val="2227"/>
        <w:pBdr/>
        <w:spacing/>
        <w:ind/>
        <w:rPr/>
      </w:pPr>
      <w:r>
        <w:tab/>
        <w:t xml:space="preserve">Militarii romani şi evanghelia</w:t>
      </w:r>
      <w:r/>
    </w:p>
    <w:p>
      <w:pPr>
        <w:pStyle w:val="2227"/>
        <w:pBdr/>
        <w:spacing/>
        <w:ind/>
        <w:rPr/>
      </w:pPr>
      <w:r>
        <w:tab/>
        <w:t xml:space="preserve">Creştinul şi imperiul (statul)</w:t>
      </w:r>
      <w:r/>
    </w:p>
    <w:p>
      <w:pPr>
        <w:pStyle w:val="2227"/>
        <w:pBdr/>
        <w:spacing/>
        <w:ind/>
        <w:rPr/>
      </w:pPr>
      <w:r/>
      <w:r/>
    </w:p>
    <w:p>
      <w:pPr>
        <w:pStyle w:val="2230"/>
        <w:pBdr/>
        <w:spacing/>
        <w:ind/>
        <w:rPr>
          <w:lang w:val="ro-RO"/>
        </w:rPr>
      </w:pPr>
      <w:r/>
      <w:bookmarkStart w:id="23" w:name="_Toc252991848"/>
      <w:r>
        <w:rPr>
          <w:lang w:val="ro-RO"/>
        </w:rPr>
        <w:t xml:space="preserve">4.2</w:t>
      </w:r>
      <w:r>
        <w:rPr>
          <w:lang w:val="ro-RO"/>
        </w:rPr>
        <w:t xml:space="preserve"> </w:t>
      </w:r>
      <w:r>
        <w:rPr>
          <w:lang w:val="ro-RO"/>
        </w:rPr>
        <w:t xml:space="preserve">Viaţa politică </w:t>
      </w:r>
      <w:r>
        <w:rPr>
          <w:lang w:val="ro-RO"/>
        </w:rPr>
        <w:t xml:space="preserve">în Palestina</w:t>
      </w:r>
      <w:r>
        <w:rPr>
          <w:lang w:val="ro-RO"/>
        </w:rPr>
        <w:t xml:space="preserve"> (excursus)</w:t>
      </w:r>
      <w:r>
        <w:rPr>
          <w:lang w:val="ro-RO"/>
        </w:rPr>
        <w:t xml:space="preserve">: p</w:t>
      </w:r>
      <w:r>
        <w:rPr>
          <w:lang w:val="ro-RO"/>
        </w:rPr>
        <w:t xml:space="preserve">artidele politice</w:t>
      </w:r>
      <w:bookmarkEnd w:id="23"/>
      <w:r>
        <w:rPr>
          <w:lang w:val="ro-RO"/>
        </w:rPr>
      </w:r>
      <w:r>
        <w:rPr>
          <w:lang w:val="ro-RO"/>
        </w:rPr>
      </w:r>
    </w:p>
    <w:p>
      <w:pPr>
        <w:pStyle w:val="2227"/>
        <w:pBdr/>
        <w:spacing/>
        <w:ind w:firstLine="0"/>
        <w:rPr/>
      </w:pPr>
      <w:r/>
      <w:r/>
    </w:p>
    <w:p>
      <w:pPr>
        <w:pStyle w:val="2227"/>
        <w:pBdr/>
        <w:spacing/>
        <w:ind w:firstLine="0"/>
        <w:rPr/>
      </w:pPr>
      <w:r>
        <w:t xml:space="preserve">În ce priveşte contextul intern, </w:t>
      </w:r>
      <w:r>
        <w:t xml:space="preserve">aici trebuie recunoscută existenţa mai multor partide şi grupări politice şi religioase. </w:t>
      </w:r>
      <w:r>
        <w:t xml:space="preserve">După cum scrie Josephus Flavius,</w:t>
      </w:r>
      <w:r>
        <w:rPr>
          <w:rStyle w:val="2248"/>
        </w:rPr>
        <w:footnoteReference w:id="81"/>
      </w:r>
      <w:r>
        <w:t xml:space="preserve"> în Iudeea primului secol funcţionau trei partide iudaice majore: fariseii, saducheii şi esenienii.</w:t>
      </w:r>
      <w:r>
        <w:rPr>
          <w:rStyle w:val="2248"/>
        </w:rPr>
        <w:footnoteReference w:id="82"/>
      </w:r>
      <w:r>
        <w:t xml:space="preserve"> De fapt, pe lângă acestea trei, istoricii menţionează şi gruparea irod</w:t>
      </w:r>
      <w:r>
        <w:t xml:space="preserve">ienilor şi pe cea a zeloţilor. Cele cinci grupări sunt o bună ilustraţie a diversităţii iudaice din secolul întâi (remarcate ca existenţă a mai multor „iudaisme”), şi lor li se va adăuga apoi şi creştinismul şi urmaşii lui Ioan Botezătorul, ebioniţii, etc.</w:t>
      </w:r>
      <w:r>
        <w:rPr>
          <w:rStyle w:val="2248"/>
        </w:rPr>
        <w:footnoteReference w:id="83"/>
      </w:r>
      <w:r>
        <w:t xml:space="preserve"> </w:t>
      </w:r>
      <w:r/>
    </w:p>
    <w:p>
      <w:pPr>
        <w:pStyle w:val="2231"/>
        <w:pBdr/>
        <w:spacing/>
        <w:ind/>
        <w:rPr>
          <w:lang w:val="ro-RO"/>
        </w:rPr>
      </w:pPr>
      <w:r/>
      <w:bookmarkStart w:id="24" w:name="_Toc245029874"/>
      <w:r/>
      <w:bookmarkStart w:id="25" w:name="_Toc248039484"/>
      <w:r/>
      <w:bookmarkStart w:id="26" w:name="_Toc248039706"/>
      <w:r>
        <w:rPr>
          <w:lang w:val="ro-RO"/>
        </w:rPr>
        <w:t xml:space="preserve">4.</w:t>
      </w:r>
      <w:r>
        <w:rPr>
          <w:lang w:val="ro-RO"/>
        </w:rPr>
        <w:t xml:space="preserve">1</w:t>
      </w:r>
      <w:r>
        <w:rPr>
          <w:lang w:val="ro-RO"/>
        </w:rPr>
        <w:t xml:space="preserve">.1</w:t>
      </w:r>
      <w:r>
        <w:rPr>
          <w:lang w:val="ro-RO"/>
        </w:rPr>
        <w:t xml:space="preserve"> Fariseii</w:t>
      </w:r>
      <w:bookmarkEnd w:id="24"/>
      <w:r/>
      <w:bookmarkEnd w:id="25"/>
      <w:r/>
      <w:bookmarkEnd w:id="26"/>
      <w:r>
        <w:rPr>
          <w:lang w:val="ro-RO"/>
        </w:rPr>
      </w:r>
      <w:r>
        <w:rPr>
          <w:lang w:val="ro-RO"/>
        </w:rPr>
      </w:r>
    </w:p>
    <w:p>
      <w:pPr>
        <w:pStyle w:val="2227"/>
        <w:pBdr/>
        <w:spacing/>
        <w:ind w:firstLine="0"/>
        <w:rPr/>
      </w:pPr>
      <w:r>
        <w:t xml:space="preserve">Cele mai multe informaţii despre farisei provin din scrierile lui Josephus, dar el nu lămureşte originea lor. Etimologia numelui este incertă, dar se pare că numele vine de la </w:t>
      </w:r>
      <w:r>
        <w:rPr>
          <w:i/>
          <w:iCs/>
        </w:rPr>
        <w:t xml:space="preserve">parash</w:t>
      </w:r>
      <w:r>
        <w:t xml:space="preserve">, a separa, şi unde fariseii erau numiţi şi </w:t>
      </w:r>
      <w:r>
        <w:rPr>
          <w:i/>
          <w:iCs/>
        </w:rPr>
        <w:t xml:space="preserve">perushim</w:t>
      </w:r>
      <w:r>
        <w:t xml:space="preserve">, cei separaţi (chiar separatişti, ori sectari), sau cei care fac distincţie, ori cei care explică (prin extensie, cei care învaţă). Numiţi şi </w:t>
      </w:r>
      <w:r>
        <w:rPr>
          <w:i/>
          <w:iCs/>
        </w:rPr>
        <w:t xml:space="preserve">hasidim</w:t>
      </w:r>
      <w:r>
        <w:t xml:space="preserve">, cei loiali lui Dumnezeu sau cei plăcuţi lui Dumnezeu, ei ar putea să derive din gruparea hasidim începută pe vremea lui Ezra, un fel de puritani evrei ai Legii. S-au definit ca grup distinct în timpul revoltei macabeene, în jurul anilor 165-160 îH. </w:t>
      </w:r>
      <w:r/>
    </w:p>
    <w:p>
      <w:pPr>
        <w:pStyle w:val="2227"/>
        <w:pBdr/>
        <w:spacing/>
        <w:ind/>
        <w:rPr>
          <w:rStyle w:val="2319"/>
          <w:b w:val="0"/>
          <w:bCs w:val="0"/>
        </w:rPr>
      </w:pPr>
      <w:r>
        <w:rPr>
          <w:rStyle w:val="2319"/>
          <w:b w:val="0"/>
          <w:bCs w:val="0"/>
        </w:rPr>
        <w:t xml:space="preserve">Gruparea era formată din laici şi din specialişti ai scripturii (cărturari) care insistau asupra nevoii de împlinire literală textelor sfinte. Printre ei se numărau figuri celebre cum sunt rabinii </w:t>
      </w:r>
      <w:r>
        <w:t xml:space="preserve">Hillel, Shammai, Iohanan ben Zakkai, Gamaliel, Şimon, etc., sau mistici şi pietişti cum erau Honi ha-Meaggel şi Hanina ben Dosa, ori învăţaţi şi intelectuali cum era</w:t>
      </w:r>
      <w:bookmarkStart w:id="27" w:name="BM_AHREF__beliefs_html_Philo__"/>
      <w:r/>
      <w:bookmarkEnd w:id="27"/>
      <w:r>
        <w:t xml:space="preserve"> </w:t>
      </w:r>
      <w:r>
        <w:t xml:space="preserve">Philo</w:t>
      </w:r>
      <w:r>
        <w:t xml:space="preserve"> din Alexandria.</w:t>
      </w:r>
      <w:bookmarkStart w:id="28" w:name="br"/>
      <w:r/>
      <w:bookmarkEnd w:id="28"/>
      <w:r>
        <w:t xml:space="preserve"> Saul iş-Tarsis (apostolul Pavel) era şi el un fariseu convins, şi chiar şi Isus trecea drept un rabin de şcoală farisaică.</w:t>
      </w:r>
      <w:r>
        <w:rPr>
          <w:rStyle w:val="2319"/>
          <w:b w:val="0"/>
          <w:bCs w:val="0"/>
        </w:rPr>
      </w:r>
      <w:r>
        <w:rPr>
          <w:rStyle w:val="2319"/>
          <w:b w:val="0"/>
          <w:bCs w:val="0"/>
        </w:rPr>
      </w:r>
    </w:p>
    <w:p>
      <w:pPr>
        <w:pStyle w:val="2227"/>
        <w:pBdr/>
        <w:spacing/>
        <w:ind/>
        <w:rPr>
          <w:rStyle w:val="2319"/>
          <w:b w:val="0"/>
          <w:bCs w:val="0"/>
        </w:rPr>
      </w:pPr>
      <w:r>
        <w:rPr>
          <w:rStyle w:val="2319"/>
          <w:b w:val="0"/>
          <w:bCs w:val="0"/>
        </w:rPr>
        <w:t xml:space="preserve">De fapt, fariseii credeau atât în Legea scrisă (Tora exprimată în Pentateuh), cât şi în Legea </w:t>
      </w:r>
      <w:r>
        <w:rPr>
          <w:rStyle w:val="2319"/>
          <w:b w:val="0"/>
          <w:bCs w:val="0"/>
        </w:rPr>
        <w:t xml:space="preserve">orală (tradiţia) care, după cum spuneau ei, a fost transmisă ca un gardian (ori gard) pentru păzirea Torei. Fariseii acceptau scrierile târzii (profeţii, scrierile poetice, celelalte scrieri istorice în afară de cele cinci cărţi ale lui Moise). Ei încuraja</w:t>
      </w:r>
      <w:r>
        <w:rPr>
          <w:rStyle w:val="2319"/>
          <w:b w:val="0"/>
          <w:bCs w:val="0"/>
        </w:rPr>
        <w:t xml:space="preserve">u păzirea minuţioasă a Legii, bazată pe interpretarea ei prin tradiţii suplimentare, şi încurajau închinarea şi viaţa socială în sinagogă – aparte de templul din Ierusalim, prin studii biblice şi rugăciune, atitudini care au încurajat pietismul popular şi </w:t>
      </w:r>
      <w:r>
        <w:rPr>
          <w:rStyle w:val="2319"/>
          <w:b w:val="0"/>
          <w:bCs w:val="0"/>
        </w:rPr>
        <w:t xml:space="preserve">dezvoltarea înţelepciunii de tip rabinic (de aici, şi scrierea Talmudului). Astfel, în timp ce erau conservatori şi naţionalişti, fariseii erau şi modernişti, pentru că încurajau hermeneutica actualizată a Torei, aplicarea ei în condiţiile vieţii moderne. </w:t>
      </w:r>
      <w:r>
        <w:rPr>
          <w:rStyle w:val="2319"/>
          <w:b w:val="0"/>
          <w:bCs w:val="0"/>
        </w:rPr>
      </w:r>
    </w:p>
    <w:p>
      <w:pPr>
        <w:pStyle w:val="2227"/>
        <w:pBdr/>
        <w:spacing/>
        <w:ind/>
        <w:rPr>
          <w:rStyle w:val="2319"/>
          <w:b w:val="0"/>
          <w:bCs w:val="0"/>
        </w:rPr>
      </w:pPr>
      <w:r>
        <w:rPr>
          <w:rStyle w:val="2319"/>
          <w:b w:val="0"/>
          <w:bCs w:val="0"/>
        </w:rPr>
        <w:t xml:space="preserve">În perioada următoare revoltei din 66 dH (66-135), iudaismul de tip farisaic a devenit principa</w:t>
      </w:r>
      <w:r>
        <w:rPr>
          <w:rStyle w:val="2319"/>
          <w:b w:val="0"/>
          <w:bCs w:val="0"/>
        </w:rPr>
        <w:t xml:space="preserve">lul iudaism al lumii antice (în vreme mesianismul creştin, un alt fel de farisaism, a devenit Biserica creştină). Fariseii erau democraţi în politică şi spiritualizanţi în hermeneutică, deşi continuau să ţină la simbolurile tradiţionale ale iudaismului (te</w:t>
      </w:r>
      <w:r>
        <w:rPr>
          <w:rStyle w:val="2319"/>
          <w:b w:val="0"/>
          <w:bCs w:val="0"/>
        </w:rPr>
        <w:t xml:space="preserve">mplul, circumcizia şi Legea). Ei reprezentau naţionalismul de centru, în comparaţie cu zeloţii fanatici, spiritualitatea actualizată şi trăită practic, în comparaţie cu saducheii,  şi patriotismul ascultător de Lege şi vizionar, în comparaţie cu irodienii.</w:t>
      </w:r>
      <w:r>
        <w:rPr>
          <w:rStyle w:val="2319"/>
          <w:b w:val="0"/>
          <w:bCs w:val="0"/>
        </w:rPr>
      </w:r>
    </w:p>
    <w:p>
      <w:pPr>
        <w:pStyle w:val="2231"/>
        <w:pBdr/>
        <w:spacing/>
        <w:ind/>
        <w:rPr>
          <w:lang w:val="ro-RO"/>
        </w:rPr>
      </w:pPr>
      <w:r/>
      <w:bookmarkStart w:id="29" w:name="Top"/>
      <w:r/>
      <w:bookmarkStart w:id="30" w:name="_Toc245029875"/>
      <w:r/>
      <w:bookmarkStart w:id="31" w:name="_Toc248039485"/>
      <w:r/>
      <w:bookmarkStart w:id="32" w:name="_Toc248039707"/>
      <w:r/>
      <w:bookmarkEnd w:id="29"/>
      <w:r>
        <w:rPr>
          <w:lang w:val="ro-RO"/>
        </w:rPr>
        <w:t xml:space="preserve">4.1.2</w:t>
      </w:r>
      <w:r>
        <w:rPr>
          <w:lang w:val="ro-RO"/>
        </w:rPr>
        <w:t xml:space="preserve"> Saducheii</w:t>
      </w:r>
      <w:bookmarkEnd w:id="30"/>
      <w:r/>
      <w:bookmarkEnd w:id="31"/>
      <w:r/>
      <w:bookmarkEnd w:id="32"/>
      <w:r>
        <w:rPr>
          <w:lang w:val="ro-RO"/>
        </w:rPr>
      </w:r>
      <w:r>
        <w:rPr>
          <w:lang w:val="ro-RO"/>
        </w:rPr>
      </w:r>
    </w:p>
    <w:p>
      <w:pPr>
        <w:pStyle w:val="2227"/>
        <w:pBdr/>
        <w:spacing/>
        <w:ind w:firstLine="0"/>
        <w:rPr>
          <w:rStyle w:val="2319"/>
          <w:b w:val="0"/>
          <w:bCs w:val="0"/>
        </w:rPr>
      </w:pPr>
      <w:r>
        <w:rPr>
          <w:rStyle w:val="2319"/>
          <w:b w:val="0"/>
          <w:bCs w:val="0"/>
        </w:rPr>
        <w:t xml:space="preserve">Saducheii erau o partidă de preoţi şi învăţaţi, de aristocraţi şi latifundiari bogaţi, şi sunt şi ei amintiţi în lucrările lui Josephus şi în Talmud, de cele mai multe ori în opoziţie cu fariseii.</w:t>
      </w:r>
      <w:r>
        <w:rPr>
          <w:rStyle w:val="2248"/>
        </w:rPr>
        <w:footnoteReference w:id="84"/>
      </w:r>
      <w:r>
        <w:rPr>
          <w:rStyle w:val="2319"/>
          <w:b w:val="0"/>
          <w:bCs w:val="0"/>
        </w:rPr>
        <w:t xml:space="preserve"> Etimologia numelui este nesigură: poate deriva de la Ţadoc, marele preot sub regele David (1 Regi 1), ai cărui urmaşi s-au aflat mult timp la conducerea templului din Ierusalim (cf. Eze. 44: 15–16), sau de la cuvândul ebraic </w:t>
      </w:r>
      <w:r>
        <w:rPr>
          <w:rStyle w:val="2319"/>
          <w:b w:val="0"/>
          <w:bCs w:val="0"/>
          <w:i/>
          <w:iCs/>
        </w:rPr>
        <w:t xml:space="preserve">ţadik</w:t>
      </w:r>
      <w:r>
        <w:rPr>
          <w:rStyle w:val="2319"/>
          <w:b w:val="0"/>
          <w:bCs w:val="0"/>
        </w:rPr>
        <w:t xml:space="preserve">, persoană dreaptă, sfântă. </w:t>
      </w:r>
      <w:r>
        <w:rPr>
          <w:rStyle w:val="2319"/>
          <w:b w:val="0"/>
          <w:bCs w:val="0"/>
        </w:rPr>
      </w:r>
    </w:p>
    <w:p>
      <w:pPr>
        <w:pStyle w:val="2227"/>
        <w:pBdr/>
        <w:spacing/>
        <w:ind/>
        <w:rPr>
          <w:rStyle w:val="2319"/>
          <w:b w:val="0"/>
          <w:bCs w:val="0"/>
        </w:rPr>
      </w:pPr>
      <w:r>
        <w:rPr>
          <w:rStyle w:val="2319"/>
          <w:b w:val="0"/>
          <w:bCs w:val="0"/>
        </w:rPr>
        <w:t xml:space="preserve">Ei credeau în </w:t>
      </w:r>
      <w:r>
        <w:rPr>
          <w:rStyle w:val="2319"/>
          <w:b w:val="0"/>
          <w:bCs w:val="0"/>
        </w:rPr>
        <w:t xml:space="preserve">supremaţia închinării la Templu (în contrast cu sinagoga), şi nu acceptau alte scripturi în afara Legii lui Moise (Tora, Pentateuh). În acelaşi timp erau în favoarea unui naţionalism moderat, şi pentru integrarea în lumea elenistă, chiar pentru colaborarea</w:t>
      </w:r>
      <w:r>
        <w:rPr>
          <w:rStyle w:val="2319"/>
          <w:b w:val="0"/>
          <w:bCs w:val="0"/>
        </w:rPr>
        <w:t xml:space="preserve"> cu romanii (deşi aici erau depăşiţi de politica mult mai activă a irodienilor). Colaboraţionismul lor şi integraţionismul elenist perseverent nu le-au adus, însă, prea multă simpatie în rândul poporului. Din numărul lor, totuşi, au fost aleşi mulţi mari p</w:t>
      </w:r>
      <w:r>
        <w:rPr>
          <w:rStyle w:val="2319"/>
          <w:b w:val="0"/>
          <w:bCs w:val="0"/>
        </w:rPr>
        <w:t xml:space="preserve">reoţi în Ierusalim şi au fost favorizaţi de unii din conducătorii hasmonei, care erau ei înşişi din neamul leviţilor. Pe eşichierul politic şi religios erau adversari ai fariseilor şi ai zeloţilor, precum şi ai esenienilor, dar colaborau bine cu irodienii.</w:t>
      </w:r>
      <w:r>
        <w:rPr>
          <w:rStyle w:val="2319"/>
          <w:b w:val="0"/>
          <w:bCs w:val="0"/>
        </w:rPr>
      </w:r>
    </w:p>
    <w:p>
      <w:pPr>
        <w:pStyle w:val="2227"/>
        <w:pBdr/>
        <w:spacing/>
        <w:ind/>
        <w:rPr>
          <w:rStyle w:val="2319"/>
          <w:b w:val="0"/>
          <w:bCs w:val="0"/>
        </w:rPr>
      </w:pPr>
      <w:r>
        <w:rPr>
          <w:rStyle w:val="2319"/>
          <w:b w:val="0"/>
          <w:bCs w:val="0"/>
        </w:rPr>
        <w:t xml:space="preserve">În ce priveşte învăţătura ei nu credeau în înviere, nici în existenţa îngerilor şi duhurilor, realităţile care erau importante pentru ei fiind ţara (eretz  Israel) promisă</w:t>
      </w:r>
      <w:r>
        <w:rPr>
          <w:rStyle w:val="2319"/>
          <w:b w:val="0"/>
          <w:bCs w:val="0"/>
        </w:rPr>
        <w:t xml:space="preserve"> de Dumnezeu lui Avraam (în Mc.12 ei vin la Isus cu problema celebră, imaginară, despre o nevastă şi şapte fraţi, care mor şi au o situaţie confuză în ziua învierii; Isus le răspunde că se rătăcesc necunoscând nici scripturile, nici puterea lui Dumnezeu). </w:t>
      </w:r>
      <w:r>
        <w:rPr>
          <w:rStyle w:val="2319"/>
          <w:b w:val="0"/>
          <w:bCs w:val="0"/>
        </w:rPr>
      </w:r>
    </w:p>
    <w:p>
      <w:pPr>
        <w:pStyle w:val="2227"/>
        <w:pBdr/>
        <w:spacing/>
        <w:ind/>
        <w:rPr>
          <w:rStyle w:val="2319"/>
          <w:b w:val="0"/>
          <w:bCs w:val="0"/>
        </w:rPr>
      </w:pPr>
      <w:r>
        <w:rPr>
          <w:rStyle w:val="2319"/>
          <w:b w:val="0"/>
          <w:bCs w:val="0"/>
        </w:rPr>
        <w:t xml:space="preserve">Odată cu dărâmarea templului, în 70 dH, influenţa saducheilor a scăzut drastic, rolul lor cultic fiind desfiinţat iar politica de colaborare cu lumea greco-romană fiind pusă sub semnul întrebării. </w:t>
      </w:r>
      <w:r>
        <w:rPr>
          <w:rStyle w:val="2319"/>
          <w:b w:val="0"/>
          <w:bCs w:val="0"/>
        </w:rPr>
      </w:r>
    </w:p>
    <w:p>
      <w:pPr>
        <w:pStyle w:val="2231"/>
        <w:pBdr/>
        <w:spacing/>
        <w:ind/>
        <w:rPr>
          <w:lang w:val="ro-RO"/>
        </w:rPr>
      </w:pPr>
      <w:r/>
      <w:bookmarkStart w:id="33" w:name="_Toc245029876"/>
      <w:r/>
      <w:bookmarkStart w:id="34" w:name="_Toc248039486"/>
      <w:r/>
      <w:bookmarkStart w:id="35" w:name="_Toc248039708"/>
      <w:r>
        <w:rPr>
          <w:lang w:val="ro-RO"/>
        </w:rPr>
        <w:t xml:space="preserve">4.1.3</w:t>
      </w:r>
      <w:r>
        <w:rPr>
          <w:lang w:val="ro-RO"/>
        </w:rPr>
        <w:t xml:space="preserve"> Irodienii</w:t>
      </w:r>
      <w:bookmarkEnd w:id="33"/>
      <w:r/>
      <w:bookmarkEnd w:id="34"/>
      <w:r/>
      <w:bookmarkEnd w:id="35"/>
      <w:r>
        <w:rPr>
          <w:lang w:val="ro-RO"/>
        </w:rPr>
      </w:r>
      <w:r>
        <w:rPr>
          <w:lang w:val="ro-RO"/>
        </w:rPr>
      </w:r>
    </w:p>
    <w:p>
      <w:pPr>
        <w:pStyle w:val="2227"/>
        <w:pBdr/>
        <w:spacing/>
        <w:ind w:firstLine="0"/>
        <w:rPr/>
      </w:pPr>
      <w:r>
        <w:t xml:space="preserve">Irodienii reprezentau o partidă preoţească care sprijinea politica de apropiere de Roma, a </w:t>
      </w:r>
      <w:r>
        <w:t xml:space="preserve">lui Irod. Erau numiţi de rabini şi „Boethusieni” pentru că erau de partea familiei marelui preot Boethus, a cărui fiică, Mariamne, era una din soţiile lui Irod, ai cărei fii fuseseră numiţi, succesiv, mari preoţi. Ca şi saducheii, ei erau adversari ai fari</w:t>
      </w:r>
      <w:r>
        <w:t xml:space="preserve">seilor şi ai zeloţilor, precum şi ai esenienilor. Isus atrage ucenicilor atenţia să se ferească de „aluatul fariseilor şi al lui Irod”, avându-i foarte probabil în minte pe irodieni (Mc. 8:15, cf. Mt. 26:6, 12; Luca îi aminteşte doar pe farisei Lc. 12 :1, </w:t>
      </w:r>
      <w:r>
        <w:rPr>
          <w:i/>
          <w:iCs/>
        </w:rPr>
        <w:t xml:space="preserve">cf.</w:t>
      </w:r>
      <w:r>
        <w:t xml:space="preserve"> 20 :19). În ciuda diferenţelor politice şi religioase, irodienii s-au aliat cu fariseii împotriva lui Isus (Mc. 12 :13; Mt. 22:15-16).</w:t>
      </w:r>
      <w:r/>
    </w:p>
    <w:p>
      <w:pPr>
        <w:pStyle w:val="2231"/>
        <w:pBdr/>
        <w:spacing/>
        <w:ind/>
        <w:rPr>
          <w:lang w:val="ro-RO"/>
        </w:rPr>
      </w:pPr>
      <w:r/>
      <w:bookmarkStart w:id="36" w:name="_Toc245029877"/>
      <w:r/>
      <w:bookmarkStart w:id="37" w:name="_Toc248039487"/>
      <w:r/>
      <w:bookmarkStart w:id="38" w:name="_Toc248039709"/>
      <w:r>
        <w:rPr>
          <w:lang w:val="ro-RO"/>
        </w:rPr>
        <w:t xml:space="preserve">4.1.4 </w:t>
      </w:r>
      <w:r>
        <w:rPr>
          <w:lang w:val="ro-RO"/>
        </w:rPr>
        <w:t xml:space="preserve">Esenienii</w:t>
      </w:r>
      <w:bookmarkEnd w:id="36"/>
      <w:r/>
      <w:bookmarkEnd w:id="37"/>
      <w:r/>
      <w:bookmarkEnd w:id="38"/>
      <w:r>
        <w:rPr>
          <w:lang w:val="ro-RO"/>
        </w:rPr>
      </w:r>
      <w:r>
        <w:rPr>
          <w:lang w:val="ro-RO"/>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pPr>
      <w:r>
        <w:t xml:space="preserve">Esenienii nu sunt amintiţi în NT, dar se vorbeşte despre ei în operele lui </w:t>
      </w:r>
      <w:r>
        <w:t xml:space="preserve">Philo</w:t>
      </w:r>
      <w:r>
        <w:t xml:space="preserve"> din Alexandria, Josephus Flavius, ale lui Pliniu cel bătrân şi ale istoricului creştin Eusebius (sec 3-4). </w:t>
      </w:r>
      <w:r>
        <w:t xml:space="preserve">Philo</w:t>
      </w:r>
      <w:r>
        <w:t xml:space="preserve"> îi numeşte </w:t>
      </w:r>
      <w:r>
        <w:rPr>
          <w:i/>
          <w:iCs/>
        </w:rPr>
        <w:t xml:space="preserve">essoei</w:t>
      </w:r>
      <w:r>
        <w:t xml:space="preserve"> (probabil de la </w:t>
      </w:r>
      <w:r>
        <w:rPr>
          <w:i/>
          <w:iCs/>
        </w:rPr>
        <w:t xml:space="preserve">hosios</w:t>
      </w:r>
      <w:r>
        <w:t xml:space="preserve"> – sfânt), iar la Josephus Flavius sunt denumiţi şi </w:t>
      </w:r>
      <w:r>
        <w:rPr>
          <w:i/>
          <w:iCs/>
        </w:rPr>
        <w:t xml:space="preserve">essoei</w:t>
      </w:r>
      <w:r>
        <w:t xml:space="preserve"> şi </w:t>
      </w:r>
      <w:r>
        <w:rPr>
          <w:i/>
          <w:iCs/>
        </w:rPr>
        <w:t xml:space="preserve">esseni </w:t>
      </w:r>
      <w:r>
        <w:t xml:space="preserve">(pentru alţii, termenul vine de la ebr. </w:t>
      </w:r>
      <w:bookmarkStart w:id="39" w:name="cite"/>
      <w:r/>
      <w:bookmarkEnd w:id="39"/>
      <w:r>
        <w:rPr>
          <w:i/>
        </w:rPr>
        <w:t xml:space="preserve">assaya</w:t>
      </w:r>
      <w:bookmarkStart w:id="40" w:name="BM_cite"/>
      <w:r/>
      <w:bookmarkEnd w:id="40"/>
      <w:r>
        <w:t xml:space="preserve">, care însemna vindecător, şi este interesant şi că </w:t>
      </w:r>
      <w:r>
        <w:t xml:space="preserve">Philo</w:t>
      </w:r>
      <w:r>
        <w:t xml:space="preserve"> scrie despre o sectă a Terapeuţilor, care are trăsături asemănătoare cu cele ale mişcării eseniene).</w:t>
      </w:r>
      <w:r>
        <w:rPr>
          <w:rStyle w:val="2248"/>
        </w:rPr>
        <w:footnoteReference w:id="85"/>
      </w:r>
      <w:r>
        <w:t xml:space="preserve"> </w:t>
      </w:r>
      <w:r/>
    </w:p>
    <w:p>
      <w:pPr>
        <w:pStyle w:val="2227"/>
        <w:pBdr/>
        <w:spacing/>
        <w:ind/>
        <w:rPr/>
      </w:pPr>
      <w:r>
        <w:t xml:space="preserve">Ei reprezintă o comunitate separată de închinarea din </w:t>
      </w:r>
      <w:r>
        <w:t xml:space="preserve">Ierusalim şi care s-a retras în deşert, în zona Mării Moarte, unde se pregăteau pentru venirea lui Messia şi încurajau păzirea strictă a calendarului sfânt, a Legii, criticau sever preoţii şi conducerea din Ierusalim, şi luptau împotriva elenizării Iudeii.</w:t>
      </w:r>
      <w:r/>
    </w:p>
    <w:p>
      <w:pPr>
        <w:pStyle w:val="2227"/>
        <w:pBdr/>
        <w:spacing/>
        <w:ind/>
        <w:rPr/>
      </w:pPr>
      <w:r>
        <w:t xml:space="preserve">Este posibil ca data înfiinţării lor să se</w:t>
      </w:r>
      <w:r>
        <w:t xml:space="preserve"> plaseze undeva în jurul crizei din 152 îH, când Ionatan Macabeul şi-a atribuit funcţia de mare preot, pe care a luat-o de la preoţii din linia lui Ţadoc, ceea ce a stârnit un val de proteste (astfel, originea lor este legată de apariţia grupării pro-Lege </w:t>
      </w:r>
      <w:r>
        <w:rPr>
          <w:i/>
          <w:iCs/>
        </w:rPr>
        <w:t xml:space="preserve">hasidim</w:t>
      </w:r>
      <w:r>
        <w:t xml:space="preserve">, din care aveau să se tragă şi fariseii).  Primul esenian numit clar ca atare este un anume Iud</w:t>
      </w:r>
      <w:r>
        <w:t xml:space="preserve">a, în jurul anului 110 îH. Comunitatea lor din deşert a ajuns să numere aproape 4000 de oameni şi cuprindea şi femei şi bărbaţi, care trăiau conform unui set de reguli stricte (nu era o comunitate monastică, ci una eshatologică). Existau şi comunităţi mai </w:t>
      </w:r>
      <w:r>
        <w:t xml:space="preserve">mici, prin deşerturile Palestinei, precum şi grupuri de esenieni care trăiau în anumite localităţi mai izolate. În jurul anului 68 dH ei au fost fie ucişi, fie obligaţi să fugă din comunităţile lor. Se pare că până în secolul al doilea au dispărut complet.</w:t>
      </w:r>
      <w:r/>
    </w:p>
    <w:p>
      <w:pPr>
        <w:pStyle w:val="2227"/>
        <w:pBdr/>
        <w:spacing/>
        <w:ind/>
        <w:rPr/>
      </w:pPr>
      <w:r>
        <w:t xml:space="preserve">În ce priveşte învăţătura există o asemănare destul de mare între preceptele lor şi stilul evangheliei după Ioan (se pare că, în evangheliile NT, Ioan Botezătorul şi Natanael sunt prezentaţi în termeni care fac trimiteri implicite la esenieni).</w:t>
      </w:r>
      <w:r>
        <w:rPr>
          <w:rStyle w:val="2248"/>
        </w:rPr>
        <w:footnoteReference w:id="86"/>
      </w:r>
      <w:r>
        <w:t xml:space="preserve"> </w:t>
      </w:r>
      <w:r/>
    </w:p>
    <w:p>
      <w:pPr>
        <w:pStyle w:val="2227"/>
        <w:pBdr/>
        <w:spacing/>
        <w:ind/>
        <w:rPr/>
      </w:pPr>
      <w:r>
        <w:t xml:space="preserve">Gruparea purta haine albe la liturghie, menţinea o disciplină morală strictă, avea membri celibatari, dar şi c</w:t>
      </w:r>
      <w:r>
        <w:t xml:space="preserve">ăsătoriţi, păzea cu stricteţe sabatul. Esenienii credeau în nemurirea sufletului şi practicau botezul, precum şi numeroase ritualuri de curăţire. Evitau luxul, lăcomia, condamnau nedreptatea şi interziceau înşelătoria, jurămintele, erau împotriva sclaviei.</w:t>
      </w:r>
      <w:r>
        <w:rPr>
          <w:rStyle w:val="2248"/>
        </w:rPr>
        <w:footnoteReference w:id="87"/>
      </w:r>
      <w:r>
        <w:t xml:space="preserve"> Ei îl aşteptau pe Mesia în forma a două persoane, un Mesia al lui Israel – adică davidic (regal) şi un Mesia al lui Aaron, adică un mesia preoţesc, la care se adaugă şi ideea unui Mesia profetic, Profetul ca Moise.</w:t>
      </w:r>
      <w:r>
        <w:rPr>
          <w:rStyle w:val="2248"/>
        </w:rPr>
        <w:footnoteReference w:id="88"/>
      </w:r>
      <w:r>
        <w:t xml:space="preserve"> În scrierile de la Qumran apare şi o figură misterioasă, un Învăţător al Dreptăţii, ale cărui trăsături seam</w:t>
      </w:r>
      <w:r>
        <w:t xml:space="preserve">ănă mult cu cele ale lui Isus, dar care, cel mai probabil, a fost un profet local, aflat în opoziţie faţă de preoţii, ceea ce ne arată cât de mult era aşteptat Mesia în acele zile şi cât de mult era luat în consideraţie conflictul cu preoţii din Ierusalim.</w:t>
      </w:r>
      <w:r>
        <w:rPr>
          <w:rStyle w:val="2248"/>
        </w:rPr>
        <w:footnoteReference w:id="89"/>
      </w:r>
      <w:r>
        <w:t xml:space="preserve"> </w:t>
      </w:r>
      <w:r/>
    </w:p>
    <w:p>
      <w:pPr>
        <w:pStyle w:val="2231"/>
        <w:pBdr/>
        <w:spacing/>
        <w:ind/>
        <w:rPr>
          <w:rStyle w:val="2384"/>
          <w:lang w:val="ro-RO"/>
        </w:rPr>
      </w:pPr>
      <w:r/>
      <w:bookmarkStart w:id="41" w:name="_Toc245029878"/>
      <w:r/>
      <w:bookmarkStart w:id="42" w:name="_Toc248039488"/>
      <w:r/>
      <w:bookmarkStart w:id="43" w:name="_Toc248039710"/>
      <w:r>
        <w:rPr>
          <w:rStyle w:val="2384"/>
          <w:lang w:val="ro-RO"/>
        </w:rPr>
        <w:t xml:space="preserve">4.1.5 </w:t>
      </w:r>
      <w:r>
        <w:rPr>
          <w:rStyle w:val="2384"/>
          <w:szCs w:val="24"/>
          <w:lang w:val="ro-RO"/>
        </w:rPr>
        <w:t xml:space="preserve">Zeloţii</w:t>
      </w:r>
      <w:bookmarkEnd w:id="41"/>
      <w:r/>
      <w:bookmarkEnd w:id="42"/>
      <w:r/>
      <w:bookmarkEnd w:id="43"/>
      <w:r>
        <w:rPr>
          <w:rStyle w:val="2384"/>
          <w:lang w:val="ro-RO"/>
        </w:rPr>
      </w:r>
      <w:r>
        <w:rPr>
          <w:rStyle w:val="2384"/>
          <w:lang w:val="ro-RO"/>
        </w:rPr>
      </w:r>
    </w:p>
    <w:p>
      <w:pPr>
        <w:pStyle w:val="2227"/>
        <w:pBdr/>
        <w:spacing/>
        <w:ind w:firstLine="0"/>
        <w:rPr/>
      </w:pPr>
      <w:r>
        <w:t xml:space="preserve">Zeloţii erau o grupare patriotică radicală care se opunea stăpânirii romane folosind atacuri înarmate de tip gherilă. Înrudiţi cu fariseii, percepuţi chiar ca un fariseism extremist, ea era compusă din mai multe facţiuni, dintre care cea numită Sicarii</w:t>
      </w:r>
      <w:r>
        <w:t xml:space="preserve"> era o mişcare teroristă responsabilă de cele mai multe atacuri sângeroase împotriva romanilor. Ca mişcare politică ea nu a a câştigat multă trecere în societatea normală, generală a iudeilor din Palestina, rămânând of formă de militantism politic extrem. </w:t>
      </w:r>
      <w:r/>
    </w:p>
    <w:p>
      <w:pPr>
        <w:pStyle w:val="2227"/>
        <w:pBdr/>
        <w:spacing/>
        <w:ind/>
        <w:rPr/>
      </w:pPr>
      <w:r>
        <w:t xml:space="preserve">Ea a fost activă aproximativ timp de 70-130 de ani, până la distrugerea Ierusalimului din timpul revoltei lui bar-Kochba (132-135). A</w:t>
      </w:r>
      <w:r>
        <w:t xml:space="preserve"> început în timpul domniei lui Irod cel Mare, ca opoziţie faţă de vasalitatea romană a Iudeii. În jurul anului 6 dH au organizat o rebeliune faţă de romani, condusă de Iuda Galileeanul şi de Sicari. Mai târziu, în 73 dH au devenit faimoşi prin rezistenţa o</w:t>
      </w:r>
      <w:r>
        <w:t xml:space="preserve">pusă romanilor în fortăreaţa Ma</w:t>
      </w:r>
      <w:r>
        <w:t xml:space="preserve">sada, în sudul Iudeii (construită de Irod în 37 îH).</w:t>
      </w:r>
      <w:bookmarkStart w:id="44" w:name="BM_BRCLEAR_all_"/>
      <w:r/>
      <w:bookmarkEnd w:id="44"/>
      <w:r>
        <w:t xml:space="preserve"> Acolo au pierit 960 de oameni, când s-au sinucis ca să nu ajungă în mâinile romanilor.</w:t>
      </w:r>
      <w:r>
        <w:rPr>
          <w:rStyle w:val="2248"/>
        </w:rPr>
        <w:footnoteReference w:id="90"/>
      </w:r>
      <w:r/>
    </w:p>
    <w:p>
      <w:pPr>
        <w:pStyle w:val="2227"/>
        <w:pBdr/>
        <w:spacing/>
        <w:ind w:firstLine="0"/>
        <w:rPr/>
      </w:pPr>
      <w:r/>
      <w:r/>
    </w:p>
    <w:p>
      <w:pPr>
        <w:pStyle w:val="2227"/>
        <w:pBdr/>
        <w:spacing/>
        <w:ind/>
        <w:rPr/>
      </w:pPr>
      <w:r>
        <w:t xml:space="preserve">Bibliografie</w:t>
      </w:r>
      <w:r>
        <w:t xml:space="preserve">:</w:t>
      </w:r>
      <w:r/>
    </w:p>
    <w:p>
      <w:pPr>
        <w:pStyle w:val="2227"/>
        <w:pBdr/>
        <w:spacing/>
        <w:ind/>
        <w:rPr/>
      </w:pPr>
      <w:r/>
      <w:r/>
    </w:p>
    <w:p>
      <w:pPr>
        <w:pStyle w:val="2227"/>
        <w:pBdr/>
        <w:spacing/>
        <w:ind/>
        <w:rPr/>
      </w:pPr>
      <w:r>
        <w:t xml:space="preserve">O. Drîmba, </w:t>
      </w:r>
      <w:r>
        <w:rPr>
          <w:i/>
        </w:rPr>
        <w:t xml:space="preserve">Istoria culturii şi civilizaţiei, </w:t>
      </w:r>
      <w:r>
        <w:t xml:space="preserve">vol. 1, pp.175-199 (cf. Organizare politică, Cartea alianţei – VT).</w:t>
      </w:r>
      <w:r/>
    </w:p>
    <w:p>
      <w:pPr>
        <w:pStyle w:val="2227"/>
        <w:pBdr/>
        <w:spacing/>
        <w:ind/>
        <w:rPr/>
      </w:pPr>
      <w:r>
        <w:t xml:space="preserve">Bright, </w:t>
      </w:r>
      <w:r>
        <w:rPr>
          <w:i/>
        </w:rPr>
        <w:t xml:space="preserve">History, </w:t>
      </w:r>
      <w:r>
        <w:t xml:space="preserve">148-162</w:t>
      </w:r>
      <w:r/>
    </w:p>
    <w:p>
      <w:pPr>
        <w:pStyle w:val="2227"/>
        <w:pBdr/>
        <w:spacing/>
        <w:ind/>
        <w:rPr/>
      </w:pPr>
      <w:r>
        <w:t xml:space="preserve">Rowland, </w:t>
      </w:r>
      <w:r>
        <w:rPr>
          <w:i/>
        </w:rPr>
        <w:t xml:space="preserve">Origins,</w:t>
      </w:r>
      <w:r>
        <w:t xml:space="preserve"> 29-32, 68-87</w:t>
      </w:r>
      <w:r/>
    </w:p>
    <w:p>
      <w:pPr>
        <w:pStyle w:val="2227"/>
        <w:pBdr/>
        <w:spacing/>
        <w:ind/>
        <w:rPr/>
      </w:pPr>
      <w:r>
        <w:t xml:space="preserve">X. Leon-Dufour, „Legământ”, Vocabular de teologie biblică, 356-362</w:t>
      </w:r>
      <w:r/>
    </w:p>
    <w:p>
      <w:pPr>
        <w:pStyle w:val="2227"/>
        <w:pBdr/>
        <w:spacing/>
        <w:ind/>
        <w:rPr/>
      </w:pPr>
      <w:r>
        <w:t xml:space="preserve">Philo, Delegatie către Caius.</w:t>
      </w:r>
      <w:r/>
    </w:p>
    <w:p>
      <w:pPr>
        <w:pStyle w:val="2227"/>
        <w:pBdr/>
        <w:spacing/>
        <w:ind/>
        <w:rPr/>
      </w:pPr>
      <w:r>
        <w:t xml:space="preserve">Stelian Tofană, </w:t>
      </w:r>
      <w:r>
        <w:rPr>
          <w:i/>
        </w:rPr>
        <w:t xml:space="preserve">Introducere în studiul NT</w:t>
      </w:r>
      <w:r>
        <w:t xml:space="preserve">, vol. 1, 227-291 (iudaismul epocii NT)</w:t>
      </w:r>
      <w:r/>
    </w:p>
    <w:p>
      <w:pPr>
        <w:pStyle w:val="2227"/>
        <w:pBdr/>
        <w:spacing/>
        <w:ind/>
        <w:rPr/>
      </w:pPr>
      <w:r/>
      <w:r/>
    </w:p>
    <w:p>
      <w:pPr>
        <w:pStyle w:val="2227"/>
        <w:pBdr/>
        <w:spacing/>
        <w:ind/>
        <w:rPr/>
      </w:pPr>
      <w:r>
        <w:t xml:space="preserve">C.J.H. Wright, Living as the People of God. The Relevance of OT Ethics, Leicester: IVP, 1983, 46-64</w:t>
      </w:r>
      <w:r/>
    </w:p>
    <w:p>
      <w:pPr>
        <w:pStyle w:val="2227"/>
        <w:pBdr/>
        <w:spacing/>
        <w:ind/>
        <w:rPr/>
      </w:pPr>
      <w:r>
        <w:t xml:space="preserve">N.T.</w:t>
      </w:r>
      <w:r>
        <w:t xml:space="preserve"> </w:t>
      </w:r>
      <w:r>
        <w:t xml:space="preserve">Wright, </w:t>
      </w:r>
      <w:r>
        <w:rPr>
          <w:i/>
        </w:rPr>
        <w:t xml:space="preserve">The New Testament and the People of God</w:t>
      </w:r>
      <w:r>
        <w:t xml:space="preserve">, London: SPCK, 1992, 216-243 (simboluri)</w:t>
      </w:r>
      <w:r/>
    </w:p>
    <w:p>
      <w:pPr>
        <w:pStyle w:val="2227"/>
        <w:pBdr/>
        <w:spacing/>
        <w:ind/>
        <w:rPr/>
      </w:pPr>
      <w:r/>
      <w:r/>
    </w:p>
    <w:p>
      <w:pPr>
        <w:pStyle w:val="2227"/>
        <w:pBdr/>
        <w:spacing/>
        <w:ind/>
        <w:rPr/>
      </w:pPr>
      <w:r>
        <w:t xml:space="preserve">L. Ryken, „covenant”, in L. Ryken et al (eds), </w:t>
      </w:r>
      <w:r>
        <w:rPr>
          <w:i/>
        </w:rPr>
        <w:t xml:space="preserve">Dictionary of Biblical Imagery</w:t>
      </w:r>
      <w:r>
        <w:t xml:space="preserve">, Leicester: IVP, 1998, 176-178</w:t>
      </w:r>
      <w:r/>
    </w:p>
    <w:p>
      <w:pPr>
        <w:pStyle w:val="2227"/>
        <w:pBdr/>
        <w:spacing/>
        <w:ind/>
        <w:rPr/>
      </w:pPr>
      <w:r>
        <w:t xml:space="preserve">L. Ryken, „temple”, in L. Ryken et al (eds), </w:t>
      </w:r>
      <w:r>
        <w:rPr>
          <w:i/>
        </w:rPr>
        <w:t xml:space="preserve">Dictionary of Biblical Imagery</w:t>
      </w:r>
      <w:r>
        <w:t xml:space="preserve">, Leicester: IVP, 1998, 849-851</w:t>
      </w:r>
      <w:r/>
    </w:p>
    <w:p>
      <w:pPr>
        <w:pStyle w:val="2227"/>
        <w:pBdr/>
        <w:spacing/>
        <w:ind/>
        <w:rPr/>
      </w:pPr>
      <w:r>
        <w:t xml:space="preserve">L. Ryken, „circumcision”, in L. Ryken et al (eds), </w:t>
      </w:r>
      <w:r>
        <w:rPr>
          <w:i/>
        </w:rPr>
        <w:t xml:space="preserve">Dictionary of Biblical Imagery</w:t>
      </w:r>
      <w:r>
        <w:t xml:space="preserve">, Leicester: IVP, 1998, 148-149</w:t>
      </w:r>
      <w:r/>
    </w:p>
    <w:p>
      <w:pPr>
        <w:pStyle w:val="2227"/>
        <w:pBdr/>
        <w:spacing/>
        <w:ind/>
        <w:rPr/>
      </w:pPr>
      <w:r>
        <w:t xml:space="preserve">J.Bright, </w:t>
      </w:r>
      <w:r>
        <w:rPr>
          <w:i/>
        </w:rPr>
        <w:t xml:space="preserve">A History of Israel</w:t>
      </w:r>
      <w:r>
        <w:t xml:space="preserve">, London: SCM, 1991, 148-162 (despre legământ) </w:t>
      </w:r>
      <w:r/>
    </w:p>
    <w:p>
      <w:pPr>
        <w:pStyle w:val="2227"/>
        <w:pBdr/>
        <w:spacing/>
        <w:ind/>
        <w:rPr/>
      </w:pPr>
      <w:r>
        <w:t xml:space="preserve">E.W. Nicholson, God and His People: Covenant and Theology in the Old Testament. Oxford: Clarendon Press, 1998.</w:t>
      </w:r>
      <w:r/>
    </w:p>
    <w:p>
      <w:pPr>
        <w:pStyle w:val="2227"/>
        <w:pBdr/>
        <w:spacing/>
        <w:ind/>
        <w:rPr/>
      </w:pPr>
      <w:r/>
      <w:r/>
    </w:p>
    <w:p>
      <w:pPr>
        <w:pStyle w:val="2227"/>
        <w:pBdr/>
        <w:spacing/>
        <w:ind/>
        <w:rPr/>
      </w:pPr>
      <w:r/>
      <w:r/>
    </w:p>
    <w:p>
      <w:pPr>
        <w:pStyle w:val="2227"/>
        <w:pBdr/>
        <w:spacing/>
        <w:ind/>
        <w:rPr/>
      </w:pPr>
      <w:r>
        <w:t xml:space="preserve">J. Giblert si R. Girard, „Legamant”, in X. Leon-Dufour et al (eds), </w:t>
      </w:r>
      <w:r>
        <w:rPr>
          <w:i/>
        </w:rPr>
        <w:t xml:space="preserve">Vocabular de teologie biblică</w:t>
      </w:r>
      <w:r>
        <w:t xml:space="preserve">, Bucuresti: Ed Arh.RC, 2001, 356-362</w:t>
      </w:r>
      <w:r/>
    </w:p>
    <w:p>
      <w:pPr>
        <w:pStyle w:val="2227"/>
        <w:pBdr/>
        <w:spacing/>
        <w:ind/>
        <w:rPr/>
      </w:pPr>
      <w:r>
        <w:t xml:space="preserve">E.W. Nicholson, God and His People: Covenant and Theology in the Old Testament. Oxford: Clarendon Press, 1998.</w:t>
      </w:r>
      <w:r/>
    </w:p>
    <w:p>
      <w:pPr>
        <w:pStyle w:val="2227"/>
        <w:pBdr/>
        <w:spacing/>
        <w:ind/>
        <w:rPr/>
      </w:pPr>
      <w:r>
        <w:t xml:space="preserve">D.R. Hillers, </w:t>
      </w:r>
      <w:r>
        <w:rPr>
          <w:i/>
          <w:iCs/>
        </w:rPr>
        <w:t xml:space="preserve">Covenant: The History of a Biblical Idea</w:t>
      </w:r>
      <w:r>
        <w:t xml:space="preserve">. Baltimore &amp; London: The John Hopkins University Press, 1969</w:t>
      </w:r>
      <w:r/>
    </w:p>
    <w:p>
      <w:pPr>
        <w:pStyle w:val="2227"/>
        <w:pBdr/>
        <w:spacing/>
        <w:ind/>
        <w:rPr/>
      </w:pPr>
      <w:r>
        <w:t xml:space="preserve">J. Behm, „Diatheke,” Gerhard Kittel, ed. </w:t>
      </w:r>
      <w:r>
        <w:rPr>
          <w:i/>
          <w:iCs/>
        </w:rPr>
        <w:t xml:space="preserve">Theological Dictionary of the New Testament</w:t>
      </w:r>
      <w:r>
        <w:t xml:space="preserve">, Vol. 2, Grand Rapids: Eerdmans, 1964.</w:t>
      </w:r>
      <w:r/>
    </w:p>
    <w:p>
      <w:pPr>
        <w:pStyle w:val="2227"/>
        <w:pBdr/>
        <w:spacing/>
        <w:ind/>
        <w:rPr/>
      </w:pPr>
      <w:r>
        <w:t xml:space="preserve">G.J. McConville, „tyrB (</w:t>
      </w:r>
      <w:r>
        <w:rPr>
          <w:i/>
          <w:iCs/>
        </w:rPr>
        <w:t xml:space="preserve">Berît</w:t>
      </w:r>
      <w:r>
        <w:t xml:space="preserve">),” William A. van Gemeren, General Editor, </w:t>
      </w:r>
      <w:r>
        <w:rPr>
          <w:i/>
          <w:iCs/>
        </w:rPr>
        <w:t xml:space="preserve">New International Dictionary of Old Testament Theology &amp; Exegesis</w:t>
      </w:r>
      <w:r>
        <w:t xml:space="preserve">, Vol. 1. Carlisle: Paternoster Press, 1996.</w:t>
      </w:r>
      <w:r/>
    </w:p>
    <w:p>
      <w:pPr>
        <w:pStyle w:val="2227"/>
        <w:pBdr/>
        <w:spacing/>
        <w:ind/>
        <w:rPr/>
      </w:pPr>
      <w:r>
        <w:t xml:space="preserve">C.C. Newman, „Covenant, New Covenant,” R.P. Martin şi P.H. Davids, </w:t>
      </w:r>
      <w:r>
        <w:rPr>
          <w:i/>
          <w:iCs/>
        </w:rPr>
        <w:t xml:space="preserve">Dictionary of the Later New Testament</w:t>
      </w:r>
      <w:r>
        <w:t xml:space="preserve">, Leicester: IVP, 1997: 245-250.</w:t>
      </w:r>
      <w:r/>
    </w:p>
    <w:p>
      <w:pPr>
        <w:pStyle w:val="2227"/>
        <w:pBdr/>
        <w:spacing/>
        <w:ind/>
        <w:rPr/>
      </w:pPr>
      <w:r/>
      <w:r/>
    </w:p>
    <w:p>
      <w:pPr>
        <w:pStyle w:val="2229"/>
        <w:pBdr/>
        <w:spacing/>
        <w:ind w:firstLine="0"/>
        <w:rPr/>
      </w:pPr>
      <w:r>
        <w:br w:type="page" w:clear="all"/>
      </w:r>
      <w:bookmarkStart w:id="45" w:name="_Toc252991849"/>
      <w:r>
        <w:t xml:space="preserve">C</w:t>
      </w:r>
      <w:r>
        <w:t xml:space="preserve">apitolul 5</w:t>
      </w:r>
      <w:r>
        <w:t xml:space="preserve">. Te</w:t>
      </w:r>
      <w:r>
        <w:t xml:space="preserve">ologia NT şi politicile s</w:t>
      </w:r>
      <w:r>
        <w:t xml:space="preserve">ociale</w:t>
      </w:r>
      <w:bookmarkEnd w:id="45"/>
      <w:r>
        <w:t xml:space="preserve"> </w:t>
      </w:r>
      <w:r/>
    </w:p>
    <w:p>
      <w:pPr>
        <w:pStyle w:val="2227"/>
        <w:pBdr/>
        <w:spacing/>
        <w:ind w:firstLine="0"/>
        <w:rPr/>
      </w:pPr>
      <w:r>
        <w:t xml:space="preserve">(săraci-bogaţi; patroni-sclavi; coduri de onoare – promovare ierarhică); problematica relaţie</w:t>
      </w:r>
      <w:r>
        <w:t xml:space="preserve">i</w:t>
      </w:r>
      <w:r>
        <w:t xml:space="preserve"> cetăţean – stat.</w:t>
      </w:r>
      <w:r/>
    </w:p>
    <w:p>
      <w:pPr>
        <w:pStyle w:val="2247"/>
        <w:pBdr/>
        <w:spacing/>
        <w:ind/>
        <w:rPr/>
      </w:pPr>
      <w:r/>
      <w:r/>
    </w:p>
    <w:p>
      <w:pPr>
        <w:pStyle w:val="2227"/>
        <w:pBdr/>
        <w:spacing/>
        <w:ind w:firstLine="0"/>
        <w:rPr/>
      </w:pPr>
      <w:r>
        <w:t xml:space="preserve">Divizări sociale şi ocupaţii în lumea NT; politica de promovări; sfinţi şi păcătoşi, patrioţi şi trădători; liberţi, diaspora şi naţionalismul; conceptul de casă şi autoritate familială.</w:t>
      </w:r>
      <w:r>
        <w:t xml:space="preserve"> Problema relaţiilor cetăţean-stat.</w:t>
      </w:r>
      <w:r/>
    </w:p>
    <w:p>
      <w:pPr>
        <w:pStyle w:val="2247"/>
        <w:pBdr/>
        <w:spacing/>
        <w:ind/>
        <w:rPr/>
      </w:pPr>
      <w:r/>
      <w:r/>
    </w:p>
    <w:p>
      <w:pPr>
        <w:pStyle w:val="2230"/>
        <w:pBdr/>
        <w:spacing/>
        <w:ind/>
        <w:rPr>
          <w:lang w:val="ro-RO"/>
        </w:rPr>
      </w:pPr>
      <w:r/>
      <w:bookmarkStart w:id="46" w:name="_Toc252991850"/>
      <w:r>
        <w:rPr>
          <w:lang w:val="ro-RO"/>
        </w:rPr>
        <w:t xml:space="preserve">5</w:t>
      </w:r>
      <w:r>
        <w:rPr>
          <w:lang w:val="ro-RO"/>
        </w:rPr>
        <w:t xml:space="preserve">.1 Problematica socială</w:t>
      </w:r>
      <w:r>
        <w:rPr>
          <w:lang w:val="ro-RO"/>
        </w:rPr>
        <w:t xml:space="preserve">: familia, educaţia, relaţiile bărbaţi-femei, sclavia, conducerea societăţii</w:t>
      </w:r>
      <w:bookmarkEnd w:id="46"/>
      <w:r>
        <w:rPr>
          <w:lang w:val="ro-RO"/>
        </w:rPr>
      </w:r>
      <w:r>
        <w:rPr>
          <w:lang w:val="ro-RO"/>
        </w:rPr>
      </w:r>
    </w:p>
    <w:p>
      <w:pPr>
        <w:pStyle w:val="2227"/>
        <w:pBdr/>
        <w:spacing/>
        <w:ind/>
        <w:rPr/>
      </w:pPr>
      <w:r/>
      <w:r/>
    </w:p>
    <w:p>
      <w:pPr>
        <w:pStyle w:val="2227"/>
        <w:pBdr/>
        <w:spacing/>
        <w:ind w:firstLine="0"/>
        <w:rPr/>
      </w:pPr>
      <w:r>
        <w:t xml:space="preserve">Aşa cum unii autori observă, c</w:t>
      </w:r>
      <w:r>
        <w:t xml:space="preserve">onducerea polisului grecesc era o problemă eminamente masculină.</w:t>
      </w:r>
      <w:r>
        <w:rPr>
          <w:rStyle w:val="2248"/>
        </w:rPr>
        <w:footnoteReference w:id="91"/>
      </w:r>
      <w:r>
        <w:t xml:space="preserve"> Bărbaţii luau hotărâri pentru comunitate.</w:t>
      </w:r>
      <w:r>
        <w:t xml:space="preserve"> În Atena şi Sparta </w:t>
      </w:r>
      <w:r>
        <w:t xml:space="preserve">regula aceasta funcţiona asigurând un acces egal la putere, </w:t>
      </w:r>
      <w:r>
        <w:t xml:space="preserve">în timp ce</w:t>
      </w:r>
      <w:r>
        <w:t xml:space="preserve"> în alte oraşe-stat apăreau diverse grupuri conducătoare,</w:t>
      </w:r>
      <w:r>
        <w:t xml:space="preserve"> </w:t>
      </w:r>
      <w:r>
        <w:t xml:space="preserve">elite</w:t>
      </w:r>
      <w:r>
        <w:t xml:space="preserve">, grupuri de familii („fraternităţi”)</w:t>
      </w:r>
      <w:r>
        <w:t xml:space="preserve">.</w:t>
      </w:r>
      <w:r>
        <w:t xml:space="preserve"> Dominaţia politică a bărbaţilor are, în afară de aceste politici de grup – sau de corp, şi reguli exclusiviste: străinii şi femeile sunt excluşi de </w:t>
      </w:r>
      <w:r>
        <w:t xml:space="preserve">la jocul politic</w:t>
      </w:r>
      <w:r>
        <w:t xml:space="preserve"> şi</w:t>
      </w:r>
      <w:r>
        <w:t xml:space="preserve">,</w:t>
      </w:r>
      <w:r>
        <w:t xml:space="preserve"> bineînţeles, şi sclavii.</w:t>
      </w:r>
      <w:r>
        <w:t xml:space="preserve"> Dominaţia masculină era mult mai accentuată în Atena decât la Roma.</w:t>
      </w:r>
      <w:r/>
    </w:p>
    <w:p>
      <w:pPr>
        <w:pStyle w:val="2227"/>
        <w:pBdr/>
        <w:spacing/>
        <w:ind/>
        <w:rPr/>
      </w:pPr>
      <w:r>
        <w:t xml:space="preserve">C</w:t>
      </w:r>
      <w:r>
        <w:t xml:space="preserve">ăsătoria reprezenta</w:t>
      </w:r>
      <w:r>
        <w:t xml:space="preserve"> norma acceptată pentru viaţa socială</w:t>
      </w:r>
      <w:r>
        <w:t xml:space="preserve"> în societatea greco-romană</w:t>
      </w:r>
      <w:r>
        <w:t xml:space="preserve">, </w:t>
      </w:r>
      <w:r>
        <w:t xml:space="preserve">dar existau </w:t>
      </w:r>
      <w:r>
        <w:t xml:space="preserve">şi </w:t>
      </w:r>
      <w:r>
        <w:t xml:space="preserve">anumite rezerve faţă de ea</w:t>
      </w:r>
      <w:r>
        <w:t xml:space="preserve"> – mai ales în cercurile greceşti</w:t>
      </w:r>
      <w:r>
        <w:t xml:space="preserve"> (</w:t>
      </w:r>
      <w:r>
        <w:t xml:space="preserve">Diogenes Laertius</w:t>
      </w:r>
      <w:r>
        <w:t xml:space="preserve">,</w:t>
      </w:r>
      <w:r>
        <w:t xml:space="preserve"> </w:t>
      </w:r>
      <w:r>
        <w:rPr>
          <w:i/>
        </w:rPr>
        <w:t xml:space="preserve">Vita</w:t>
      </w:r>
      <w:r>
        <w:t xml:space="preserve"> </w:t>
      </w:r>
      <w:r>
        <w:t xml:space="preserve">4.48; 6.1.3; 10.119; Aulus Gellius </w:t>
      </w:r>
      <w:r>
        <w:rPr>
          <w:i/>
          <w:iCs/>
        </w:rPr>
        <w:t xml:space="preserve">Noc. Att.</w:t>
      </w:r>
      <w:r>
        <w:t xml:space="preserve"> 5.11.2)</w:t>
      </w:r>
      <w:r>
        <w:t xml:space="preserve">. Cinicii considerau că </w:t>
      </w:r>
      <w:r>
        <w:t xml:space="preserve">ea </w:t>
      </w:r>
      <w:r>
        <w:t xml:space="preserve">îi distrăgea pe bărbaţi de </w:t>
      </w:r>
      <w:r>
        <w:t xml:space="preserve">la </w:t>
      </w:r>
      <w:r>
        <w:t xml:space="preserve">treburile serioase ale vieţii</w:t>
      </w:r>
      <w:r>
        <w:t xml:space="preserve"> (Diogenes Laertius </w:t>
      </w:r>
      <w:r>
        <w:rPr>
          <w:i/>
          <w:iCs/>
        </w:rPr>
        <w:t xml:space="preserve">Vit.</w:t>
      </w:r>
      <w:r>
        <w:t xml:space="preserve"> 6.2.54; Epictetus </w:t>
      </w:r>
      <w:r>
        <w:rPr>
          <w:i/>
          <w:iCs/>
        </w:rPr>
        <w:t xml:space="preserve">Disc.</w:t>
      </w:r>
      <w:r>
        <w:t xml:space="preserve"> 3.22.69–76; Diogenes </w:t>
      </w:r>
      <w:r>
        <w:rPr>
          <w:i/>
        </w:rPr>
        <w:t xml:space="preserve">Epistulae</w:t>
      </w:r>
      <w:r>
        <w:t xml:space="preserve"> </w:t>
      </w:r>
      <w:r>
        <w:t xml:space="preserve">47</w:t>
      </w:r>
      <w:r>
        <w:t xml:space="preserve">; cf. </w:t>
      </w:r>
      <w:r>
        <w:t xml:space="preserve">C. S. Keener</w:t>
      </w:r>
      <w:r>
        <w:rPr>
          <w:vertAlign w:val="superscript"/>
        </w:rPr>
        <w:footnoteReference w:id="92"/>
      </w:r>
      <w:r>
        <w:t xml:space="preserve">), iar alţii </w:t>
      </w:r>
      <w:r>
        <w:t xml:space="preserve">se temeau de </w:t>
      </w:r>
      <w:r>
        <w:t xml:space="preserve">dezamăgire şi eşec (Plutarch, </w:t>
      </w:r>
      <w:r>
        <w:rPr>
          <w:i/>
        </w:rPr>
        <w:t xml:space="preserve">Cina celor şapte bărbaţi înţelepţi</w:t>
      </w:r>
      <w:r>
        <w:t xml:space="preserve">,</w:t>
      </w:r>
      <w:r>
        <w:t xml:space="preserve"> 21,</w:t>
      </w:r>
      <w:r>
        <w:t xml:space="preserve"> </w:t>
      </w:r>
      <w:r>
        <w:rPr>
          <w:i/>
        </w:rPr>
        <w:t xml:space="preserve">Moralia</w:t>
      </w:r>
      <w:r>
        <w:t xml:space="preserve"> 164B).</w:t>
      </w:r>
      <w:r>
        <w:t xml:space="preserve"> </w:t>
      </w:r>
      <w:r>
        <w:t xml:space="preserve">În Sparta relaţiile dintre sexe erau foarte libere, deşi se încuraja şi căsătoria, pentru procreere (bărbaţii la 30 ani, fetele la 16 ani). </w:t>
      </w:r>
      <w:r>
        <w:t xml:space="preserve">Ca urmare şi c</w:t>
      </w:r>
      <w:r>
        <w:t xml:space="preserve">elibatul</w:t>
      </w:r>
      <w:r>
        <w:t xml:space="preserve">, îndeosebi cel</w:t>
      </w:r>
      <w:r>
        <w:t xml:space="preserve"> religios</w:t>
      </w:r>
      <w:r>
        <w:t xml:space="preserve">,</w:t>
      </w:r>
      <w:r>
        <w:t xml:space="preserve"> era preţuit şi</w:t>
      </w:r>
      <w:r>
        <w:t xml:space="preserve"> văzut ca o alternativă onorabilă faţă de căsătorie, atât pentru femei </w:t>
      </w:r>
      <w:r>
        <w:t xml:space="preserve">(vestale, etc.) </w:t>
      </w:r>
      <w:r>
        <w:t xml:space="preserve">cât şi pentru bărbaţi.</w:t>
      </w:r>
      <w:r>
        <w:t xml:space="preserve"> Alternativele faţă de căsătorie includeau însă şi relaţiile homosexuale.</w:t>
      </w:r>
      <w:r>
        <w:t xml:space="preserve"> Prin comparaţie, Roma era mai conservatoare iar femeile se puteau distinge mai bine ca persoane cu influenţă în societate.</w:t>
      </w:r>
      <w:r/>
    </w:p>
    <w:p>
      <w:pPr>
        <w:pStyle w:val="2227"/>
        <w:pBdr/>
        <w:spacing/>
        <w:ind/>
        <w:rPr/>
      </w:pPr>
      <w:r>
        <w:t xml:space="preserve">La nivelul funcţion</w:t>
      </w:r>
      <w:r>
        <w:t xml:space="preserve">ării familiei se pot distinge primele caracteristici sociale – şi implicit, politice – ale societăţii antice faţă de care lumea creştină a NT va aduce perspective noi, contras</w:t>
      </w:r>
      <w:r>
        <w:t xml:space="preserve">tante. Este adevărat, multe din aceste contraste se bazează pe contrastele fundamentale dintre regulile societăţilor păgâne şi cele ale societăţii evreieşti guvernate de prevederile Legii sinaitice, ale legământului religios – administrativ cu divinitatea.</w:t>
      </w:r>
      <w:r>
        <w:t xml:space="preserve"> Legat de familie, sau pornind de aici</w:t>
      </w:r>
      <w:r>
        <w:t xml:space="preserve">, pot fi urmărite şi fenomenele educaţiei, ale vieţii economice, şi chiar ale instituţiei </w:t>
      </w:r>
      <w:r>
        <w:t xml:space="preserve">sclaviei</w:t>
      </w:r>
      <w:r>
        <w:t xml:space="preserve">, ale relaţiilor dintre săraci şi bogaţi,</w:t>
      </w:r>
      <w:r>
        <w:t xml:space="preserve"> </w:t>
      </w:r>
      <w:r>
        <w:t xml:space="preserve">plecând </w:t>
      </w:r>
      <w:r>
        <w:t xml:space="preserve">de la unitatea social economică </w:t>
      </w:r>
      <w:r>
        <w:t xml:space="preserve">pe care o reprezenta casa extinsă.</w:t>
      </w:r>
      <w:r/>
    </w:p>
    <w:p>
      <w:pPr>
        <w:pStyle w:val="2227"/>
        <w:pBdr/>
        <w:spacing/>
        <w:ind/>
        <w:rPr/>
      </w:pPr>
      <w:r/>
      <w:r/>
    </w:p>
    <w:p>
      <w:pPr>
        <w:pStyle w:val="2227"/>
        <w:pBdr/>
        <w:spacing/>
        <w:ind w:firstLine="0"/>
        <w:rPr/>
      </w:pPr>
      <w:r>
        <w:t xml:space="preserve">5</w:t>
      </w:r>
      <w:r>
        <w:t xml:space="preserve">.1.1 Familia</w:t>
      </w:r>
      <w:r>
        <w:t xml:space="preserve"> </w:t>
      </w:r>
      <w:r>
        <w:t xml:space="preserve">şi instituţia sclaviei </w:t>
      </w:r>
      <w:r>
        <w:t xml:space="preserve">în societăţile păgâne</w:t>
      </w:r>
      <w:r/>
    </w:p>
    <w:p>
      <w:pPr>
        <w:pStyle w:val="2227"/>
        <w:pBdr/>
        <w:spacing/>
        <w:ind/>
        <w:rPr/>
      </w:pPr>
      <w:r/>
      <w:r/>
    </w:p>
    <w:p>
      <w:pPr>
        <w:pStyle w:val="2227"/>
        <w:pBdr/>
        <w:spacing/>
        <w:ind w:firstLine="0"/>
        <w:rPr/>
      </w:pPr>
      <w:r>
        <w:t xml:space="preserve">Formula cea mai </w:t>
      </w:r>
      <w:r>
        <w:t xml:space="preserve">întâlnită</w:t>
      </w:r>
      <w:r>
        <w:t xml:space="preserve"> în anchitate</w:t>
      </w:r>
      <w:r>
        <w:t xml:space="preserve"> era familia monogamă, deşi în anumite societăţi, se întâlnea şi poligamia</w:t>
      </w:r>
      <w:r>
        <w:t xml:space="preserve"> (în Sparta era permisă şi poliandria – o femeie putea avea doi soţi, dacă se dovedea că este sănătoasă şi naşte copii sănătoşi, cf. Xenofon</w:t>
      </w:r>
      <w:r>
        <w:t xml:space="preserve">, </w:t>
      </w:r>
      <w:r>
        <w:rPr>
          <w:i/>
        </w:rPr>
        <w:t xml:space="preserve">Istoria</w:t>
      </w:r>
      <w:r>
        <w:t xml:space="preserve">)</w:t>
      </w:r>
      <w:r>
        <w:t xml:space="preserve">.</w:t>
      </w:r>
      <w:r>
        <w:t xml:space="preserve"> Importanţa familiei era deplin recunoscută. În Roma, de exemplu, </w:t>
      </w:r>
      <w:r>
        <w:t xml:space="preserve">era </w:t>
      </w:r>
      <w:r>
        <w:t xml:space="preserve">recunoscut</w:t>
      </w:r>
      <w:r>
        <w:t xml:space="preserve"> că </w:t>
      </w:r>
      <w:r>
        <w:t xml:space="preserve">cineva nu putea accede la putere dacă familia sa (clanul, </w:t>
      </w:r>
      <w:r>
        <w:rPr>
          <w:i/>
        </w:rPr>
        <w:t xml:space="preserve">gens</w:t>
      </w:r>
      <w:r>
        <w:t xml:space="preserve">) nu avusese reprezentanţi deja, printre senatori sau consuli. </w:t>
      </w:r>
      <w:r/>
    </w:p>
    <w:p>
      <w:pPr>
        <w:pStyle w:val="2227"/>
        <w:pBdr/>
        <w:spacing/>
        <w:ind/>
        <w:rPr/>
      </w:pPr>
      <w:r>
        <w:t xml:space="preserve">În ce priveşte c</w:t>
      </w:r>
      <w:r>
        <w:t xml:space="preserve">opii</w:t>
      </w:r>
      <w:r>
        <w:t xml:space="preserve">, aceştia nu erau la fel de </w:t>
      </w:r>
      <w:r>
        <w:t xml:space="preserve">preţuiţi</w:t>
      </w:r>
      <w:r>
        <w:t xml:space="preserve"> în toate ţările</w:t>
      </w:r>
      <w:r>
        <w:t xml:space="preserve">. În Grecia şi Roma se practica avortul şi abandonul. </w:t>
      </w:r>
      <w:r>
        <w:t xml:space="preserve">În timpul secetei, Tibrul arăta un spectacol deplorabil de oseminte de copii sau foetuşi înecaţi. Spartanii se debarasau de nou născuţii slabi sau cu handicap aruncându-i în prăpasti</w:t>
      </w:r>
      <w:r>
        <w:t xml:space="preserve">e (Plutarch, </w:t>
      </w:r>
      <w:r>
        <w:rPr>
          <w:i/>
        </w:rPr>
        <w:t xml:space="preserve">Vieţi Paralele</w:t>
      </w:r>
      <w:r>
        <w:t xml:space="preserve">)</w:t>
      </w:r>
      <w:r>
        <w:t xml:space="preserve">. Egiptenii şi evreii </w:t>
      </w:r>
      <w:r>
        <w:t xml:space="preserve">erau </w:t>
      </w:r>
      <w:r>
        <w:t xml:space="preserve">categoric împotriva acestor practici şi preţuiau în mod clar mult mai mult viaţa unui nou născut.</w:t>
      </w:r>
      <w:r/>
    </w:p>
    <w:p>
      <w:pPr>
        <w:pStyle w:val="2227"/>
        <w:pBdr/>
        <w:spacing/>
        <w:ind/>
        <w:rPr/>
      </w:pPr>
      <w:r>
        <w:t xml:space="preserve">Copiii sclavilor puteau să aibă drepturi în Grecia – dar nu şi în Roma. La romani, căsătoria unui sclav nu era recunoscută, nici dreptul său de pater familias, pentru că un sclav nu avea nici un drept.</w:t>
      </w:r>
      <w:r/>
    </w:p>
    <w:p>
      <w:pPr>
        <w:pStyle w:val="2227"/>
        <w:pBdr/>
        <w:spacing/>
        <w:ind/>
        <w:rPr/>
      </w:pPr>
      <w:r>
        <w:t xml:space="preserve">Copiii primeau o educaţie formală, adesea din partea unor sclavi profesori. Materiile studiate erau </w:t>
      </w:r>
      <w:r>
        <w:t xml:space="preserve">literatura (</w:t>
      </w:r>
      <w:r>
        <w:t xml:space="preserve">poezia, elocinţa</w:t>
      </w:r>
      <w:r>
        <w:t xml:space="preserve">),</w:t>
      </w:r>
      <w:r>
        <w:t xml:space="preserve"> sportul</w:t>
      </w:r>
      <w:r>
        <w:t xml:space="preserve"> şi muzica</w:t>
      </w:r>
      <w:r>
        <w:t xml:space="preserve">. </w:t>
      </w:r>
      <w:r>
        <w:t xml:space="preserve">Matematicile aplicate în domeniul ingineresc erau o specializare târzie, răspândită cu precădere la romani şi la egipteni.</w:t>
      </w:r>
      <w:r>
        <w:t xml:space="preserve"> </w:t>
      </w:r>
      <w:r>
        <w:t xml:space="preserve">Şcoala începea la 7 ani şi continua trei-patru ani, în mod obişnuit, sau chiar până la vârsta de </w:t>
      </w:r>
      <w:r>
        <w:t xml:space="preserve">17-</w:t>
      </w:r>
      <w:r>
        <w:t xml:space="preserve">18 ani. </w:t>
      </w:r>
      <w:r>
        <w:t xml:space="preserve">Se poate estima că în Atena antică jumătate din bărbaţi erau în stare să scrie şi să citească (</w:t>
      </w:r>
      <w:r>
        <w:t xml:space="preserve">în anii 300 îH </w:t>
      </w:r>
      <w:r>
        <w:t xml:space="preserve">erau aprox. 20,000 - 30,000 bărbaţi în total</w:t>
      </w:r>
      <w:r>
        <w:t xml:space="preserve">, 10,000 de străini sau vizitatori</w:t>
      </w:r>
      <w:r>
        <w:t xml:space="preserve"> – cam 1/3 – iar străinii nu aveau drept de proprietate şi nici de căsătorie în Atena;</w:t>
      </w:r>
      <w:r>
        <w:t xml:space="preserve"> şi 100,000 </w:t>
      </w:r>
      <w:r>
        <w:t xml:space="preserve">– 300,000 </w:t>
      </w:r>
      <w:r>
        <w:t xml:space="preserve">de sclavi</w:t>
      </w:r>
      <w:r>
        <w:t xml:space="preserve">)</w:t>
      </w:r>
      <w:r>
        <w:t xml:space="preserve">.</w:t>
      </w:r>
      <w:r/>
    </w:p>
    <w:p>
      <w:pPr>
        <w:pStyle w:val="2227"/>
        <w:pBdr/>
        <w:spacing/>
        <w:ind/>
        <w:rPr/>
      </w:pPr>
      <w:r>
        <w:t xml:space="preserve">Relaţiile între soţi şi soţii erau dezechilibrate în sensul </w:t>
      </w:r>
      <w:r>
        <w:t xml:space="preserve">atriuirii unui statut inferior </w:t>
      </w:r>
      <w:r>
        <w:t xml:space="preserve">femeii faţă de bărbat. Aristotel</w:t>
      </w:r>
      <w:r>
        <w:t xml:space="preserve">, Politica 1.1.5-6</w:t>
      </w:r>
      <w:r>
        <w:t xml:space="preserve"> şi Josephus</w:t>
      </w:r>
      <w:r>
        <w:t xml:space="preserve">, Antichităţi 4.219,</w:t>
      </w:r>
      <w:r>
        <w:t xml:space="preserve"> asemănau statutul femeii în familie cu cel al unui sclav.</w:t>
      </w:r>
      <w:r>
        <w:t xml:space="preserve"> Grecii (de ex., Aristotel) considerau că femeia este mai puţin dotată intelectual decât bărbatul.</w:t>
      </w:r>
      <w:r>
        <w:t xml:space="preserve"> Sofocle, în piesa Tereus, </w:t>
      </w:r>
      <w:r>
        <w:t xml:space="preserve">583f., </w:t>
      </w:r>
      <w:r>
        <w:t xml:space="preserve">scrie că „prostituatele (hetairai) sunt pentru plăcere, amantele pentru revigorare fizică, iar soţiile pentru a procrea copii legitimi şi pentru a avea grijă de casă cu credincioşie”</w:t>
      </w:r>
      <w:r>
        <w:t xml:space="preserve"> (femeile ateniene nu participau la </w:t>
      </w:r>
      <w:r>
        <w:t xml:space="preserve">petreceri, simpozioane, ci rămâneau acasă)</w:t>
      </w:r>
      <w:r>
        <w:t xml:space="preserve">.</w:t>
      </w:r>
      <w:r>
        <w:t xml:space="preserve"> În comparaţie cu Grecia, în Roma şi în Egipt femeile primeau un respect mai mare</w:t>
      </w:r>
      <w:r>
        <w:t xml:space="preserve"> şi aveau roluri de conducere în societate.</w:t>
      </w:r>
      <w:r/>
    </w:p>
    <w:p>
      <w:pPr>
        <w:pStyle w:val="2227"/>
        <w:pBdr/>
        <w:spacing/>
        <w:ind/>
        <w:rPr/>
      </w:pPr>
      <w:r>
        <w:t xml:space="preserve">Diferenţele de venit </w:t>
      </w:r>
      <w:r>
        <w:t xml:space="preserve">între familii </w:t>
      </w:r>
      <w:r>
        <w:t xml:space="preserve">erau foarte mari. V</w:t>
      </w:r>
      <w:r>
        <w:t xml:space="preserve">enitul unei familii bogate putea fi şi de 1000 de ori mai mare decât venitul unei familii sărace.</w:t>
      </w:r>
      <w:r>
        <w:rPr>
          <w:rStyle w:val="2248"/>
        </w:rPr>
        <w:footnoteReference w:id="93"/>
      </w:r>
      <w:r/>
    </w:p>
    <w:p>
      <w:pPr>
        <w:pStyle w:val="2227"/>
        <w:pBdr/>
        <w:spacing/>
        <w:ind/>
        <w:rPr/>
      </w:pPr>
      <w:r>
        <w:t xml:space="preserve">Deşi familia propriu-zisă era formată din copii şi părinţi, adesea prin famili</w:t>
      </w:r>
      <w:r>
        <w:t xml:space="preserve">e sau „casă” se înţelegea şi familia extinsă, văzută ca unitate economică (aici se includeau şi slujitorii, sclavii şi familiile acestora, recunoscute ca atare sau nu; şi la evrei exista noţiunea de „casă” ca familie extinsă şi unitate economică şi socială</w:t>
      </w:r>
      <w:r>
        <w:t xml:space="preserve">, cf. casa lui Avraam</w:t>
      </w:r>
      <w:r>
        <w:t xml:space="preserve">).</w:t>
      </w:r>
      <w:r/>
    </w:p>
    <w:p>
      <w:pPr>
        <w:pStyle w:val="2227"/>
        <w:pBdr/>
        <w:spacing/>
        <w:ind/>
        <w:rPr/>
      </w:pPr>
      <w:r>
        <w:t xml:space="preserve">O casă putea avea mai mulţi sclavi, în funcţie de nevoi, lucrări şi afaceri. </w:t>
      </w:r>
      <w:r>
        <w:t xml:space="preserve">În general, numărul varia de la 1-14 sclavi. Familiile bogate aveau mai mulţi. </w:t>
      </w:r>
      <w:r>
        <w:t xml:space="preserve">Tatăl lui Demostene avea două „fabrici”</w:t>
      </w:r>
      <w:r>
        <w:t xml:space="preserve">:</w:t>
      </w:r>
      <w:r>
        <w:t xml:space="preserve"> </w:t>
      </w:r>
      <w:r>
        <w:t xml:space="preserve">una </w:t>
      </w:r>
      <w:r>
        <w:t xml:space="preserve">cu 30 de sclavi – pentru </w:t>
      </w:r>
      <w:r>
        <w:t xml:space="preserve">manufacturat</w:t>
      </w:r>
      <w:r>
        <w:t xml:space="preserve"> săbii, </w:t>
      </w:r>
      <w:r>
        <w:t xml:space="preserve">şi</w:t>
      </w:r>
      <w:r>
        <w:t xml:space="preserve"> una cu 2</w:t>
      </w:r>
      <w:r>
        <w:t xml:space="preserve">0 de sclavi</w:t>
      </w:r>
      <w:r>
        <w:t xml:space="preserve">, pentru făcut canapele (paturi)</w:t>
      </w:r>
      <w:r>
        <w:t xml:space="preserve">.</w:t>
      </w:r>
      <w:r>
        <w:t xml:space="preserve"> Lysias avea o fabrică cu 120 de sclavi.</w:t>
      </w:r>
      <w:r>
        <w:rPr>
          <w:rStyle w:val="2248"/>
        </w:rPr>
        <w:footnoteReference w:id="94"/>
      </w:r>
      <w:r>
        <w:t xml:space="preserve"> Un anume Nicias </w:t>
      </w:r>
      <w:r>
        <w:t xml:space="preserve">din Atena </w:t>
      </w:r>
      <w:r>
        <w:t xml:space="preserve">avea 1000 de scl</w:t>
      </w:r>
      <w:r>
        <w:t xml:space="preserve">avi care</w:t>
      </w:r>
      <w:r>
        <w:t xml:space="preserve"> lucrau pentru el la minerit.</w:t>
      </w:r>
      <w:r>
        <w:t xml:space="preserve"> In general, fiecare cetaţean din Atena avea cel puţin un sclav. Şi militarii aveau sclavii lor care îi însoţeau în război.</w:t>
      </w:r>
      <w:r>
        <w:t xml:space="preserve"> Sclavii erau vânduţi la licitaţie.</w:t>
      </w:r>
      <w:r>
        <w:t xml:space="preserve"> În Atena raportul oameni liberi – sclavi era de 1/3 – 1/10 (30,000 oameni liberi, 300,000 sclavi). Roma avea 25 – 40% sclavi. În imperiul roman sclavii erau cam o pătrime din toată populaţia. </w:t>
      </w:r>
      <w:r>
        <w:t xml:space="preserve">În Roma ca atare, </w:t>
      </w:r>
      <w:r>
        <w:t xml:space="preserve">unii din proprietari deţineau un număr mai mare de sclavi</w:t>
      </w:r>
      <w:r>
        <w:t xml:space="preserve"> decât cei din Atena</w:t>
      </w:r>
      <w:r>
        <w:t xml:space="preserve">: prefectul Pedanius avea </w:t>
      </w:r>
      <w:r>
        <w:t xml:space="preserve">400 </w:t>
      </w:r>
      <w:r>
        <w:t xml:space="preserve">de sclavi</w:t>
      </w:r>
      <w:r>
        <w:t xml:space="preserve"> (Tac. </w:t>
      </w:r>
      <w:r>
        <w:rPr>
          <w:i/>
          <w:iCs/>
        </w:rPr>
        <w:t xml:space="preserve">Ann. </w:t>
      </w:r>
      <w:r>
        <w:t xml:space="preserve">14.43); </w:t>
      </w:r>
      <w:r>
        <w:t xml:space="preserve">Augustus emisese legi privitoare la proprietarii care aveau mai mult de </w:t>
      </w:r>
      <w:r>
        <w:t xml:space="preserve">500 </w:t>
      </w:r>
      <w:r>
        <w:t xml:space="preserve">sclavi</w:t>
      </w:r>
      <w:r>
        <w:t xml:space="preserve"> (Gaius,</w:t>
      </w:r>
      <w:r>
        <w:t xml:space="preserve"> </w:t>
      </w:r>
      <w:r>
        <w:rPr>
          <w:i/>
          <w:iCs/>
        </w:rPr>
        <w:t xml:space="preserve">Inst. </w:t>
      </w:r>
      <w:r>
        <w:t xml:space="preserve">1.43); despre un anume Tarius Rufus se spunea că are aproximativ 4,116 sclavi.</w:t>
      </w:r>
      <w:r/>
    </w:p>
    <w:p>
      <w:pPr>
        <w:pStyle w:val="2227"/>
        <w:pBdr/>
        <w:spacing/>
        <w:ind/>
        <w:rPr/>
      </w:pPr>
      <w:r>
        <w:t xml:space="preserve">În Atena </w:t>
      </w:r>
      <w:r>
        <w:t xml:space="preserve">şi Sparta, </w:t>
      </w:r>
      <w:r>
        <w:t xml:space="preserve">sclavii erau trataţi </w:t>
      </w:r>
      <w:r>
        <w:t xml:space="preserve">destul de rău</w:t>
      </w:r>
      <w:r>
        <w:t xml:space="preserve">. </w:t>
      </w:r>
      <w:r>
        <w:t xml:space="preserve">De exemplu, în</w:t>
      </w:r>
      <w:r>
        <w:t xml:space="preserve"> mine munca era foarte grea</w:t>
      </w:r>
      <w:r>
        <w:t xml:space="preserve"> şi se lucra în lanţuri</w:t>
      </w:r>
      <w:r>
        <w:t xml:space="preserve">.</w:t>
      </w:r>
      <w:r>
        <w:t xml:space="preserve"> Sclavii erau dispreţuiţi ca subumani şi meritându-şi soarta. Se considera că unii sunt destinaţi să fie sclavi, alţii să fie stăpâni. Sursele de sclavi includeau prizonieri de ră</w:t>
      </w:r>
      <w:r>
        <w:t xml:space="preserve">zboi, condamnaţi, datornici care nu puteau plăti, sau chiar oameni care se vindeau pe sine contra unui preţ, pentru a deveni sclavi. Aristotel în Politica este unul din apărătorii sclaviei şi consideră că distanţa dintre sclavi şi stăpâni trebuia păstrată.</w:t>
      </w:r>
      <w:r/>
    </w:p>
    <w:p>
      <w:pPr>
        <w:pStyle w:val="2227"/>
        <w:pBdr/>
        <w:spacing/>
        <w:ind/>
        <w:rPr/>
      </w:pPr>
      <w:r>
        <w:t xml:space="preserve">Situaţia legală a sclavilor era paradoxală. Pe deoparte, erau consideraţi animale de povară</w:t>
      </w:r>
      <w:r>
        <w:t xml:space="preserve">, lucruri sau unelte (res)</w:t>
      </w:r>
      <w:r>
        <w:t xml:space="preserve"> şi nu aveau drepturi. Pe de alta, se puteau răscumpăra</w:t>
      </w:r>
      <w:r>
        <w:t xml:space="preserve">. De asemeni</w:t>
      </w:r>
      <w:r>
        <w:t xml:space="preserve">, puteau fi parteneri de discuţie sau sfat, până la un punct. De obicei, erau total la dispoziţia stăpânului</w:t>
      </w:r>
      <w:r>
        <w:t xml:space="preserve"> </w:t>
      </w:r>
      <w:r>
        <w:t xml:space="preserve">şi puteau fi pedepsiţi în orice fel, sau ucişi, sau abuzaţi sexual. Pe de altă parte, </w:t>
      </w:r>
      <w:r>
        <w:t xml:space="preserve">sclavii puteau cere să fie protejaţi de stăpânii care doreau să îi abuzeze (sexual) şi puteau</w:t>
      </w:r>
      <w:r>
        <w:t xml:space="preserve"> apela la protecţie într-un templu, ca să fie vânduţi altui stăpân, dacă se simţeau ameninţaţi.</w:t>
      </w:r>
      <w:r>
        <w:t xml:space="preserve"> </w:t>
      </w:r>
      <w:r>
        <w:t xml:space="preserve">Abuzul putea include vânzarea repetată şi fără motiv (sindromul „sclav demodat”), abuzul sexual, pedepsirea corporală exagerată (biciuire; ardere cu fierul roşu; gulere şi brăţări de fier, tip cătuşe; mutilare</w:t>
      </w:r>
      <w:r>
        <w:t xml:space="preserve">; </w:t>
      </w:r>
      <w:r>
        <w:t xml:space="preserve">legi specifice, cum erau </w:t>
      </w:r>
      <w:r>
        <w:t xml:space="preserve">Lex Fabia şi Lex Aquilia</w:t>
      </w:r>
      <w:r>
        <w:t xml:space="preserve">,</w:t>
      </w:r>
      <w:r>
        <w:t xml:space="preserve"> arătau în ce condiţii „deteriorarea” unui sclav sau uciderea lui erau pedepsite de către stat, sau în ce condiţii proprietarul putea fi despăgubit</w:t>
      </w:r>
      <w:r>
        <w:t xml:space="preserve">). </w:t>
      </w:r>
      <w:r>
        <w:t xml:space="preserve">Pedepsirea sclavilor putea atinge forme extreme: arderea de viu (</w:t>
      </w:r>
      <w:r>
        <w:rPr>
          <w:i/>
          <w:iCs/>
        </w:rPr>
        <w:t xml:space="preserve">crematio</w:t>
      </w:r>
      <w:r>
        <w:t xml:space="preserve">)</w:t>
      </w:r>
      <w:r>
        <w:t xml:space="preserve">, crucificarea </w:t>
      </w:r>
      <w:r>
        <w:t xml:space="preserve">(</w:t>
      </w:r>
      <w:r>
        <w:rPr>
          <w:i/>
          <w:iCs/>
        </w:rPr>
        <w:t xml:space="preserve">crux</w:t>
      </w:r>
      <w:r>
        <w:t xml:space="preserve">)</w:t>
      </w:r>
      <w:r>
        <w:t xml:space="preserve">, aruncarea la animale sălbatice </w:t>
      </w:r>
      <w:r>
        <w:t xml:space="preserve">(</w:t>
      </w:r>
      <w:r>
        <w:rPr>
          <w:i/>
          <w:iCs/>
        </w:rPr>
        <w:t xml:space="preserve">ad bestias</w:t>
      </w:r>
      <w:r>
        <w:t xml:space="preserve">)</w:t>
      </w:r>
      <w:r>
        <w:t xml:space="preserve">.</w:t>
      </w:r>
      <w:r/>
    </w:p>
    <w:p>
      <w:pPr>
        <w:pStyle w:val="2227"/>
        <w:pBdr/>
        <w:spacing/>
        <w:ind/>
        <w:rPr/>
      </w:pPr>
      <w:r>
        <w:t xml:space="preserve">Sclavii romani s-au răsculat de mai multe ori: de două în Sicilia (130 şi 100 îH), şi în toată Italia, în timpul lui Spartacus (73-71 îH). </w:t>
      </w:r>
      <w:r/>
    </w:p>
    <w:p>
      <w:pPr>
        <w:pStyle w:val="2227"/>
        <w:pBdr/>
        <w:spacing/>
        <w:ind/>
        <w:rPr/>
      </w:pPr>
      <w:r>
        <w:t xml:space="preserve">Sclavii p</w:t>
      </w:r>
      <w:r>
        <w:t xml:space="preserve">uteau da mărturie la tribunal. În acelaşi timp, în Atena, o mărturie a unui sclav nu era valabilă decât dacă era smulsă sub tortură (</w:t>
      </w:r>
      <w:r>
        <w:rPr>
          <w:i/>
        </w:rPr>
        <w:t xml:space="preserve">basanos</w:t>
      </w:r>
      <w:r>
        <w:t xml:space="preserve">).</w:t>
      </w:r>
      <w:r>
        <w:t xml:space="preserve"> Deşi erau dispreţuiţi şi folosiţi la munci grele în Atena, sclavilor li se recunoştea dreptul de a întemeia o familie. Acest drept le era refuzat însă în Roma, unde lipsa de drepturi era extinsă în toate domeniile posibile. </w:t>
      </w:r>
      <w:r>
        <w:t xml:space="preserve">Peste tot, s</w:t>
      </w:r>
      <w:r>
        <w:t xml:space="preserve">clavul era tratat ca un obiect</w:t>
      </w:r>
      <w:r>
        <w:t xml:space="preserve"> (</w:t>
      </w:r>
      <w:r>
        <w:rPr>
          <w:i/>
        </w:rPr>
        <w:t xml:space="preserve">res</w:t>
      </w:r>
      <w:r>
        <w:t xml:space="preserve">)</w:t>
      </w:r>
      <w:r>
        <w:t xml:space="preserve">, ca o unealtă </w:t>
      </w:r>
      <w:r>
        <w:t xml:space="preserve">de lucru în diverse domenii</w:t>
      </w:r>
      <w:r>
        <w:t xml:space="preserve"> (</w:t>
      </w:r>
      <w:r>
        <w:t xml:space="preserve">Aristo</w:t>
      </w:r>
      <w:r>
        <w:t xml:space="preserve">tel</w:t>
      </w:r>
      <w:r>
        <w:t xml:space="preserve"> </w:t>
      </w:r>
      <w:r>
        <w:rPr>
          <w:i/>
          <w:iCs/>
        </w:rPr>
        <w:t xml:space="preserve">Eth. Eud. </w:t>
      </w:r>
      <w:r>
        <w:t xml:space="preserve">7.9.2, 1241b; cf. </w:t>
      </w:r>
      <w:r>
        <w:rPr>
          <w:i/>
          <w:iCs/>
        </w:rPr>
        <w:t xml:space="preserve">Pol. </w:t>
      </w:r>
      <w:r>
        <w:t xml:space="preserve">1.1.4, 1252a; 1.2.3–6, 10, 1253b–54a; </w:t>
      </w:r>
      <w:r>
        <w:t xml:space="preserve">lucrau în mine, construcţii, drumuri, îmbrăcăminte, alimentaţie, ferme, agricultură)</w:t>
      </w:r>
      <w:r>
        <w:t xml:space="preserve">. </w:t>
      </w:r>
      <w:r>
        <w:t xml:space="preserve">Domeniile de lucru erau variate: ei puteau funcţiona şi ca învăţători şi educatori (tu</w:t>
      </w:r>
      <w:r>
        <w:t xml:space="preserve">tori), administratori, etc. Primeau în schimb plată în bani (chiar dacă nu aveau dreptul la proprietăţi) – şi cu ei se puteau răscumpăra, primeau adăpost, hrană, îmbrăcăminte, pentru ei şi familia lor. Copii sclavilor erau socotiţi tot sclavi. Comparativ, </w:t>
      </w:r>
      <w:r>
        <w:t xml:space="preserve">în Roma era mai uşor </w:t>
      </w:r>
      <w:r>
        <w:t xml:space="preserve">pentru</w:t>
      </w:r>
      <w:r>
        <w:t xml:space="preserve"> un sclav </w:t>
      </w:r>
      <w:r>
        <w:t xml:space="preserve">îşi câştige libertatea prin răscumpărare</w:t>
      </w:r>
      <w:r>
        <w:t xml:space="preserve">, decât în Atena, iar slujbele erau mai variate, de la munca brută la munci importante care ţineau de educaţie şi administraţie.</w:t>
      </w:r>
      <w:r>
        <w:t xml:space="preserve"> </w:t>
      </w:r>
      <w:r/>
    </w:p>
    <w:p>
      <w:pPr>
        <w:pStyle w:val="2227"/>
        <w:pBdr/>
        <w:spacing/>
        <w:ind/>
        <w:rPr/>
      </w:pPr>
      <w:r>
        <w:t xml:space="preserve">În g</w:t>
      </w:r>
      <w:r>
        <w:t xml:space="preserve">eneral, în Roma sclavia era mai mult o stare socială, din care se putea ieşi prin răscumpărare, pe când în Atena se făceau şi judecăţi de valoare, potrivit cărora sclavia era un destin care arăta că, într-un fel ai o valoare sub valoarea celorlalţi oameni.</w:t>
      </w:r>
      <w:r>
        <w:t xml:space="preserve"> Sclavi deveniţi liberi nu primeau drept de cetăţenie în Atena şi erau excluşi din viaţa politică </w:t>
      </w:r>
      <w:r>
        <w:t xml:space="preserve">şi economică </w:t>
      </w:r>
      <w:r>
        <w:t xml:space="preserve">a cetăţii, pe când în Roma, prin răscumpărare avea loc o restaurare deplină a </w:t>
      </w:r>
      <w:r>
        <w:t xml:space="preserve">tuturor </w:t>
      </w:r>
      <w:r>
        <w:t xml:space="preserve">drepturilor cetăţeneşti.</w:t>
      </w:r>
      <w:r>
        <w:t xml:space="preserve"> </w:t>
      </w:r>
      <w:r>
        <w:t xml:space="preserve">În plus, după şase ani de sclavie – sau la vârsta de 30 de ani, un sclav urban putea fi eliberat (nu obligatoriu; şi nu în agricultură sau în munci fizice grele, susţinute).</w:t>
      </w:r>
      <w:r>
        <w:t xml:space="preserve"> Un cetăţean roman putea elibera câţi sclavi dorea în timpul vieţii sale, dar prin testament nu putea eli</w:t>
      </w:r>
      <w:r>
        <w:t xml:space="preserve">bera decât un număr limitat de</w:t>
      </w:r>
      <w:r>
        <w:t xml:space="preserve"> lege</w:t>
      </w:r>
      <w:r>
        <w:t xml:space="preserve"> (astfel, se protejau moştenirea şi moştenitorii)</w:t>
      </w:r>
      <w:r>
        <w:t xml:space="preserve">.</w:t>
      </w:r>
      <w:r>
        <w:t xml:space="preserve"> </w:t>
      </w:r>
      <w:r/>
    </w:p>
    <w:p>
      <w:pPr>
        <w:pStyle w:val="2227"/>
        <w:pBdr/>
        <w:spacing/>
        <w:ind/>
        <w:rPr/>
      </w:pPr>
      <w:r>
        <w:t xml:space="preserve">Din cauza acestor deose</w:t>
      </w:r>
      <w:r>
        <w:t xml:space="preserve">b</w:t>
      </w:r>
      <w:r>
        <w:t xml:space="preserve">iri, </w:t>
      </w:r>
      <w:r>
        <w:t xml:space="preserve">termenul de „sclavie greco-romană” este un termen problematic, deoarece situaţia legală a sclavilor în cele două sisteme avea caracteristici diferite.</w:t>
      </w:r>
      <w:r>
        <w:rPr>
          <w:rStyle w:val="2248"/>
        </w:rPr>
        <w:footnoteReference w:id="95"/>
      </w:r>
      <w:r/>
    </w:p>
    <w:p>
      <w:pPr>
        <w:pStyle w:val="2227"/>
        <w:pBdr/>
        <w:spacing/>
        <w:ind/>
        <w:rPr/>
      </w:pPr>
      <w:r>
        <w:t xml:space="preserve">Starea sclavilor era uneori privită de stăpâni cu înţelegere şi generozitate – dar nu cu revoltă sau dorinţă </w:t>
      </w:r>
      <w:r>
        <w:t xml:space="preserve">de emancipare socială. </w:t>
      </w:r>
      <w:r>
        <w:t xml:space="preserve">De </w:t>
      </w:r>
      <w:r>
        <w:t xml:space="preserve">exemplu, </w:t>
      </w:r>
      <w:r>
        <w:t xml:space="preserve">Seneca (Epistole,</w:t>
      </w:r>
      <w:r>
        <w:t xml:space="preserve"> 47) recomandă o purtare omenească faţă de ei, dar nu este împotriva pedepsirii sclavilor, nici împotriva sclaviei ca atare.</w:t>
      </w:r>
      <w:r>
        <w:t xml:space="preserve"> Pliniu îi invita la masă şi îi slujea – dar nici el nu este împotriva sclaviei. Aristotel era de acord că trebuie încercat un dialog </w:t>
      </w:r>
      <w:r>
        <w:t xml:space="preserve">cu ei </w:t>
      </w:r>
      <w:r>
        <w:t xml:space="preserve">– dar nu foarte familiar, şi că ar putea fi consultaţi în anumit domenii</w:t>
      </w:r>
      <w:r>
        <w:t xml:space="preserve">, însă fără depăşirea graniţelor</w:t>
      </w:r>
      <w:r>
        <w:t xml:space="preserve">.</w:t>
      </w:r>
      <w:r/>
    </w:p>
    <w:p>
      <w:pPr>
        <w:pStyle w:val="2227"/>
        <w:pBdr/>
        <w:spacing/>
        <w:ind/>
        <w:rPr/>
      </w:pPr>
      <w:r>
        <w:t xml:space="preserve">În general, predominau prejudecăţile faţă de sclavi (scl</w:t>
      </w:r>
      <w:r>
        <w:t xml:space="preserve">avii au un caracter moral inferior oamenilor liberi, sunt răi, înşelători, trăiesc în promiscuitate, îşi merită soarta, etc.). Unii autori citează „poruncile” etice ale sclavilor: „iubiţi-vă unii pe alţii, iubiţi hoţia, iubiţi ticăloşia, urâţi-vă stăpânii,</w:t>
      </w:r>
      <w:r>
        <w:t xml:space="preserve"> să </w:t>
      </w:r>
      <w:r>
        <w:t xml:space="preserve">nu spuneţi </w:t>
      </w:r>
      <w:r>
        <w:t xml:space="preserve">niciodată </w:t>
      </w:r>
      <w:r>
        <w:t xml:space="preserve">adevărul.”</w:t>
      </w:r>
      <w:r>
        <w:rPr>
          <w:rStyle w:val="2248"/>
        </w:rPr>
        <w:footnoteReference w:id="96"/>
      </w:r>
      <w:r>
        <w:t xml:space="preserve"> </w:t>
      </w:r>
      <w:r>
        <w:t xml:space="preserve">Unii credeau că </w:t>
      </w:r>
      <w:r>
        <w:t xml:space="preserve">naturile</w:t>
      </w:r>
      <w:r>
        <w:t xml:space="preserve"> de sclav sau de aristocrat (neam regal) se puteau chiar citi pe înfăţişarea </w:t>
      </w:r>
      <w:r>
        <w:t xml:space="preserve">omului</w:t>
      </w:r>
      <w:r>
        <w:t xml:space="preserve"> (</w:t>
      </w:r>
      <w:r>
        <w:t xml:space="preserve">Homer </w:t>
      </w:r>
      <w:r>
        <w:rPr>
          <w:i/>
          <w:iCs/>
        </w:rPr>
        <w:t xml:space="preserve">Odys. </w:t>
      </w:r>
      <w:r>
        <w:t xml:space="preserve">4.63–64</w:t>
      </w:r>
      <w:r>
        <w:t xml:space="preserve">; </w:t>
      </w:r>
      <w:r>
        <w:t xml:space="preserve">24.252–53</w:t>
      </w:r>
      <w:r>
        <w:t xml:space="preserve">).</w:t>
      </w:r>
      <w:r/>
    </w:p>
    <w:p>
      <w:pPr>
        <w:pStyle w:val="2227"/>
        <w:pBdr/>
        <w:spacing/>
        <w:ind/>
        <w:rPr/>
      </w:pPr>
      <w:r>
        <w:t xml:space="preserve">Mobilitatea socială a sclavilor avea o dinamică mai accentuată în Roma sau Egipt decât în Atena. </w:t>
      </w:r>
      <w:r>
        <w:t xml:space="preserve">Unii sclavi puteau ajunge oameni înstăriţi sau puteau chiar intra în rândurile aristocraţiei. </w:t>
      </w:r>
      <w:r/>
    </w:p>
    <w:p>
      <w:pPr>
        <w:pStyle w:val="2227"/>
        <w:pBdr/>
        <w:spacing/>
        <w:ind/>
        <w:rPr/>
      </w:pPr>
      <w:r>
        <w:t xml:space="preserve">Activităţile sclavilor erau adeseori aceleaşi cu cele ale oamenilor liberi săraci. În unele cazuri, </w:t>
      </w:r>
      <w:r>
        <w:t xml:space="preserve">robii o duceau mai bine decât oamenii liberi săraci (</w:t>
      </w:r>
      <w:r>
        <w:t xml:space="preserve">Finley 1973,</w:t>
      </w:r>
      <w:r>
        <w:t xml:space="preserve"> </w:t>
      </w:r>
      <w:r>
        <w:t xml:space="preserve">107–8).</w:t>
      </w:r>
      <w:r/>
    </w:p>
    <w:p>
      <w:pPr>
        <w:pStyle w:val="2227"/>
        <w:pBdr/>
        <w:spacing/>
        <w:ind/>
        <w:rPr/>
      </w:pPr>
      <w:r/>
      <w:r/>
    </w:p>
    <w:p>
      <w:pPr>
        <w:pStyle w:val="2227"/>
        <w:pBdr/>
        <w:spacing/>
        <w:ind w:firstLine="0"/>
        <w:rPr/>
      </w:pPr>
      <w:r>
        <w:t xml:space="preserve">4.1.2 Reglementări iudaice asupra vieţii sociale (familia, sclavia, educaţia)</w:t>
      </w:r>
      <w:r/>
    </w:p>
    <w:p>
      <w:pPr>
        <w:pStyle w:val="2227"/>
        <w:pBdr/>
        <w:spacing/>
        <w:ind w:firstLine="0"/>
        <w:rPr/>
      </w:pPr>
      <w:r/>
      <w:r/>
    </w:p>
    <w:p>
      <w:pPr>
        <w:pStyle w:val="2227"/>
        <w:pBdr/>
        <w:spacing/>
        <w:ind w:firstLine="0"/>
        <w:rPr/>
      </w:pPr>
      <w:r>
        <w:t xml:space="preserve">Israelul avea o reglementare interesantă, progresistă </w:t>
      </w:r>
      <w:r>
        <w:t xml:space="preserve">în legătură cu</w:t>
      </w:r>
      <w:r>
        <w:t xml:space="preserve"> problematic</w:t>
      </w:r>
      <w:r>
        <w:t xml:space="preserve">a</w:t>
      </w:r>
      <w:r>
        <w:t xml:space="preserve"> social</w:t>
      </w:r>
      <w:r>
        <w:t xml:space="preserve">ă</w:t>
      </w:r>
      <w:r>
        <w:t xml:space="preserve">. Între ideile de bază: dreptul individului la o viaţă acceptabilă.</w:t>
      </w:r>
      <w:r/>
    </w:p>
    <w:p>
      <w:pPr>
        <w:pStyle w:val="2227"/>
        <w:pBdr/>
        <w:spacing/>
        <w:ind/>
        <w:rPr/>
      </w:pPr>
      <w:r>
        <w:t xml:space="preserve">Legislaţie militărie</w:t>
      </w:r>
      <w:r>
        <w:t xml:space="preserve"> </w:t>
      </w:r>
      <w:r/>
    </w:p>
    <w:p>
      <w:pPr>
        <w:pStyle w:val="2227"/>
        <w:pBdr/>
        <w:spacing/>
        <w:ind w:firstLine="0" w:left="720"/>
        <w:rPr/>
      </w:pPr>
      <w:r>
        <w:t xml:space="preserve">Existau scutiri speciale care indicau grija faţă de cetăţean, </w:t>
      </w:r>
      <w:r>
        <w:t xml:space="preserve">Deut</w:t>
      </w:r>
      <w:r>
        <w:t xml:space="preserve">eronom</w:t>
      </w:r>
      <w:r>
        <w:t xml:space="preserve"> 24.1-5</w:t>
      </w:r>
      <w:r>
        <w:t xml:space="preserve">, 20.1-8</w:t>
      </w:r>
      <w:r/>
    </w:p>
    <w:p>
      <w:pPr>
        <w:pStyle w:val="2227"/>
        <w:pBdr/>
        <w:spacing/>
        <w:ind/>
        <w:rPr/>
      </w:pPr>
      <w:r>
        <w:t xml:space="preserve">Legislaţie pături defavorizate</w:t>
      </w:r>
      <w:r>
        <w:t xml:space="preserve">: văduve, orfani, străini</w:t>
      </w:r>
      <w:r>
        <w:fldChar w:fldCharType="begin"/>
      </w:r>
      <w:r>
        <w:instrText xml:space="preserve"> XE "defavorizare:defavorizate" </w:instrText>
      </w:r>
      <w:r>
        <w:fldChar w:fldCharType="end"/>
      </w:r>
      <w:r>
        <w:t xml:space="preserve"> </w:t>
      </w:r>
      <w:r/>
    </w:p>
    <w:p>
      <w:pPr>
        <w:pStyle w:val="2227"/>
        <w:pBdr/>
        <w:spacing/>
        <w:ind w:firstLine="0" w:left="720"/>
        <w:rPr/>
      </w:pPr>
      <w:r>
        <w:t xml:space="preserve">Exod. 22.20-24</w:t>
      </w:r>
      <w:r>
        <w:t xml:space="preserve">, </w:t>
      </w:r>
      <w:r/>
    </w:p>
    <w:p>
      <w:pPr>
        <w:pStyle w:val="2227"/>
        <w:pBdr/>
        <w:spacing/>
        <w:ind w:firstLine="0" w:left="720"/>
        <w:rPr/>
      </w:pPr>
      <w:r>
        <w:t xml:space="preserve">Ier</w:t>
      </w:r>
      <w:r>
        <w:t xml:space="preserve">emia</w:t>
      </w:r>
      <w:r>
        <w:t xml:space="preserve"> 7.1-14, dreptate şi închinare</w:t>
      </w:r>
      <w:r/>
    </w:p>
    <w:p>
      <w:pPr>
        <w:pStyle w:val="2227"/>
        <w:pBdr/>
        <w:spacing/>
        <w:ind w:firstLine="0" w:left="720"/>
        <w:rPr/>
      </w:pPr>
      <w:r>
        <w:t xml:space="preserve">Maleahi 2-3</w:t>
      </w:r>
      <w:r>
        <w:t xml:space="preserve">, prob</w:t>
      </w:r>
      <w:r>
        <w:t xml:space="preserve">leme</w:t>
      </w:r>
      <w:r>
        <w:t xml:space="preserve">le</w:t>
      </w:r>
      <w:r>
        <w:t xml:space="preserve"> zeciu</w:t>
      </w:r>
      <w:r>
        <w:t xml:space="preserve">ie</w:t>
      </w:r>
      <w:r>
        <w:t xml:space="preserve">lii</w:t>
      </w:r>
      <w:r>
        <w:t xml:space="preserve"> – datorie şi binecuvântare</w:t>
      </w:r>
      <w:r/>
    </w:p>
    <w:p>
      <w:pPr>
        <w:pStyle w:val="2227"/>
        <w:pBdr/>
        <w:spacing/>
        <w:ind/>
        <w:rPr/>
      </w:pPr>
      <w:r>
        <w:tab/>
      </w:r>
      <w:r/>
    </w:p>
    <w:p>
      <w:pPr>
        <w:pStyle w:val="2227"/>
        <w:pBdr/>
        <w:spacing/>
        <w:ind/>
        <w:rPr/>
      </w:pPr>
      <w:r>
        <w:t xml:space="preserve">Legislaţie robi-stăpâni</w:t>
      </w:r>
      <w:r>
        <w:t xml:space="preserve">, Deut. 15.1-17</w:t>
      </w:r>
      <w:r>
        <w:t xml:space="preserve">, Exod 21.1-11</w:t>
      </w:r>
      <w:r/>
    </w:p>
    <w:p>
      <w:pPr>
        <w:pStyle w:val="2227"/>
        <w:pBdr/>
        <w:spacing/>
        <w:ind/>
        <w:rPr/>
      </w:pPr>
      <w:r>
        <w:t xml:space="preserve">Relaţii</w:t>
      </w:r>
      <w:r>
        <w:t xml:space="preserve"> sociale</w:t>
      </w:r>
      <w:r/>
    </w:p>
    <w:p>
      <w:pPr>
        <w:pStyle w:val="2227"/>
        <w:pBdr/>
        <w:spacing/>
        <w:ind/>
        <w:rPr/>
      </w:pPr>
      <w:r>
        <w:tab/>
      </w:r>
      <w:r>
        <w:t xml:space="preserve">Eliberare</w:t>
      </w:r>
      <w:r>
        <w:t xml:space="preserve">, la 7 ani, la 49</w:t>
      </w:r>
      <w:r>
        <w:t xml:space="preserve">, Levitic 2</w:t>
      </w:r>
      <w:r>
        <w:t xml:space="preserve">5.1-18</w:t>
      </w:r>
      <w:r>
        <w:t xml:space="preserve">.</w:t>
      </w:r>
      <w:r/>
    </w:p>
    <w:p>
      <w:pPr>
        <w:pStyle w:val="2227"/>
        <w:pBdr/>
        <w:spacing/>
        <w:ind/>
        <w:rPr/>
      </w:pPr>
      <w:r>
        <w:tab/>
      </w:r>
      <w:r>
        <w:t xml:space="preserve">Consacrare robie</w:t>
      </w:r>
      <w:r>
        <w:t xml:space="preserve">: robul care rămâne la stăpân, de </w:t>
      </w:r>
      <w:r/>
    </w:p>
    <w:p>
      <w:pPr>
        <w:pStyle w:val="2227"/>
        <w:pBdr/>
        <w:spacing/>
        <w:ind/>
        <w:rPr/>
      </w:pPr>
      <w:r>
        <w:tab/>
        <w:t xml:space="preserve">bună voie</w:t>
      </w:r>
      <w:r/>
    </w:p>
    <w:p>
      <w:pPr>
        <w:pStyle w:val="2227"/>
        <w:pBdr/>
        <w:spacing/>
        <w:ind/>
        <w:rPr/>
      </w:pPr>
      <w:r>
        <w:tab/>
      </w:r>
      <w:r>
        <w:t xml:space="preserve">Robul Domnului</w:t>
      </w:r>
      <w:r>
        <w:t xml:space="preserve"> – slujirea </w:t>
      </w:r>
      <w:r>
        <w:t xml:space="preserve">ca rob, pentru</w:t>
      </w:r>
      <w:r/>
    </w:p>
    <w:p>
      <w:pPr>
        <w:pStyle w:val="2227"/>
        <w:pBdr/>
        <w:spacing/>
        <w:ind w:firstLine="720"/>
        <w:rPr/>
      </w:pPr>
      <w:r>
        <w:t xml:space="preserve">Dumnezeu, văzută </w:t>
      </w:r>
      <w:r>
        <w:t xml:space="preserve">ca o onoare.</w:t>
      </w:r>
      <w:r>
        <w:t xml:space="preserve"> Isaia 40-53</w:t>
      </w:r>
      <w:r/>
    </w:p>
    <w:p>
      <w:pPr>
        <w:pStyle w:val="2227"/>
        <w:pBdr/>
        <w:spacing/>
        <w:ind/>
        <w:rPr/>
      </w:pPr>
      <w:r>
        <w:t xml:space="preserve">Legislaţie căsătorie</w:t>
      </w:r>
      <w:r>
        <w:t xml:space="preserve">, </w:t>
      </w:r>
      <w:r/>
    </w:p>
    <w:p>
      <w:pPr>
        <w:pStyle w:val="2227"/>
        <w:pBdr/>
        <w:spacing/>
        <w:ind/>
        <w:rPr/>
      </w:pPr>
      <w:r>
        <w:t xml:space="preserve">Exod 21.7-11 (</w:t>
      </w:r>
      <w:r>
        <w:t xml:space="preserve">soarta unei sclave, responsabilităţi</w:t>
      </w:r>
      <w:r>
        <w:t xml:space="preserve">)</w:t>
      </w:r>
      <w:r/>
    </w:p>
    <w:p>
      <w:pPr>
        <w:pStyle w:val="2227"/>
        <w:pBdr/>
        <w:spacing/>
        <w:ind/>
        <w:rPr/>
      </w:pPr>
      <w:r>
        <w:tab/>
      </w:r>
      <w:r>
        <w:t xml:space="preserve">Deut</w:t>
      </w:r>
      <w:r>
        <w:t xml:space="preserve">eronom</w:t>
      </w:r>
      <w:r>
        <w:t xml:space="preserve"> 21.10-21 (prizoniera</w:t>
      </w:r>
      <w:r>
        <w:t xml:space="preserve"> şi drepturile ei</w:t>
      </w:r>
      <w:r>
        <w:t xml:space="preserve">)</w:t>
      </w:r>
      <w:r/>
    </w:p>
    <w:p>
      <w:pPr>
        <w:pStyle w:val="2227"/>
        <w:pBdr/>
        <w:spacing/>
        <w:ind/>
        <w:rPr/>
      </w:pPr>
      <w:r>
        <w:tab/>
      </w:r>
      <w:r>
        <w:t xml:space="preserve">Deut</w:t>
      </w:r>
      <w:r>
        <w:t xml:space="preserve">eronom</w:t>
      </w:r>
      <w:r>
        <w:t xml:space="preserve"> 22.13-30</w:t>
      </w:r>
      <w:r/>
    </w:p>
    <w:p>
      <w:pPr>
        <w:pStyle w:val="2227"/>
        <w:pBdr/>
        <w:spacing/>
        <w:ind/>
        <w:rPr/>
      </w:pPr>
      <w:r>
        <w:tab/>
      </w:r>
      <w:r>
        <w:t xml:space="preserve">Deut</w:t>
      </w:r>
      <w:r>
        <w:t xml:space="preserve">eronom</w:t>
      </w:r>
      <w:r>
        <w:t xml:space="preserve"> 24.1-5 (divorţ</w:t>
      </w:r>
      <w:r>
        <w:t xml:space="preserve">ul şi drepturile soţiei</w:t>
      </w:r>
      <w:r>
        <w:t xml:space="preserve">)</w:t>
      </w:r>
      <w:r/>
    </w:p>
    <w:p>
      <w:pPr>
        <w:pStyle w:val="2227"/>
        <w:pBdr/>
        <w:spacing/>
        <w:ind w:firstLine="0" w:left="720"/>
        <w:rPr/>
      </w:pPr>
      <w:r>
        <w:t xml:space="preserve">Numeri</w:t>
      </w:r>
      <w:r>
        <w:t xml:space="preserve"> 30 (</w:t>
      </w:r>
      <w:r>
        <w:t xml:space="preserve">femeia şi </w:t>
      </w:r>
      <w:r>
        <w:t xml:space="preserve">responsabilitatea juruinţei: este important</w:t>
      </w:r>
      <w:r>
        <w:t xml:space="preserve"> să </w:t>
      </w:r>
      <w:r>
        <w:t xml:space="preserve">se asigure funcţionalitatea familiei; deosebirile acceptate nu ţin de o ontologie diferită sau de capacităţi diferite, ci de funcţionalitatea familiei sub conducerea tatălui sau cea a soţului: femeia văduvă este pe deplin responsabilă</w:t>
      </w:r>
      <w:r>
        <w:t xml:space="preserve">)</w:t>
      </w:r>
      <w:r/>
    </w:p>
    <w:p>
      <w:pPr>
        <w:pStyle w:val="2227"/>
        <w:pBdr/>
        <w:spacing/>
        <w:ind/>
        <w:rPr/>
      </w:pPr>
      <w:r/>
      <w:r/>
    </w:p>
    <w:p>
      <w:pPr>
        <w:pStyle w:val="2227"/>
        <w:pBdr/>
        <w:spacing/>
        <w:ind/>
        <w:rPr/>
      </w:pPr>
      <w:r>
        <w:t xml:space="preserve">Clase defavorizate politic: „vameşii şi păcătoşii”</w:t>
      </w:r>
      <w:r/>
    </w:p>
    <w:p>
      <w:pPr>
        <w:pStyle w:val="2227"/>
        <w:pBdr/>
        <w:spacing/>
        <w:ind/>
        <w:rPr/>
      </w:pPr>
      <w:r>
        <w:t xml:space="preserve">Sclavagis</w:t>
      </w:r>
      <w:r>
        <w:t xml:space="preserve">m</w:t>
      </w:r>
      <w:r>
        <w:t xml:space="preserve">ul de casă</w:t>
      </w:r>
      <w:r>
        <w:t xml:space="preserve"> şi sclavagismul de stat</w:t>
      </w:r>
      <w:r/>
    </w:p>
    <w:p>
      <w:pPr>
        <w:pStyle w:val="2227"/>
        <w:pBdr/>
        <w:spacing/>
        <w:ind/>
        <w:rPr/>
      </w:pPr>
      <w:r/>
      <w:r/>
    </w:p>
    <w:p>
      <w:pPr>
        <w:pStyle w:val="2230"/>
        <w:pBdr/>
        <w:spacing/>
        <w:ind/>
        <w:rPr>
          <w:lang w:val="ro-RO"/>
        </w:rPr>
      </w:pPr>
      <w:r/>
      <w:bookmarkStart w:id="47" w:name="_Toc252991851"/>
      <w:r>
        <w:rPr>
          <w:lang w:val="ro-RO"/>
        </w:rPr>
        <w:t xml:space="preserve">5</w:t>
      </w:r>
      <w:r>
        <w:rPr>
          <w:lang w:val="ro-RO"/>
        </w:rPr>
        <w:t xml:space="preserve">.</w:t>
      </w:r>
      <w:r>
        <w:rPr>
          <w:lang w:val="ro-RO"/>
        </w:rPr>
        <w:t xml:space="preserve">2 Problematica relaţiilor cetăţean </w:t>
      </w:r>
      <w:r>
        <w:rPr>
          <w:lang w:val="ro-RO"/>
        </w:rPr>
        <w:t xml:space="preserve">–</w:t>
      </w:r>
      <w:r>
        <w:rPr>
          <w:lang w:val="ro-RO"/>
        </w:rPr>
        <w:t xml:space="preserve"> stat</w:t>
      </w:r>
      <w:bookmarkEnd w:id="47"/>
      <w:r>
        <w:rPr>
          <w:lang w:val="ro-RO"/>
        </w:rPr>
      </w:r>
      <w:r>
        <w:rPr>
          <w:lang w:val="ro-RO"/>
        </w:rPr>
      </w:r>
    </w:p>
    <w:p>
      <w:pPr>
        <w:pStyle w:val="2227"/>
        <w:pBdr/>
        <w:spacing/>
        <w:ind/>
        <w:rPr/>
      </w:pPr>
      <w:r>
        <w:t xml:space="preserve">Cetăţeanul între libertăţi şi datorii. Greci şi romani. </w:t>
      </w:r>
      <w:r>
        <w:t xml:space="preserve">Israel.</w:t>
      </w:r>
      <w:r/>
    </w:p>
    <w:p>
      <w:pPr>
        <w:pStyle w:val="2227"/>
        <w:pBdr/>
        <w:spacing/>
        <w:ind/>
        <w:rPr/>
      </w:pPr>
      <w:r>
        <w:t xml:space="preserve">O teorie a d</w:t>
      </w:r>
      <w:r>
        <w:t xml:space="preserve">reptului şi datoriilor</w:t>
      </w:r>
      <w:r>
        <w:fldChar w:fldCharType="begin"/>
      </w:r>
      <w:r>
        <w:instrText xml:space="preserve"> XE "datorie" </w:instrText>
      </w:r>
      <w:r>
        <w:fldChar w:fldCharType="end"/>
      </w:r>
      <w:r>
        <w:t xml:space="preserve"> statului în Israel.</w:t>
      </w:r>
      <w:r/>
    </w:p>
    <w:p>
      <w:pPr>
        <w:pStyle w:val="2227"/>
        <w:pBdr/>
        <w:spacing/>
        <w:ind/>
        <w:rPr/>
      </w:pPr>
      <w:r>
        <w:t xml:space="preserve">Taxe</w:t>
      </w:r>
      <w:r>
        <w:t xml:space="preserve">, Deut</w:t>
      </w:r>
      <w:r>
        <w:t xml:space="preserve">eronom</w:t>
      </w:r>
      <w:r>
        <w:t xml:space="preserve"> 14.22-30</w:t>
      </w:r>
      <w:r>
        <w:t xml:space="preserve">, Maleahi 3 (zeciuială).</w:t>
      </w:r>
      <w:r/>
    </w:p>
    <w:p>
      <w:pPr>
        <w:pStyle w:val="2227"/>
        <w:pBdr/>
        <w:spacing/>
        <w:ind/>
        <w:rPr/>
      </w:pPr>
      <w:r/>
      <w:r/>
    </w:p>
    <w:p>
      <w:pPr>
        <w:pStyle w:val="2227"/>
        <w:pBdr/>
        <w:spacing/>
        <w:ind w:firstLine="0"/>
        <w:rPr/>
      </w:pPr>
      <w:r>
        <w:t xml:space="preserve">Teologia leviţilor: un trib fără proprietăţi</w:t>
      </w:r>
      <w:r>
        <w:t xml:space="preserve">, dar cu taxe...</w:t>
      </w:r>
      <w:r/>
    </w:p>
    <w:p>
      <w:pPr>
        <w:pStyle w:val="2227"/>
        <w:pBdr/>
        <w:spacing/>
        <w:ind w:firstLine="0"/>
        <w:rPr/>
      </w:pPr>
      <w:r/>
      <w:r/>
    </w:p>
    <w:p>
      <w:pPr>
        <w:pStyle w:val="2227"/>
        <w:pBdr/>
        <w:spacing/>
        <w:ind w:firstLine="0"/>
        <w:rPr/>
      </w:pPr>
      <w:r>
        <w:t xml:space="preserve">Leviţii, Numeri 18</w:t>
      </w:r>
      <w:r>
        <w:t xml:space="preserve">, </w:t>
      </w:r>
      <w:r>
        <w:t xml:space="preserve">Leviţii erau </w:t>
      </w:r>
      <w:r>
        <w:t xml:space="preserve">tribul </w:t>
      </w:r>
      <w:r>
        <w:t xml:space="preserve">fără proprietăţi, a cărui moştenire era divinitatea, şi a care primea drept moştenire taxele (zeciuiala) de la populaţie.</w:t>
      </w:r>
      <w:r/>
    </w:p>
    <w:p>
      <w:pPr>
        <w:pStyle w:val="2227"/>
        <w:pBdr/>
        <w:spacing/>
        <w:ind w:firstLine="0"/>
        <w:rPr/>
      </w:pPr>
      <w:r/>
      <w:r/>
    </w:p>
    <w:p>
      <w:pPr>
        <w:pStyle w:val="2227"/>
        <w:pBdr/>
        <w:spacing/>
        <w:ind w:firstLine="0"/>
        <w:rPr/>
      </w:pPr>
      <w:r>
        <w:t xml:space="preserve">Vameşul – ca </w:t>
      </w:r>
      <w:r>
        <w:t xml:space="preserve">păcătos şi ca </w:t>
      </w:r>
      <w:r>
        <w:t xml:space="preserve">trădător</w:t>
      </w:r>
      <w:r>
        <w:t xml:space="preserve"> al naţiunii</w:t>
      </w:r>
      <w:r>
        <w:t xml:space="preserve">.</w:t>
      </w:r>
      <w:r/>
    </w:p>
    <w:p>
      <w:pPr>
        <w:pStyle w:val="2227"/>
        <w:pBdr/>
        <w:spacing/>
        <w:ind/>
        <w:rPr/>
      </w:pPr>
      <w:r/>
      <w:r/>
    </w:p>
    <w:p>
      <w:pPr>
        <w:pStyle w:val="2227"/>
        <w:pBdr/>
        <w:spacing/>
        <w:ind/>
        <w:rPr/>
      </w:pPr>
      <w:r/>
      <w:r/>
    </w:p>
    <w:p>
      <w:pPr>
        <w:pStyle w:val="2227"/>
        <w:pBdr/>
        <w:spacing/>
        <w:ind/>
        <w:rPr/>
      </w:pPr>
      <w:r>
        <w:t xml:space="preserve">Bibliografie:</w:t>
      </w:r>
      <w:r/>
    </w:p>
    <w:p>
      <w:pPr>
        <w:pStyle w:val="2227"/>
        <w:pBdr/>
        <w:spacing/>
        <w:ind/>
        <w:rPr/>
      </w:pPr>
      <w:r/>
      <w:r/>
    </w:p>
    <w:p>
      <w:pPr>
        <w:pStyle w:val="2227"/>
        <w:pBdr/>
        <w:spacing/>
        <w:ind/>
        <w:rPr/>
      </w:pPr>
      <w:r>
        <w:t xml:space="preserve">Sanders, </w:t>
      </w:r>
      <w:r>
        <w:rPr>
          <w:i/>
        </w:rPr>
        <w:t xml:space="preserve">Judaism,</w:t>
      </w:r>
      <w:r>
        <w:t xml:space="preserve"> 1-44; 190-314</w:t>
      </w:r>
      <w:r/>
    </w:p>
    <w:p>
      <w:pPr>
        <w:pStyle w:val="2227"/>
        <w:pBdr/>
        <w:spacing/>
        <w:ind/>
        <w:rPr/>
      </w:pPr>
      <w:r>
        <w:t xml:space="preserve">Sanders, </w:t>
      </w:r>
      <w:r>
        <w:rPr>
          <w:i/>
        </w:rPr>
        <w:t xml:space="preserve">Jesus and Judaism</w:t>
      </w:r>
      <w:r>
        <w:t xml:space="preserve">, 174-211, 245-267</w:t>
      </w:r>
      <w:r/>
    </w:p>
    <w:p>
      <w:pPr>
        <w:pStyle w:val="2227"/>
        <w:pBdr/>
        <w:spacing/>
        <w:ind/>
        <w:rPr/>
      </w:pPr>
      <w:r>
        <w:t xml:space="preserve">Cary şi Scullard, </w:t>
      </w:r>
      <w:r>
        <w:rPr>
          <w:i/>
        </w:rPr>
        <w:t xml:space="preserve">Istoria Romei</w:t>
      </w:r>
      <w:r>
        <w:t xml:space="preserve">, 57-64</w:t>
      </w:r>
      <w:r/>
    </w:p>
    <w:p>
      <w:pPr>
        <w:pStyle w:val="2227"/>
        <w:pBdr/>
        <w:spacing/>
        <w:ind/>
        <w:rPr/>
      </w:pPr>
      <w:r/>
      <w:r/>
    </w:p>
    <w:p>
      <w:pPr>
        <w:pStyle w:val="2227"/>
        <w:pBdr/>
        <w:spacing/>
        <w:ind/>
        <w:rPr/>
      </w:pPr>
      <w:r>
        <w:t xml:space="preserve">Plus bibliografia de la resurse.</w:t>
      </w:r>
      <w:r/>
    </w:p>
    <w:p>
      <w:pPr>
        <w:pStyle w:val="2227"/>
        <w:pBdr/>
        <w:spacing/>
        <w:ind/>
        <w:rPr/>
      </w:pPr>
      <w:r/>
      <w:r/>
    </w:p>
    <w:p>
      <w:pPr>
        <w:pStyle w:val="2227"/>
        <w:pBdr/>
        <w:spacing/>
        <w:ind/>
        <w:rPr/>
      </w:pPr>
      <w:r>
        <w:br w:type="page" w:clear="all"/>
      </w:r>
      <w:r/>
    </w:p>
    <w:p>
      <w:pPr>
        <w:pStyle w:val="2229"/>
        <w:pBdr/>
        <w:spacing/>
        <w:ind w:firstLine="0"/>
        <w:rPr/>
      </w:pPr>
      <w:r/>
      <w:bookmarkStart w:id="48" w:name="_Toc252991852"/>
      <w:r>
        <w:t xml:space="preserve">C</w:t>
      </w:r>
      <w:r>
        <w:t xml:space="preserve">apitolul 6</w:t>
      </w:r>
      <w:r>
        <w:t xml:space="preserve">. Teolo</w:t>
      </w:r>
      <w:r>
        <w:t xml:space="preserve">gia NT şi politicile culturale (I)</w:t>
      </w:r>
      <w:bookmarkEnd w:id="48"/>
      <w:r/>
      <w:r/>
    </w:p>
    <w:p>
      <w:pPr>
        <w:pStyle w:val="2227"/>
        <w:pBdr/>
        <w:spacing/>
        <w:ind w:firstLine="0"/>
        <w:rPr/>
      </w:pPr>
      <w:r>
        <w:t xml:space="preserve">R</w:t>
      </w:r>
      <w:r>
        <w:t xml:space="preserve">egimul străinilor în Iudeea; influenţe externe: ideologie şi </w:t>
      </w:r>
      <w:r>
        <w:t xml:space="preserve">imperiu</w:t>
      </w:r>
      <w:r>
        <w:t xml:space="preserve">; teologia</w:t>
      </w:r>
      <w:r>
        <w:t xml:space="preserve">, literatură şi colecţia reprezentativă a </w:t>
      </w:r>
      <w:r>
        <w:t xml:space="preserve">Septuagintei;</w:t>
      </w:r>
      <w:r/>
    </w:p>
    <w:p>
      <w:pPr>
        <w:pStyle w:val="2227"/>
        <w:pBdr/>
        <w:spacing/>
        <w:ind/>
        <w:rPr>
          <w:bCs/>
        </w:rPr>
      </w:pPr>
      <w:r>
        <w:rPr>
          <w:bCs/>
        </w:rPr>
      </w:r>
      <w:r>
        <w:rPr>
          <w:bCs/>
        </w:rPr>
      </w:r>
    </w:p>
    <w:p>
      <w:pPr>
        <w:pStyle w:val="2227"/>
        <w:pBdr/>
        <w:spacing/>
        <w:ind w:firstLine="0"/>
        <w:rPr>
          <w:bCs/>
        </w:rPr>
      </w:pPr>
      <w:r>
        <w:rPr>
          <w:bCs/>
        </w:rPr>
        <w:t xml:space="preserve">Problematica străinilor şi cultura; locuri comune în cultură greco-romană şi deosebiri; imagini mesianice greco-romane; Septuaginta şi nuvela, literatura şi politica; lumea simbolurilor politice şi ideologia.</w:t>
      </w:r>
      <w:r>
        <w:rPr>
          <w:bCs/>
        </w:rPr>
      </w:r>
    </w:p>
    <w:p>
      <w:pPr>
        <w:pStyle w:val="2227"/>
        <w:pBdr/>
        <w:spacing/>
        <w:ind/>
        <w:rPr>
          <w:bCs/>
        </w:rPr>
      </w:pPr>
      <w:r>
        <w:rPr>
          <w:bCs/>
        </w:rPr>
      </w:r>
      <w:r>
        <w:rPr>
          <w:bCs/>
        </w:rPr>
      </w:r>
    </w:p>
    <w:p>
      <w:pPr>
        <w:pStyle w:val="2230"/>
        <w:pBdr/>
        <w:spacing/>
        <w:ind/>
        <w:rPr>
          <w:lang w:val="ro-RO"/>
        </w:rPr>
      </w:pPr>
      <w:r/>
      <w:bookmarkStart w:id="49" w:name="_Toc252991853"/>
      <w:r>
        <w:rPr>
          <w:lang w:val="ro-RO"/>
        </w:rPr>
        <w:t xml:space="preserve">6</w:t>
      </w:r>
      <w:r>
        <w:rPr>
          <w:lang w:val="ro-RO"/>
        </w:rPr>
        <w:t xml:space="preserve">.1 </w:t>
      </w:r>
      <w:r>
        <w:rPr>
          <w:lang w:val="ro-RO"/>
        </w:rPr>
        <w:t xml:space="preserve">Perspective teologice şi educaţionale</w:t>
      </w:r>
      <w:bookmarkEnd w:id="49"/>
      <w:r>
        <w:rPr>
          <w:lang w:val="ro-RO"/>
        </w:rPr>
      </w:r>
      <w:r>
        <w:rPr>
          <w:lang w:val="ro-RO"/>
        </w:rPr>
      </w:r>
    </w:p>
    <w:p>
      <w:pPr>
        <w:pStyle w:val="2227"/>
        <w:pBdr/>
        <w:spacing/>
        <w:ind w:firstLine="0"/>
        <w:rPr>
          <w:bCs/>
        </w:rPr>
      </w:pPr>
      <w:r>
        <w:rPr>
          <w:bCs/>
        </w:rPr>
        <w:t xml:space="preserve">Noul Testament se dezvoltă într-un spaţiu elenist. Unul din exemplele clare este influenţa lui Philo. Philo este un gânditor evreu car</w:t>
      </w:r>
      <w:r>
        <w:rPr>
          <w:bCs/>
        </w:rPr>
        <w:t xml:space="preserve">e trăieşte chiar în timpul NT. Concepţiile sale sunt influenţate mult de gândirea lui Platon. El gândeşte în termeni elenişti temele vechi testamentare, creaţia, legislaţia ideală, politica. Ele are un limbaj apropiat de cel al lui Ioan (logosul, stilul). </w:t>
      </w:r>
      <w:r>
        <w:rPr>
          <w:bCs/>
        </w:rPr>
        <w:t xml:space="preserve">El apără ideea influenţei evreieşti asupra culturii sau a echivalenţei culturii evreieşti cu marea cultură greacă</w:t>
      </w:r>
      <w:r>
        <w:rPr>
          <w:bCs/>
        </w:rPr>
        <w:t xml:space="preserve">, a lui Moise ca legislator şi filosof, cu Platon.</w:t>
      </w:r>
      <w:r>
        <w:rPr>
          <w:bCs/>
        </w:rPr>
        <w:t xml:space="preserve"> Ideea a fost preluată de părinţii Bisericii în secolele 2-4.</w:t>
      </w:r>
      <w:r>
        <w:rPr>
          <w:bCs/>
        </w:rPr>
        <w:t xml:space="preserve"> De fapt, </w:t>
      </w:r>
      <w:r>
        <w:rPr>
          <w:bCs/>
        </w:rPr>
        <w:t xml:space="preserve">cel ce a furnizat expresia cea mai celebră a paralelismului Moise-Platon, a fost un filosof grec păgând, Numenius din Apamea, care a trăit în a doua jumătate a secolului 2 AD (filosof neopitagorean şi neoplatonist). </w:t>
      </w:r>
      <w:r>
        <w:rPr>
          <w:bCs/>
        </w:rPr>
        <w:t xml:space="preserve">El l-a numit pe Platon „un Moise vorbind greceşte” („Moise care a grăit în attică”; citat de părinţii Bisericii, </w:t>
      </w:r>
      <w:r>
        <w:rPr>
          <w:bCs/>
        </w:rPr>
        <w:t xml:space="preserve">Clement of Alexandria</w:t>
      </w:r>
      <w:r>
        <w:rPr>
          <w:bCs/>
          <w:i/>
          <w:iCs/>
        </w:rPr>
        <w:t xml:space="preserve">, Stromata</w:t>
      </w:r>
      <w:r>
        <w:rPr>
          <w:bCs/>
          <w:i/>
          <w:iCs/>
        </w:rPr>
        <w:t xml:space="preserve">, </w:t>
      </w:r>
      <w:r>
        <w:rPr>
          <w:bCs/>
        </w:rPr>
        <w:t xml:space="preserve">1.</w:t>
      </w:r>
      <w:r>
        <w:rPr>
          <w:bCs/>
        </w:rPr>
        <w:t xml:space="preserve">342;</w:t>
      </w:r>
      <w:r>
        <w:rPr>
          <w:bCs/>
          <w:i/>
          <w:iCs/>
        </w:rPr>
        <w:t xml:space="preserve"> </w:t>
      </w:r>
      <w:r>
        <w:rPr>
          <w:bCs/>
        </w:rPr>
        <w:t xml:space="preserve">Eusebius</w:t>
      </w:r>
      <w:r>
        <w:rPr>
          <w:bCs/>
          <w:i/>
          <w:iCs/>
        </w:rPr>
        <w:t xml:space="preserve">, Praep. Evang.</w:t>
      </w:r>
      <w:r>
        <w:rPr>
          <w:bCs/>
          <w:i/>
          <w:iCs/>
        </w:rPr>
        <w:t xml:space="preserve">,</w:t>
      </w:r>
      <w:r>
        <w:rPr>
          <w:bCs/>
        </w:rPr>
        <w:t xml:space="preserve"> </w:t>
      </w:r>
      <w:r>
        <w:rPr>
          <w:bCs/>
        </w:rPr>
        <w:t xml:space="preserve">11.</w:t>
      </w:r>
      <w:r>
        <w:rPr>
          <w:bCs/>
        </w:rPr>
        <w:t xml:space="preserve">10; Suda,</w:t>
      </w:r>
      <w:r>
        <w:rPr>
          <w:bCs/>
          <w:i/>
          <w:iCs/>
        </w:rPr>
        <w:t xml:space="preserve"> </w:t>
      </w:r>
      <w:r>
        <w:rPr>
          <w:bCs/>
          <w:i/>
          <w:iCs/>
        </w:rPr>
        <w:t xml:space="preserve">Numenius</w:t>
      </w:r>
      <w:r>
        <w:rPr>
          <w:bCs/>
        </w:rPr>
        <w:t xml:space="preserve">; exist</w:t>
      </w:r>
      <w:r>
        <w:rPr>
          <w:bCs/>
        </w:rPr>
        <w:t xml:space="preserve">ă însă şi o obiecţie privitoare la acest citat: el este păstrat de creştini, adică tocmai de cei care afirmau, în prelungirea eforturilor iudaice timpurii, că se poate vorbi de o echivalenţă filosofică şi religioasă, până la un punct, între Platon ş Moise.</w:t>
      </w:r>
      <w:r>
        <w:rPr>
          <w:bCs/>
        </w:rPr>
        <w:t xml:space="preserve"> </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Influenţa </w:t>
      </w:r>
      <w:r>
        <w:rPr>
          <w:bCs/>
        </w:rPr>
        <w:t xml:space="preserve">filosofilor greci asupra NT.</w:t>
      </w:r>
      <w:r>
        <w:rPr>
          <w:bCs/>
        </w:rPr>
      </w:r>
    </w:p>
    <w:p>
      <w:pPr>
        <w:pStyle w:val="2227"/>
        <w:pBdr/>
        <w:spacing/>
        <w:ind w:firstLine="0"/>
        <w:rPr>
          <w:bCs/>
        </w:rPr>
      </w:pPr>
      <w:r>
        <w:rPr>
          <w:bCs/>
        </w:rPr>
        <w:t xml:space="preserve">Şcoli greceşti de filosofie.</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Platon şi Aristotel.</w:t>
      </w:r>
      <w:r>
        <w:rPr>
          <w:bCs/>
        </w:rPr>
      </w:r>
    </w:p>
    <w:p>
      <w:pPr>
        <w:pStyle w:val="2227"/>
        <w:pBdr/>
        <w:spacing/>
        <w:ind w:firstLine="0"/>
        <w:rPr>
          <w:bCs/>
        </w:rPr>
      </w:pPr>
      <w:r>
        <w:rPr>
          <w:bCs/>
        </w:rPr>
        <w:t xml:space="preserve">Modele politice, idealul organizării cetăţii perfecte. Cf. Moise. Organizarea este o paradigmă profund înscrisă în gândirea umană. </w:t>
      </w:r>
      <w:r>
        <w:rPr>
          <w:bCs/>
        </w:rPr>
      </w:r>
    </w:p>
    <w:p>
      <w:pPr>
        <w:pStyle w:val="2227"/>
        <w:pBdr/>
        <w:spacing/>
        <w:ind w:firstLine="0"/>
        <w:rPr>
          <w:bCs/>
        </w:rPr>
      </w:pPr>
      <w:r>
        <w:rPr>
          <w:bCs/>
        </w:rPr>
      </w:r>
      <w:r>
        <w:rPr>
          <w:bCs/>
        </w:rPr>
      </w:r>
    </w:p>
    <w:p>
      <w:pPr>
        <w:pStyle w:val="2227"/>
        <w:pBdr/>
        <w:spacing/>
        <w:ind w:firstLine="0"/>
        <w:rPr>
          <w:bCs/>
        </w:rPr>
      </w:pPr>
      <w:r>
        <w:rPr>
          <w:bCs/>
        </w:rPr>
        <w:t xml:space="preserve">Valorile lui Platon şi Aristotel subliniază valoarea comunităţii, a societăţii ca ansamblu, căreia i se subordonează individul, familia, etc. Importantă este supravie</w:t>
      </w:r>
      <w:r>
        <w:rPr>
          <w:bCs/>
        </w:rPr>
        <w:t xml:space="preserve">ţuirea comunităţii, nu împlinirea individului. Decăderea perioadei clasice aduce cu sine afirmarea individului. La baza societăţii umane, pe de altă parte, iudaismul punea valoarea individului, a familiei. Comunitatea realizată prin realizarea individului.</w:t>
      </w:r>
      <w:r>
        <w:rPr>
          <w:bCs/>
        </w:rPr>
      </w:r>
    </w:p>
    <w:p>
      <w:pPr>
        <w:pStyle w:val="2227"/>
        <w:pBdr/>
        <w:spacing/>
        <w:ind w:firstLine="0"/>
        <w:rPr>
          <w:bCs/>
        </w:rPr>
      </w:pPr>
      <w:r>
        <w:rPr>
          <w:bCs/>
        </w:rPr>
      </w:r>
      <w:r>
        <w:rPr>
          <w:bCs/>
        </w:rPr>
      </w:r>
    </w:p>
    <w:p>
      <w:pPr>
        <w:pStyle w:val="2227"/>
        <w:pBdr/>
        <w:spacing/>
        <w:ind w:firstLine="0"/>
        <w:rPr>
          <w:bCs/>
        </w:rPr>
      </w:pPr>
      <w:r>
        <w:rPr>
          <w:bCs/>
        </w:rPr>
        <w:t xml:space="preserve">Isus şi filosofii greci: portretul cinic şi peripatetic – sau unul stoic. Paralele greceş</w:t>
      </w:r>
      <w:r>
        <w:rPr>
          <w:bCs/>
        </w:rPr>
        <w:t xml:space="preserve">t</w:t>
      </w:r>
      <w:r>
        <w:rPr>
          <w:bCs/>
        </w:rPr>
        <w:t xml:space="preserve">i şi rabinice în pedagogia lui Isus. Şi grecii vin să îl asculte (Ioan 12). Organizarea din spatele misiunii lui Isus: restabilirea importanţei femeii (Luca 8). Isus şi femeile: arătarea de la mormânt, Marta şi Maria, etc.</w:t>
      </w:r>
      <w:r>
        <w:rPr>
          <w:bCs/>
        </w:rPr>
      </w:r>
    </w:p>
    <w:p>
      <w:pPr>
        <w:pStyle w:val="2227"/>
        <w:pBdr/>
        <w:spacing/>
        <w:ind w:firstLine="0"/>
        <w:rPr>
          <w:bCs/>
        </w:rPr>
      </w:pPr>
      <w:r>
        <w:rPr>
          <w:bCs/>
        </w:rPr>
      </w:r>
      <w:r>
        <w:rPr>
          <w:bCs/>
        </w:rPr>
      </w:r>
    </w:p>
    <w:p>
      <w:pPr>
        <w:pStyle w:val="2230"/>
        <w:pBdr/>
        <w:spacing/>
        <w:ind/>
        <w:rPr>
          <w:lang w:val="ro-RO"/>
        </w:rPr>
      </w:pPr>
      <w:r/>
      <w:bookmarkStart w:id="50" w:name="_Toc252991854"/>
      <w:r>
        <w:rPr>
          <w:lang w:val="ro-RO"/>
        </w:rPr>
        <w:t xml:space="preserve">6</w:t>
      </w:r>
      <w:r>
        <w:rPr>
          <w:lang w:val="ro-RO"/>
        </w:rPr>
        <w:t xml:space="preserve">.2 Perspective literare şi ideologice</w:t>
      </w:r>
      <w:bookmarkEnd w:id="50"/>
      <w:r>
        <w:rPr>
          <w:lang w:val="ro-RO"/>
        </w:rPr>
      </w:r>
      <w:r>
        <w:rPr>
          <w:lang w:val="ro-RO"/>
        </w:rPr>
      </w:r>
    </w:p>
    <w:p>
      <w:pPr>
        <w:pStyle w:val="2227"/>
        <w:pBdr/>
        <w:spacing/>
        <w:ind w:firstLine="0"/>
        <w:rPr>
          <w:bCs/>
        </w:rPr>
      </w:pPr>
      <w:r>
        <w:rPr>
          <w:bCs/>
        </w:rPr>
        <w:t xml:space="preserve">Septuaginta ca reper literară şi teologică, ideologică</w:t>
      </w:r>
      <w:r>
        <w:rPr>
          <w:bCs/>
        </w:rPr>
      </w:r>
    </w:p>
    <w:p>
      <w:pPr>
        <w:pStyle w:val="2227"/>
        <w:pBdr/>
        <w:spacing/>
        <w:ind w:firstLine="0"/>
        <w:rPr>
          <w:bCs/>
        </w:rPr>
      </w:pPr>
      <w:r>
        <w:rPr>
          <w:bCs/>
        </w:rPr>
        <w:t xml:space="preserve">Septuaginta este un fenomen cultural care aduce în lumea greacă ideile evreieşti. Nu este o simplă traducere a VT, ci o completare a traduceri</w:t>
      </w:r>
      <w:r>
        <w:rPr>
          <w:bCs/>
        </w:rPr>
        <w:t xml:space="preserve">i cu scrieri apocrife, de tip elenist (literatură sapienţială, Înţelepciunea lui Isus fiul lui Sirach; literatură nuvelistică: Judita, Susana, cartea lui Tobit, 1-4 Macabei, etc.). De fapt, şi scrierile târzii ale NT au valori nuvelistice: Estera, Rut, Dan</w:t>
      </w:r>
      <w:r>
        <w:rPr>
          <w:bCs/>
        </w:rPr>
        <w:t xml:space="preserve">iel. Genul nuvelistic şi cel filosofic se impun în gândirea iudaică. </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Noul Testament va simţi influenţa proiectului septuagintal: în mesaj mesianic</w:t>
      </w:r>
      <w:r>
        <w:rPr>
          <w:bCs/>
        </w:rPr>
        <w:t xml:space="preserve"> (apostolii vor cita profeţii despre Mesia, din Septuaginta)</w:t>
      </w:r>
      <w:r>
        <w:rPr>
          <w:bCs/>
        </w:rPr>
        <w:t xml:space="preserve">, în preferinţe literare</w:t>
      </w:r>
      <w:r>
        <w:rPr>
          <w:bCs/>
        </w:rPr>
        <w:t xml:space="preserve"> (Luca imită stilul narativ septuagintal; genul nuvelistic este influent; de asemeni, şi genul semi-biografic şi proclamator care va duce la crearea genului evangheliilor)</w:t>
      </w:r>
      <w:r>
        <w:rPr>
          <w:bCs/>
        </w:rPr>
        <w:t xml:space="preserve">, în conţinut filosofic</w:t>
      </w:r>
      <w:r>
        <w:rPr>
          <w:bCs/>
        </w:rPr>
        <w:t xml:space="preserve"> (texte sapienţiale)</w:t>
      </w:r>
      <w:r>
        <w:rPr>
          <w:bCs/>
        </w:rPr>
        <w:t xml:space="preserve">, în perspective ideologice. </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Reprezentarea literară a realităţii: istorie şi literatură în Faptele Apostolilor.</w:t>
      </w:r>
      <w:r>
        <w:rPr>
          <w:bCs/>
        </w:rPr>
        <w:t xml:space="preserve"> Elemente de nuvelă şi literatură de aventură: </w:t>
      </w:r>
      <w:r>
        <w:rPr>
          <w:bCs/>
        </w:rPr>
      </w:r>
    </w:p>
    <w:p>
      <w:pPr>
        <w:pStyle w:val="2227"/>
        <w:pBdr/>
        <w:spacing/>
        <w:ind w:firstLine="0"/>
        <w:rPr>
          <w:bCs/>
        </w:rPr>
      </w:pPr>
      <w:r>
        <w:rPr>
          <w:bCs/>
        </w:rPr>
      </w:r>
      <w:r>
        <w:rPr>
          <w:bCs/>
        </w:rPr>
      </w:r>
    </w:p>
    <w:p>
      <w:pPr>
        <w:pStyle w:val="2227"/>
        <w:pBdr/>
        <w:spacing/>
        <w:ind w:firstLine="0"/>
        <w:rPr>
          <w:bCs/>
        </w:rPr>
      </w:pPr>
      <w:r>
        <w:rPr>
          <w:bCs/>
        </w:rPr>
        <w:t xml:space="preserve">convertirea eunucului etiopian (Fapte 8)</w:t>
      </w:r>
      <w:r>
        <w:rPr>
          <w:bCs/>
        </w:rPr>
      </w:r>
    </w:p>
    <w:p>
      <w:pPr>
        <w:pStyle w:val="2227"/>
        <w:pBdr/>
        <w:spacing/>
        <w:ind w:firstLine="0"/>
        <w:rPr>
          <w:bCs/>
        </w:rPr>
      </w:pPr>
      <w:r>
        <w:rPr>
          <w:bCs/>
        </w:rPr>
        <w:t xml:space="preserve">convertirea lui Pavel pe drumul Damascului (Fapte 9)</w:t>
      </w:r>
      <w:r>
        <w:rPr>
          <w:bCs/>
        </w:rPr>
      </w:r>
    </w:p>
    <w:p>
      <w:pPr>
        <w:pStyle w:val="2227"/>
        <w:pBdr/>
        <w:spacing/>
        <w:ind w:firstLine="0"/>
        <w:rPr>
          <w:bCs/>
        </w:rPr>
      </w:pPr>
      <w:r>
        <w:rPr>
          <w:bCs/>
        </w:rPr>
        <w:t xml:space="preserve">viziunile lui Petru şi convertirea lui Corneliu (Fapte 10)</w:t>
      </w:r>
      <w:r>
        <w:rPr>
          <w:bCs/>
        </w:rPr>
      </w:r>
    </w:p>
    <w:p>
      <w:pPr>
        <w:pStyle w:val="2227"/>
        <w:pBdr/>
        <w:spacing/>
        <w:ind w:firstLine="0"/>
        <w:rPr>
          <w:bCs/>
        </w:rPr>
      </w:pPr>
      <w:r>
        <w:rPr>
          <w:bCs/>
        </w:rPr>
        <w:t xml:space="preserve">convertirea temnicerului din Filipi (Fapte 16)</w:t>
      </w:r>
      <w:r>
        <w:rPr>
          <w:bCs/>
        </w:rPr>
      </w:r>
      <w:r>
        <w:rPr>
          <w:bCs/>
        </w:rPr>
      </w:r>
    </w:p>
    <w:p>
      <w:pPr>
        <w:pStyle w:val="2227"/>
        <w:pBdr/>
        <w:spacing/>
        <w:ind w:firstLine="0"/>
        <w:rPr>
          <w:bCs/>
        </w:rPr>
      </w:pPr>
      <w:r>
        <w:rPr>
          <w:bCs/>
        </w:rPr>
        <w:t xml:space="preserve">dejucarea complotului de ucidere a lui Pavel (</w:t>
      </w:r>
      <w:r>
        <w:rPr>
          <w:bCs/>
        </w:rPr>
        <w:t xml:space="preserve">Fapte 22)</w:t>
      </w:r>
      <w:r>
        <w:rPr>
          <w:bCs/>
        </w:rPr>
      </w:r>
      <w:r>
        <w:rPr>
          <w:bCs/>
        </w:rPr>
      </w:r>
    </w:p>
    <w:p>
      <w:pPr>
        <w:pStyle w:val="2227"/>
        <w:pBdr/>
        <w:spacing/>
        <w:ind w:firstLine="0"/>
        <w:rPr>
          <w:bCs/>
        </w:rPr>
      </w:pPr>
      <w:r>
        <w:rPr>
          <w:bCs/>
        </w:rPr>
        <w:t xml:space="preserve">naufragiul din Malta (Fapte 27-28)</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Politic</w:t>
      </w:r>
      <w:r>
        <w:rPr>
          <w:bCs/>
        </w:rPr>
        <w:t xml:space="preserve">i culturale şi creştinism</w:t>
      </w:r>
      <w:r>
        <w:rPr>
          <w:bCs/>
        </w:rPr>
      </w:r>
      <w:r>
        <w:rPr>
          <w:bCs/>
        </w:rPr>
      </w:r>
    </w:p>
    <w:p>
      <w:pPr>
        <w:pStyle w:val="2227"/>
        <w:pBdr/>
        <w:spacing/>
        <w:ind w:firstLine="0"/>
        <w:rPr>
          <w:bCs/>
        </w:rPr>
      </w:pPr>
      <w:r>
        <w:rPr>
          <w:bCs/>
        </w:rPr>
        <w:t xml:space="preserve">Teologia străinilor şi programul creştin.</w:t>
      </w:r>
      <w:r>
        <w:rPr>
          <w:bCs/>
        </w:rPr>
        <w:t xml:space="preserve"> </w:t>
      </w:r>
      <w:r>
        <w:rPr>
          <w:bCs/>
          <w:i/>
        </w:rPr>
        <w:t xml:space="preserve">Metoikos</w:t>
      </w:r>
      <w:r>
        <w:rPr>
          <w:bCs/>
        </w:rPr>
        <w:t xml:space="preserve"> (metec) străinul </w:t>
      </w:r>
      <w:r>
        <w:rPr>
          <w:bCs/>
        </w:rPr>
        <w:t xml:space="preserve">cel fără drepturi în Atena (Aristotel, Politica)</w:t>
      </w:r>
      <w:r>
        <w:rPr>
          <w:bCs/>
        </w:rPr>
        <w:t xml:space="preserve"> şi </w:t>
      </w:r>
      <w:r>
        <w:rPr>
          <w:bCs/>
          <w:i/>
        </w:rPr>
        <w:t xml:space="preserve">paroikos</w:t>
      </w:r>
      <w:r>
        <w:rPr>
          <w:bCs/>
        </w:rPr>
        <w:t xml:space="preserve">, </w:t>
      </w:r>
      <w:r>
        <w:rPr>
          <w:bCs/>
        </w:rPr>
        <w:t xml:space="preserve">străinul </w:t>
      </w:r>
      <w:r>
        <w:rPr>
          <w:bCs/>
        </w:rPr>
        <w:t xml:space="preserve">care nu este la curent cu întâmplările interne recente</w:t>
      </w:r>
      <w:r>
        <w:rPr>
          <w:bCs/>
        </w:rPr>
        <w:t xml:space="preserve">. </w:t>
      </w:r>
      <w:r>
        <w:rPr>
          <w:bCs/>
        </w:rPr>
        <w:t xml:space="preserve">Isus este </w:t>
      </w:r>
      <w:r>
        <w:rPr>
          <w:bCs/>
        </w:rPr>
        <w:t xml:space="preserve">descris ca un </w:t>
      </w:r>
      <w:r>
        <w:rPr>
          <w:bCs/>
          <w:i/>
        </w:rPr>
        <w:t xml:space="preserve">paroikos</w:t>
      </w:r>
      <w:r>
        <w:rPr>
          <w:bCs/>
        </w:rPr>
        <w:t xml:space="preserve">, străin</w:t>
      </w:r>
      <w:r>
        <w:rPr>
          <w:bCs/>
        </w:rPr>
        <w:t xml:space="preserve"> (posibil prozelit)</w:t>
      </w:r>
      <w:r>
        <w:rPr>
          <w:bCs/>
        </w:rPr>
        <w:t xml:space="preserve">,</w:t>
      </w:r>
      <w:r>
        <w:rPr>
          <w:bCs/>
        </w:rPr>
        <w:t xml:space="preserve"> când se arată, după înviere, celor doi care călătoreau spre Emaus </w:t>
      </w:r>
      <w:r>
        <w:rPr>
          <w:bCs/>
        </w:rPr>
        <w:t xml:space="preserve">(Luca 24). </w:t>
      </w:r>
      <w:r>
        <w:rPr>
          <w:bCs/>
        </w:rPr>
        <w:t xml:space="preserve">Creştinii sunt numiţi paroikos (</w:t>
      </w:r>
      <w:r>
        <w:rPr>
          <w:bCs/>
        </w:rPr>
        <w:t xml:space="preserve">străini şi călători) în 1 Petru (</w:t>
      </w:r>
      <w:r>
        <w:rPr>
          <w:bCs/>
        </w:rPr>
        <w:t xml:space="preserve">1:1, </w:t>
      </w:r>
      <w:r>
        <w:rPr>
          <w:bCs/>
        </w:rPr>
        <w:t xml:space="preserve">1:17; 2:11).</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Viaţa creştină: apropiată de paradigma pelerinului (străin şi călător), aflat într-o situaţie de contestare a cetăţilor pământeşti, a sistemelor politice existente, şi afirmând carac</w:t>
      </w:r>
      <w:r>
        <w:rPr>
          <w:bCs/>
        </w:rPr>
        <w:t xml:space="preserve">terul lor temporar. Organizarea societăţii creştine are un statut intermediar. Integrarea sa în structurile politice existente este doar parţială şi temporară. Adevărata integrare apare în momentul revenirii lui Mesia şi a instaurării Împărăţiei mesianice.</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Creştinii şi confruntarea economică şi culturală </w:t>
      </w:r>
      <w:r>
        <w:rPr>
          <w:bCs/>
        </w:rPr>
        <w:t xml:space="preserve">cu oraşul</w:t>
      </w:r>
      <w:r>
        <w:rPr>
          <w:bCs/>
        </w:rPr>
        <w:t xml:space="preserve"> elenist (Fapte 16): Pavel şi vindecarea (exorcizarea) sclavei cu spirit de ghicire (elemente de nuvelă).</w:t>
      </w:r>
      <w:r>
        <w:rPr>
          <w:bCs/>
        </w:rPr>
        <w:t xml:space="preserve"> Problemele interne ale creştinismului: îndrăzneala de a predica străinilor (famenul etiopian şi Filip</w:t>
      </w:r>
      <w:r>
        <w:rPr>
          <w:bCs/>
        </w:rPr>
        <w:t xml:space="preserve">, Fapte 8</w:t>
      </w:r>
      <w:r>
        <w:rPr>
          <w:bCs/>
        </w:rPr>
        <w:t xml:space="preserve">; </w:t>
      </w:r>
      <w:r>
        <w:rPr>
          <w:bCs/>
        </w:rPr>
        <w:t xml:space="preserve">Petru şi Corneliu, Fapte 10-12; şi semi-străinilor: Filip şi </w:t>
      </w:r>
      <w:r>
        <w:rPr>
          <w:bCs/>
        </w:rPr>
        <w:t xml:space="preserve">samaritenii).</w:t>
      </w:r>
      <w:r>
        <w:rPr>
          <w:bCs/>
        </w:rPr>
        <w:t xml:space="preserve"> Din nou, elementul de aventură. Răspândirea creştinismului nu este o istorie plictisitoare, ci una de aventură, de confruntare culturală şi religioasă.</w:t>
      </w:r>
      <w:r>
        <w:rPr>
          <w:bCs/>
        </w:rPr>
      </w:r>
      <w:r>
        <w:rPr>
          <w:bCs/>
        </w:rPr>
      </w:r>
    </w:p>
    <w:p>
      <w:pPr>
        <w:pStyle w:val="2227"/>
        <w:pBdr/>
        <w:spacing/>
        <w:ind w:firstLine="0"/>
        <w:rPr>
          <w:bCs/>
        </w:rPr>
      </w:pPr>
      <w:r>
        <w:rPr>
          <w:bCs/>
        </w:rPr>
      </w:r>
      <w:r>
        <w:rPr>
          <w:bCs/>
        </w:rPr>
      </w:r>
    </w:p>
    <w:p>
      <w:pPr>
        <w:pStyle w:val="2227"/>
        <w:pBdr/>
        <w:spacing/>
        <w:ind w:firstLine="0"/>
        <w:rPr>
          <w:bCs/>
        </w:rPr>
      </w:pPr>
      <w:r>
        <w:rPr>
          <w:bCs/>
        </w:rPr>
        <w:t xml:space="preserve">Imperiul roman şi ideologia NT: separare de iudei şi apreciere asupra </w:t>
      </w:r>
      <w:r>
        <w:rPr>
          <w:bCs/>
        </w:rPr>
        <w:t xml:space="preserve">imperiului roman (aprecierea militarilor; aprecierea dreptăţii romane). </w:t>
      </w:r>
      <w:r>
        <w:rPr>
          <w:bCs/>
          <w:i/>
        </w:rPr>
        <w:t xml:space="preserve">Apologia pro evangelia</w:t>
      </w:r>
      <w:r>
        <w:rPr>
          <w:bCs/>
        </w:rPr>
        <w:t xml:space="preserve"> şi </w:t>
      </w:r>
      <w:r>
        <w:rPr>
          <w:bCs/>
          <w:i/>
        </w:rPr>
        <w:t xml:space="preserve">Apologia pro imperium</w:t>
      </w:r>
      <w:r>
        <w:rPr>
          <w:bCs/>
        </w:rPr>
        <w:t xml:space="preserve">.</w:t>
      </w:r>
      <w:r>
        <w:rPr>
          <w:bCs/>
        </w:rPr>
        <w:t xml:space="preserve"> </w:t>
      </w:r>
      <w:r>
        <w:rPr>
          <w:bCs/>
        </w:rPr>
      </w:r>
    </w:p>
    <w:p>
      <w:pPr>
        <w:pStyle w:val="2227"/>
        <w:pBdr/>
        <w:spacing/>
        <w:ind w:firstLine="0"/>
        <w:rPr>
          <w:bCs/>
        </w:rPr>
      </w:pPr>
      <w:r>
        <w:rPr>
          <w:bCs/>
        </w:rPr>
      </w:r>
      <w:r>
        <w:rPr>
          <w:bCs/>
        </w:rPr>
      </w:r>
    </w:p>
    <w:p>
      <w:pPr>
        <w:pStyle w:val="2227"/>
        <w:pBdr/>
        <w:spacing/>
        <w:ind w:firstLine="0"/>
        <w:rPr>
          <w:bCs/>
        </w:rPr>
      </w:pPr>
      <w:r>
        <w:rPr>
          <w:bCs/>
        </w:rPr>
      </w:r>
      <w:r>
        <w:rPr>
          <w:bCs/>
        </w:rPr>
      </w:r>
    </w:p>
    <w:p>
      <w:pPr>
        <w:pStyle w:val="2227"/>
        <w:pBdr/>
        <w:spacing/>
        <w:ind w:firstLine="0"/>
        <w:rPr>
          <w:bCs/>
        </w:rPr>
      </w:pPr>
      <w:r>
        <w:rPr>
          <w:bCs/>
        </w:rPr>
      </w:r>
      <w:r>
        <w:rPr>
          <w:bCs/>
        </w:rPr>
      </w:r>
    </w:p>
    <w:p>
      <w:pPr>
        <w:pStyle w:val="2227"/>
        <w:pBdr/>
        <w:spacing/>
        <w:ind/>
        <w:rPr>
          <w:bCs/>
        </w:rPr>
      </w:pPr>
      <w:r>
        <w:rPr>
          <w:bCs/>
        </w:rPr>
        <w:t xml:space="preserve">Bibliografie</w:t>
      </w:r>
      <w:r>
        <w:rPr>
          <w:bCs/>
        </w:rPr>
      </w:r>
    </w:p>
    <w:p>
      <w:pPr>
        <w:pStyle w:val="2227"/>
        <w:pBdr/>
        <w:spacing/>
        <w:ind w:firstLine="0"/>
        <w:rPr>
          <w:bCs/>
        </w:rPr>
      </w:pPr>
      <w:r>
        <w:rPr>
          <w:bCs/>
        </w:rPr>
        <w:t xml:space="preserve">Hengel, </w:t>
      </w:r>
      <w:r>
        <w:rPr>
          <w:bCs/>
          <w:i/>
        </w:rPr>
        <w:t xml:space="preserve">Judaism and Hellenism,</w:t>
      </w:r>
      <w:r>
        <w:rPr>
          <w:bCs/>
        </w:rPr>
        <w:t xml:space="preserve"> 58-248</w:t>
      </w:r>
      <w:r>
        <w:rPr>
          <w:bCs/>
        </w:rPr>
      </w:r>
    </w:p>
    <w:p>
      <w:pPr>
        <w:pStyle w:val="2227"/>
        <w:pBdr/>
        <w:spacing/>
        <w:ind w:firstLine="0"/>
        <w:rPr>
          <w:bCs/>
          <w:i/>
        </w:rPr>
      </w:pPr>
      <w:r>
        <w:rPr>
          <w:bCs/>
        </w:rPr>
        <w:t xml:space="preserve">Platon</w:t>
      </w:r>
      <w:r>
        <w:rPr>
          <w:bCs/>
          <w:i/>
        </w:rPr>
        <w:t xml:space="preserve">, Republica; Legile.</w:t>
      </w:r>
      <w:r>
        <w:rPr>
          <w:bCs/>
          <w:i/>
        </w:rPr>
      </w:r>
    </w:p>
    <w:p>
      <w:pPr>
        <w:pStyle w:val="2227"/>
        <w:pBdr/>
        <w:spacing/>
        <w:ind w:firstLine="0"/>
        <w:rPr>
          <w:bCs/>
        </w:rPr>
      </w:pPr>
      <w:r>
        <w:t xml:space="preserve">Baban, O., „Conflictele Bisericii”.</w:t>
      </w:r>
      <w:r>
        <w:rPr>
          <w:bCs/>
        </w:rPr>
      </w:r>
      <w:r>
        <w:rPr>
          <w:bCs/>
        </w:rPr>
      </w:r>
    </w:p>
    <w:p>
      <w:pPr>
        <w:pStyle w:val="2227"/>
        <w:pBdr/>
        <w:spacing/>
        <w:ind w:firstLine="0"/>
        <w:rPr>
          <w:i/>
        </w:rPr>
      </w:pPr>
      <w:r>
        <w:t xml:space="preserve">Hansen, </w:t>
      </w:r>
      <w:r>
        <w:rPr>
          <w:i/>
        </w:rPr>
        <w:t xml:space="preserve">Anthology.</w:t>
      </w:r>
      <w:r>
        <w:rPr>
          <w:i/>
        </w:rPr>
      </w:r>
    </w:p>
    <w:p>
      <w:pPr>
        <w:pStyle w:val="2227"/>
        <w:pBdr/>
        <w:spacing/>
        <w:ind w:firstLine="0"/>
        <w:rPr>
          <w:i/>
        </w:rPr>
      </w:pPr>
      <w:r>
        <w:rPr>
          <w:i/>
        </w:rPr>
      </w:r>
      <w:r>
        <w:rPr>
          <w:i/>
        </w:rPr>
      </w:r>
    </w:p>
    <w:p>
      <w:pPr>
        <w:pStyle w:val="2227"/>
        <w:pBdr/>
        <w:spacing/>
        <w:ind w:firstLine="0"/>
        <w:rPr/>
      </w:pPr>
      <w:r>
        <w:br w:type="page" w:clear="all"/>
      </w:r>
      <w:r/>
    </w:p>
    <w:p>
      <w:pPr>
        <w:pStyle w:val="2229"/>
        <w:pBdr/>
        <w:spacing/>
        <w:ind w:firstLine="0"/>
        <w:rPr/>
      </w:pPr>
      <w:r/>
      <w:bookmarkStart w:id="51" w:name="_Toc252991855"/>
      <w:r>
        <w:t xml:space="preserve">Capitolul 7</w:t>
      </w:r>
      <w:r>
        <w:t xml:space="preserve">. Noul Testament şi politicile culturale</w:t>
      </w:r>
      <w:r>
        <w:t xml:space="preserve"> (II)</w:t>
      </w:r>
      <w:bookmarkEnd w:id="51"/>
      <w:r/>
      <w:r/>
    </w:p>
    <w:p>
      <w:pPr>
        <w:pStyle w:val="2227"/>
        <w:pBdr/>
        <w:spacing/>
        <w:ind w:firstLine="0"/>
        <w:rPr/>
      </w:pPr>
      <w:r/>
      <w:r/>
    </w:p>
    <w:p>
      <w:pPr>
        <w:pStyle w:val="2227"/>
        <w:pBdr/>
        <w:spacing/>
        <w:ind w:firstLine="0"/>
        <w:rPr/>
      </w:pPr>
      <w:r>
        <w:t xml:space="preserve">Luca-Fapte şi ideologia evangheliei (călătorii,</w:t>
      </w:r>
      <w:r>
        <w:t xml:space="preserve"> </w:t>
      </w:r>
      <w:r>
        <w:t xml:space="preserve">militari, aristocraţi); Pavel şi paradigmele</w:t>
      </w:r>
      <w:r>
        <w:t xml:space="preserve"> </w:t>
      </w:r>
      <w:r>
        <w:t xml:space="preserve">culturale; artele şi credinţa; ştiinţă şi Scriptură.</w:t>
      </w:r>
      <w:r>
        <w:t xml:space="preserve"> </w:t>
      </w:r>
      <w:r>
        <w:t xml:space="preserve">Matei-Marcu-Luca-Faptele Ap.; Romani, 1-2</w:t>
      </w:r>
      <w:r>
        <w:t xml:space="preserve"> </w:t>
      </w:r>
      <w:r>
        <w:t xml:space="preserve">Corinteni; Coloseni; Filipeni.</w:t>
      </w:r>
      <w:r/>
    </w:p>
    <w:p>
      <w:pPr>
        <w:pStyle w:val="2227"/>
        <w:pBdr/>
        <w:spacing/>
        <w:ind w:firstLine="0"/>
        <w:rPr/>
      </w:pPr>
      <w:r/>
      <w:r/>
    </w:p>
    <w:p>
      <w:pPr>
        <w:pStyle w:val="2230"/>
        <w:pBdr/>
        <w:spacing/>
        <w:ind/>
        <w:rPr>
          <w:lang w:val="ro-RO"/>
        </w:rPr>
      </w:pPr>
      <w:r/>
      <w:bookmarkStart w:id="52" w:name="_Toc252991856"/>
      <w:r>
        <w:rPr>
          <w:lang w:val="ro-RO"/>
        </w:rPr>
        <w:t xml:space="preserve">7</w:t>
      </w:r>
      <w:r>
        <w:rPr>
          <w:lang w:val="ro-RO"/>
        </w:rPr>
        <w:t xml:space="preserve">.1 </w:t>
      </w:r>
      <w:r>
        <w:rPr>
          <w:lang w:val="ro-RO"/>
        </w:rPr>
        <w:t xml:space="preserve">NT, religia (teologia) şi cultura</w:t>
      </w:r>
      <w:bookmarkEnd w:id="52"/>
      <w:r>
        <w:rPr>
          <w:lang w:val="ro-RO"/>
        </w:rPr>
      </w:r>
      <w:r>
        <w:rPr>
          <w:lang w:val="ro-RO"/>
        </w:rPr>
      </w:r>
    </w:p>
    <w:p>
      <w:pPr>
        <w:pStyle w:val="2227"/>
        <w:pBdr/>
        <w:spacing/>
        <w:ind w:firstLine="0"/>
        <w:rPr/>
      </w:pPr>
      <w:r/>
      <w:r/>
    </w:p>
    <w:p>
      <w:pPr>
        <w:pStyle w:val="2227"/>
        <w:pBdr/>
        <w:spacing/>
        <w:ind w:firstLine="0"/>
        <w:rPr/>
      </w:pPr>
      <w:r>
        <w:t xml:space="preserve">Definiţia culturii</w:t>
      </w:r>
      <w:r>
        <w:t xml:space="preserve">, R. Niebuhr, V. Robbins, </w:t>
      </w:r>
      <w:r>
        <w:t xml:space="preserve">J. Valade</w:t>
      </w:r>
      <w:r>
        <w:t xml:space="preserve">. </w:t>
      </w:r>
      <w:r>
        <w:t xml:space="preserve">Suma valorilor </w:t>
      </w:r>
      <w:r>
        <w:t xml:space="preserve">afirmate şi cultivate conştient de o comunitate.</w:t>
      </w:r>
      <w:r/>
    </w:p>
    <w:p>
      <w:pPr>
        <w:pStyle w:val="2227"/>
        <w:pBdr/>
        <w:spacing/>
        <w:ind w:firstLine="0"/>
        <w:rPr/>
      </w:pPr>
      <w:r/>
      <w:r/>
    </w:p>
    <w:p>
      <w:pPr>
        <w:pStyle w:val="2227"/>
        <w:pBdr/>
        <w:spacing/>
        <w:ind w:firstLine="0"/>
        <w:rPr/>
      </w:pPr>
      <w:r>
        <w:t xml:space="preserve">Alte definiţii.</w:t>
      </w:r>
      <w:r/>
    </w:p>
    <w:p>
      <w:pPr>
        <w:pStyle w:val="2227"/>
        <w:pBdr/>
        <w:spacing/>
        <w:ind w:firstLine="0"/>
        <w:rPr/>
      </w:pPr>
      <w:r/>
      <w:r/>
    </w:p>
    <w:p>
      <w:pPr>
        <w:pStyle w:val="2227"/>
        <w:pBdr/>
        <w:spacing/>
        <w:ind w:firstLine="0"/>
        <w:rPr/>
      </w:pPr>
      <w:r>
        <w:t xml:space="preserve">Clasificări: cultură dominantă, subcult</w:t>
      </w:r>
      <w:r>
        <w:t xml:space="preserve">ură, cultură alternativă (</w:t>
      </w:r>
      <w:r>
        <w:t xml:space="preserve">cultură</w:t>
      </w:r>
      <w:r>
        <w:t xml:space="preserve"> contrară</w:t>
      </w:r>
      <w:r>
        <w:t xml:space="preserve">, cultură de opoziţie</w:t>
      </w:r>
      <w:r>
        <w:t xml:space="preserve">), </w:t>
      </w:r>
      <w:r>
        <w:t xml:space="preserve">contra-cultură, cultură liminală (periferică).</w:t>
      </w:r>
      <w:r/>
    </w:p>
    <w:p>
      <w:pPr>
        <w:pStyle w:val="2227"/>
        <w:pBdr/>
        <w:spacing/>
        <w:ind w:firstLine="0"/>
        <w:rPr/>
      </w:pPr>
      <w:r/>
      <w:r/>
    </w:p>
    <w:p>
      <w:pPr>
        <w:pStyle w:val="2227"/>
        <w:pBdr/>
        <w:spacing/>
        <w:ind w:firstLine="0"/>
        <w:rPr/>
      </w:pPr>
      <w:r>
        <w:t xml:space="preserve">R. Niebuhr (Christ and Culture): Creştinismul deasupra culturii, împotriva culturii şi în cultură (transformând cultura)</w:t>
      </w:r>
      <w:r/>
    </w:p>
    <w:p>
      <w:pPr>
        <w:pStyle w:val="2227"/>
        <w:pBdr/>
        <w:spacing/>
        <w:ind w:firstLine="0"/>
        <w:rPr/>
      </w:pPr>
      <w:r/>
      <w:r/>
    </w:p>
    <w:p>
      <w:pPr>
        <w:pStyle w:val="2227"/>
        <w:pBdr/>
        <w:spacing/>
        <w:ind w:firstLine="0"/>
        <w:rPr/>
      </w:pPr>
      <w:r>
        <w:t xml:space="preserve">Creştinismul ca subcultură sau contra-cultură</w:t>
      </w:r>
      <w:r>
        <w:t xml:space="preserve">?</w:t>
      </w:r>
      <w:r>
        <w:t xml:space="preserve"> Caracter interimar, </w:t>
      </w:r>
      <w:r>
        <w:t xml:space="preserve">dar agendă </w:t>
      </w:r>
      <w:r>
        <w:t xml:space="preserve">global</w:t>
      </w:r>
      <w:r>
        <w:t xml:space="preserve">ă, integrală, cu calendar. </w:t>
      </w:r>
      <w:r/>
    </w:p>
    <w:p>
      <w:pPr>
        <w:pStyle w:val="2227"/>
        <w:pBdr/>
        <w:spacing/>
        <w:ind w:firstLine="0"/>
        <w:rPr/>
      </w:pPr>
      <w:r/>
      <w:r/>
    </w:p>
    <w:p>
      <w:pPr>
        <w:pStyle w:val="2227"/>
        <w:pBdr/>
        <w:spacing/>
        <w:ind w:firstLine="0"/>
        <w:rPr/>
      </w:pPr>
      <w:r>
        <w:t xml:space="preserve">Creştinismul în calitate de contra-cultură (iniţial) şi cultură alternativă, de opoziţie, în final.</w:t>
      </w:r>
      <w:r/>
    </w:p>
    <w:p>
      <w:pPr>
        <w:pStyle w:val="2227"/>
        <w:pBdr/>
        <w:spacing/>
        <w:ind w:firstLine="0"/>
        <w:rPr/>
      </w:pPr>
      <w:r/>
      <w:r/>
    </w:p>
    <w:p>
      <w:pPr>
        <w:pStyle w:val="2227"/>
        <w:pBdr/>
        <w:spacing/>
        <w:ind w:firstLine="0"/>
        <w:rPr/>
      </w:pPr>
      <w:r>
        <w:t xml:space="preserve">Conflictul agendelor mutual opuse</w:t>
      </w:r>
      <w:r>
        <w:t xml:space="preserve"> (creştinism şi islam; comunism; postmodernism şi ecumenism).</w:t>
      </w:r>
      <w:r>
        <w:t xml:space="preserve"> Posibilitatea conflictului.</w:t>
      </w:r>
      <w:r/>
    </w:p>
    <w:p>
      <w:pPr>
        <w:pStyle w:val="2227"/>
        <w:pBdr/>
        <w:spacing/>
        <w:ind w:firstLine="0"/>
        <w:rPr/>
      </w:pPr>
      <w:r/>
      <w:r/>
    </w:p>
    <w:p>
      <w:pPr>
        <w:pStyle w:val="2227"/>
        <w:pBdr/>
        <w:spacing/>
        <w:ind w:firstLine="0"/>
        <w:rPr/>
      </w:pPr>
      <w:r>
        <w:t xml:space="preserve">NT şi societatea seculară: problema religiei şi organizarea politică. Gen 5.</w:t>
      </w:r>
      <w:r/>
    </w:p>
    <w:p>
      <w:pPr>
        <w:pStyle w:val="2227"/>
        <w:pBdr/>
        <w:spacing/>
        <w:ind w:firstLine="0"/>
        <w:rPr/>
      </w:pPr>
      <w:r/>
      <w:r/>
    </w:p>
    <w:p>
      <w:pPr>
        <w:pStyle w:val="2230"/>
        <w:pBdr/>
        <w:spacing/>
        <w:ind/>
        <w:rPr>
          <w:lang w:val="ro-RO"/>
        </w:rPr>
      </w:pPr>
      <w:r/>
      <w:bookmarkStart w:id="53" w:name="_Toc252991857"/>
      <w:r>
        <w:rPr>
          <w:lang w:val="ro-RO"/>
        </w:rPr>
        <w:t xml:space="preserve">7</w:t>
      </w:r>
      <w:r>
        <w:rPr>
          <w:lang w:val="ro-RO"/>
        </w:rPr>
        <w:t xml:space="preserve">.2 </w:t>
      </w:r>
      <w:r>
        <w:rPr>
          <w:lang w:val="ro-RO"/>
        </w:rPr>
        <w:t xml:space="preserve">Reflexe culturale sinoptice</w:t>
      </w:r>
      <w:bookmarkEnd w:id="53"/>
      <w:r>
        <w:rPr>
          <w:lang w:val="ro-RO"/>
        </w:rPr>
      </w:r>
      <w:r>
        <w:rPr>
          <w:lang w:val="ro-RO"/>
        </w:rPr>
      </w:r>
    </w:p>
    <w:p>
      <w:pPr>
        <w:pStyle w:val="2231"/>
        <w:pBdr/>
        <w:spacing/>
        <w:ind/>
        <w:rPr>
          <w:lang w:val="ro-RO"/>
        </w:rPr>
      </w:pPr>
      <w:r>
        <w:rPr>
          <w:lang w:val="ro-RO"/>
        </w:rPr>
        <w:t xml:space="preserve">Reflexe culturale mateene şi marcane</w:t>
      </w:r>
      <w:r>
        <w:rPr>
          <w:lang w:val="ro-RO"/>
        </w:rPr>
      </w:r>
    </w:p>
    <w:p>
      <w:pPr>
        <w:pStyle w:val="2227"/>
        <w:pBdr/>
        <w:spacing/>
        <w:ind w:firstLine="0"/>
        <w:rPr/>
      </w:pPr>
      <w:r/>
      <w:r/>
    </w:p>
    <w:p>
      <w:pPr>
        <w:pStyle w:val="2227"/>
        <w:pBdr/>
        <w:spacing/>
        <w:ind w:firstLine="0"/>
        <w:rPr/>
      </w:pPr>
      <w:r>
        <w:t xml:space="preserve">Matei şi </w:t>
      </w:r>
      <w:r>
        <w:t xml:space="preserve">cultura: tradiţia şi legile divine; naţionalism şi mesianism; mesia şi magii; dramatismul cultural al naşterii lui Mesia şi paralele greco-romane (Matei şi Luca)</w:t>
      </w:r>
      <w:r/>
    </w:p>
    <w:p>
      <w:pPr>
        <w:pStyle w:val="2227"/>
        <w:pBdr/>
        <w:spacing/>
        <w:ind w:firstLine="0"/>
        <w:rPr/>
      </w:pPr>
      <w:r/>
      <w:r/>
    </w:p>
    <w:p>
      <w:pPr>
        <w:pStyle w:val="2227"/>
        <w:pBdr/>
        <w:spacing/>
        <w:ind w:firstLine="0"/>
        <w:rPr/>
      </w:pPr>
      <w:r>
        <w:t xml:space="preserve">Marcu şi acţiunea</w:t>
      </w:r>
      <w:r>
        <w:t xml:space="preserve">; politica regilor</w:t>
      </w:r>
      <w:r>
        <w:t xml:space="preserve">: </w:t>
      </w:r>
      <w:r/>
    </w:p>
    <w:p>
      <w:pPr>
        <w:pStyle w:val="2227"/>
        <w:pBdr/>
        <w:spacing/>
        <w:ind w:firstLine="0"/>
        <w:rPr/>
      </w:pPr>
      <w:r/>
      <w:r/>
    </w:p>
    <w:p>
      <w:pPr>
        <w:pStyle w:val="2231"/>
        <w:pBdr/>
        <w:spacing/>
        <w:ind/>
        <w:rPr>
          <w:lang w:val="ro-RO"/>
        </w:rPr>
      </w:pPr>
      <w:r>
        <w:rPr>
          <w:lang w:val="ro-RO"/>
        </w:rPr>
        <w:t xml:space="preserve">Reflexe culturale lucane:</w:t>
      </w:r>
      <w:r>
        <w:rPr>
          <w:lang w:val="ro-RO"/>
        </w:rPr>
      </w:r>
    </w:p>
    <w:p>
      <w:pPr>
        <w:pStyle w:val="2227"/>
        <w:pBdr/>
        <w:spacing/>
        <w:ind w:firstLine="0"/>
        <w:rPr/>
      </w:pPr>
      <w:r/>
      <w:r/>
    </w:p>
    <w:p>
      <w:pPr>
        <w:pStyle w:val="2227"/>
        <w:pBdr/>
        <w:spacing/>
        <w:ind w:firstLine="0"/>
        <w:rPr/>
      </w:pPr>
      <w:r>
        <w:t xml:space="preserve">Călătoriile şi ideologia</w:t>
      </w:r>
      <w:r>
        <w:t xml:space="preserve">: o viziune globală</w:t>
      </w:r>
      <w:r/>
    </w:p>
    <w:p>
      <w:pPr>
        <w:pStyle w:val="2227"/>
        <w:pBdr/>
        <w:spacing/>
        <w:ind w:firstLine="0"/>
        <w:rPr/>
      </w:pPr>
      <w:r/>
      <w:r/>
    </w:p>
    <w:p>
      <w:pPr>
        <w:pStyle w:val="2227"/>
        <w:pBdr/>
        <w:spacing/>
        <w:ind w:firstLine="0"/>
        <w:rPr/>
      </w:pPr>
      <w:r>
        <w:t xml:space="preserve">Problematica omului zeu – şi divinitatea lui Mesia</w:t>
      </w:r>
      <w:r/>
    </w:p>
    <w:p>
      <w:pPr>
        <w:pStyle w:val="2227"/>
        <w:pBdr/>
        <w:spacing/>
        <w:ind w:firstLine="0"/>
        <w:rPr/>
      </w:pPr>
      <w:r/>
      <w:r/>
    </w:p>
    <w:p>
      <w:pPr>
        <w:pStyle w:val="2227"/>
        <w:pBdr/>
        <w:spacing/>
        <w:ind w:firstLine="0"/>
        <w:rPr/>
      </w:pPr>
      <w:r>
        <w:t xml:space="preserve">Masa şi acceptarea străinilor</w:t>
      </w:r>
      <w:r/>
    </w:p>
    <w:p>
      <w:pPr>
        <w:pStyle w:val="2227"/>
        <w:pBdr/>
        <w:spacing/>
        <w:ind w:firstLine="0"/>
        <w:rPr/>
      </w:pPr>
      <w:r/>
      <w:r/>
    </w:p>
    <w:p>
      <w:pPr>
        <w:pStyle w:val="2230"/>
        <w:pBdr/>
        <w:spacing/>
        <w:ind/>
        <w:rPr>
          <w:lang w:val="ro-RO"/>
        </w:rPr>
      </w:pPr>
      <w:r/>
      <w:bookmarkStart w:id="54" w:name="_Toc252991858"/>
      <w:r>
        <w:rPr>
          <w:lang w:val="ro-RO"/>
        </w:rPr>
        <w:t xml:space="preserve">7</w:t>
      </w:r>
      <w:r>
        <w:rPr>
          <w:lang w:val="ro-RO"/>
        </w:rPr>
        <w:t xml:space="preserve">.3 </w:t>
      </w:r>
      <w:r>
        <w:rPr>
          <w:lang w:val="ro-RO"/>
        </w:rPr>
        <w:t xml:space="preserve">Reflexe culturale pauline</w:t>
      </w:r>
      <w:r>
        <w:rPr>
          <w:lang w:val="ro-RO"/>
        </w:rPr>
        <w:t xml:space="preserve">:</w:t>
      </w:r>
      <w:bookmarkEnd w:id="54"/>
      <w:r>
        <w:rPr>
          <w:lang w:val="ro-RO"/>
        </w:rPr>
      </w:r>
      <w:r>
        <w:rPr>
          <w:lang w:val="ro-RO"/>
        </w:rPr>
      </w:r>
    </w:p>
    <w:p>
      <w:pPr>
        <w:pStyle w:val="2227"/>
        <w:pBdr/>
        <w:spacing/>
        <w:ind w:firstLine="0"/>
        <w:rPr/>
      </w:pPr>
      <w:r/>
      <w:r/>
    </w:p>
    <w:p>
      <w:pPr>
        <w:pStyle w:val="2227"/>
        <w:pBdr/>
        <w:spacing/>
        <w:ind w:firstLine="0"/>
        <w:rPr/>
      </w:pPr>
      <w:r>
        <w:t xml:space="preserve">Israel şi Neamurile: Legea sinaitică şi dreptul roman</w:t>
      </w:r>
      <w:r/>
    </w:p>
    <w:p>
      <w:pPr>
        <w:pStyle w:val="2227"/>
        <w:pBdr/>
        <w:spacing/>
        <w:ind w:firstLine="0"/>
        <w:rPr/>
      </w:pPr>
      <w:r/>
      <w:r/>
    </w:p>
    <w:p>
      <w:pPr>
        <w:pStyle w:val="2227"/>
        <w:pBdr/>
        <w:spacing/>
        <w:ind w:firstLine="0"/>
        <w:rPr/>
      </w:pPr>
      <w:r>
        <w:t xml:space="preserve">Femei şi bărbaţi</w:t>
      </w:r>
      <w:r>
        <w:t xml:space="preserve">: Galateni, Efeseni, 1 Cor. 7,</w:t>
      </w:r>
      <w:r/>
    </w:p>
    <w:p>
      <w:pPr>
        <w:pStyle w:val="2227"/>
        <w:pBdr/>
        <w:spacing/>
        <w:ind w:firstLine="0"/>
        <w:rPr/>
      </w:pPr>
      <w:r/>
      <w:r/>
    </w:p>
    <w:p>
      <w:pPr>
        <w:pStyle w:val="2227"/>
        <w:pBdr/>
        <w:spacing/>
        <w:ind w:firstLine="0"/>
        <w:rPr/>
      </w:pPr>
      <w:r>
        <w:t xml:space="preserve">Revelaţie şi a</w:t>
      </w:r>
      <w:r>
        <w:t xml:space="preserve">pocrifele basmelor băbeşti</w:t>
      </w:r>
      <w:r>
        <w:t xml:space="preserve">: 1-2 Tim, Tit,</w:t>
      </w:r>
      <w:r>
        <w:t xml:space="preserve"> (</w:t>
      </w:r>
      <w:r>
        <w:t xml:space="preserve">Iuda</w:t>
      </w:r>
      <w:r>
        <w:t xml:space="preserve">)</w:t>
      </w:r>
      <w:r>
        <w:t xml:space="preserve">.</w:t>
      </w:r>
      <w:r/>
    </w:p>
    <w:p>
      <w:pPr>
        <w:pStyle w:val="2227"/>
        <w:pBdr/>
        <w:spacing/>
        <w:ind w:firstLine="0"/>
        <w:rPr/>
      </w:pPr>
      <w:r/>
      <w:r/>
    </w:p>
    <w:p>
      <w:pPr>
        <w:pStyle w:val="2227"/>
        <w:pBdr/>
        <w:spacing/>
        <w:ind w:firstLine="0"/>
        <w:rPr/>
      </w:pPr>
      <w:r>
        <w:t xml:space="preserve">Erezii şi sincretisme</w:t>
      </w:r>
      <w:r>
        <w:t xml:space="preserve">: Coloseni, Efeseni, etc.</w:t>
      </w:r>
      <w:r/>
    </w:p>
    <w:p>
      <w:pPr>
        <w:pStyle w:val="2227"/>
        <w:pBdr/>
        <w:spacing/>
        <w:ind w:firstLine="0"/>
        <w:rPr/>
      </w:pPr>
      <w:r/>
      <w:r/>
    </w:p>
    <w:p>
      <w:pPr>
        <w:pStyle w:val="2227"/>
        <w:pBdr/>
        <w:spacing/>
        <w:ind w:firstLine="0"/>
        <w:rPr/>
      </w:pPr>
      <w:r>
        <w:t xml:space="preserve">Percepţii culturale greceşti, romane şi cretane</w:t>
      </w:r>
      <w:r>
        <w:t xml:space="preserve">: </w:t>
      </w:r>
      <w:r>
        <w:t xml:space="preserve">poeţi şi filosofi (F.Ap. 17 – Atena; Tit 1 – Creta.</w:t>
      </w:r>
      <w:r/>
    </w:p>
    <w:p>
      <w:pPr>
        <w:pStyle w:val="2227"/>
        <w:pBdr/>
        <w:spacing/>
        <w:ind w:firstLine="0"/>
        <w:rPr/>
      </w:pPr>
      <w:r/>
      <w:r/>
    </w:p>
    <w:p>
      <w:pPr>
        <w:pStyle w:val="2227"/>
        <w:pBdr/>
        <w:spacing/>
        <w:ind w:firstLine="0"/>
        <w:rPr/>
      </w:pPr>
      <w:r>
        <w:t xml:space="preserve">Hristos şi comorile înţelepciunii</w:t>
      </w:r>
      <w:r>
        <w:t xml:space="preserve">, sofia, fronema.</w:t>
      </w:r>
      <w:r/>
    </w:p>
    <w:p>
      <w:pPr>
        <w:pStyle w:val="2227"/>
        <w:pBdr/>
        <w:spacing/>
        <w:ind w:firstLine="0"/>
        <w:rPr/>
      </w:pPr>
      <w:r/>
      <w:r/>
    </w:p>
    <w:p>
      <w:pPr>
        <w:pStyle w:val="2227"/>
        <w:pBdr/>
        <w:spacing/>
        <w:ind w:firstLine="0"/>
        <w:rPr/>
      </w:pPr>
      <w:r>
        <w:t xml:space="preserve">Cultura iubitorilor de bine: kalokagatos (Filipeni)</w:t>
      </w:r>
      <w:r/>
    </w:p>
    <w:p>
      <w:pPr>
        <w:pStyle w:val="2227"/>
        <w:pBdr/>
        <w:spacing/>
        <w:ind w:firstLine="0"/>
        <w:rPr/>
      </w:pPr>
      <w:r/>
      <w:r/>
    </w:p>
    <w:p>
      <w:pPr>
        <w:pStyle w:val="2227"/>
        <w:pBdr/>
        <w:spacing/>
        <w:ind w:firstLine="0"/>
        <w:rPr/>
      </w:pPr>
      <w:r>
        <w:t xml:space="preserve">Paul şi sportul</w:t>
      </w:r>
      <w:r/>
    </w:p>
    <w:p>
      <w:pPr>
        <w:pStyle w:val="2227"/>
        <w:pBdr/>
        <w:spacing/>
        <w:ind w:firstLine="0"/>
        <w:rPr/>
      </w:pPr>
      <w:r/>
      <w:r/>
    </w:p>
    <w:p>
      <w:pPr>
        <w:pStyle w:val="2230"/>
        <w:pBdr/>
        <w:spacing/>
        <w:ind/>
        <w:rPr>
          <w:lang w:val="ro-RO"/>
        </w:rPr>
      </w:pPr>
      <w:r/>
      <w:bookmarkStart w:id="55" w:name="_Toc252991859"/>
      <w:r>
        <w:rPr>
          <w:lang w:val="ro-RO"/>
        </w:rPr>
        <w:t xml:space="preserve">7</w:t>
      </w:r>
      <w:r>
        <w:rPr>
          <w:lang w:val="ro-RO"/>
        </w:rPr>
        <w:t xml:space="preserve">.4 Reflexe culturale din epistolele catolice</w:t>
      </w:r>
      <w:bookmarkEnd w:id="55"/>
      <w:r>
        <w:rPr>
          <w:lang w:val="ro-RO"/>
        </w:rPr>
      </w:r>
      <w:r>
        <w:rPr>
          <w:lang w:val="ro-RO"/>
        </w:rPr>
      </w:r>
    </w:p>
    <w:p>
      <w:pPr>
        <w:pStyle w:val="2227"/>
        <w:pBdr/>
        <w:spacing/>
        <w:ind w:firstLine="0"/>
        <w:rPr/>
      </w:pPr>
      <w:r/>
      <w:r/>
    </w:p>
    <w:p>
      <w:pPr>
        <w:pStyle w:val="2227"/>
        <w:pBdr/>
        <w:spacing/>
        <w:ind w:firstLine="0"/>
        <w:rPr/>
      </w:pPr>
      <w:r>
        <w:t xml:space="preserve">Platonism şi neoplatonism în Evrei.</w:t>
      </w:r>
      <w:r>
        <w:t xml:space="preserve"> Evrei 11 şi discursul Aspasiei din Platon, Menexenos.</w:t>
      </w:r>
      <w:r/>
    </w:p>
    <w:p>
      <w:pPr>
        <w:pStyle w:val="2227"/>
        <w:pBdr/>
        <w:spacing/>
        <w:ind w:firstLine="0"/>
        <w:rPr/>
      </w:pPr>
      <w:r/>
      <w:r/>
    </w:p>
    <w:p>
      <w:pPr>
        <w:pStyle w:val="2229"/>
        <w:pBdr/>
        <w:spacing/>
        <w:ind w:firstLine="0"/>
        <w:rPr/>
      </w:pPr>
      <w:r/>
      <w:bookmarkStart w:id="56" w:name="_Toc252991860"/>
      <w:r>
        <w:t xml:space="preserve">Capitolul 8</w:t>
      </w:r>
      <w:r>
        <w:t xml:space="preserve">. </w:t>
      </w:r>
      <w:r>
        <w:t xml:space="preserve">Împărăţia lui Dumnezeu şi </w:t>
      </w:r>
      <w:r>
        <w:t xml:space="preserve"> NT</w:t>
      </w:r>
      <w:bookmarkEnd w:id="56"/>
      <w:r/>
      <w:r/>
    </w:p>
    <w:p>
      <w:pPr>
        <w:pStyle w:val="2227"/>
        <w:pBdr/>
        <w:spacing/>
        <w:ind w:firstLine="0"/>
        <w:rPr/>
      </w:pPr>
      <w:r>
        <w:t xml:space="preserve">Matei şi statul evreu; Pavel şi imperiul roman; Marcu şi imperiul roman; taxe; autoritate politică; accesul creştin în sferele politicii; legislaţia şi procesele; o teologie creştină a puterii politice; modele mesianice.</w:t>
      </w:r>
      <w:r/>
    </w:p>
    <w:p>
      <w:pPr>
        <w:pStyle w:val="2227"/>
        <w:pBdr/>
        <w:spacing/>
        <w:ind w:firstLine="0"/>
        <w:rPr/>
      </w:pPr>
      <w:r/>
      <w:r/>
    </w:p>
    <w:p>
      <w:pPr>
        <w:pStyle w:val="2227"/>
        <w:pBdr/>
        <w:spacing/>
        <w:ind w:firstLine="0"/>
        <w:rPr/>
      </w:pPr>
      <w:r>
        <w:t xml:space="preserve">Concep</w:t>
      </w:r>
      <w:r>
        <w:t xml:space="preserve">tul are formulări variate: Împărăţia lui Dumnezeu, Împărăţia cerurilor (Matei), Împărăţia lui Israel (concept mesianic naţionalist iudaic), Împărăţia părintelui nostru David şi Împărăţia care vine (patriotism iudaic la Marcu, dar şi o posibilă corectitudin</w:t>
      </w:r>
      <w:r>
        <w:t xml:space="preserve">e</w:t>
      </w:r>
      <w:r>
        <w:t xml:space="preserve"> politică în mijlocul Romei). </w:t>
      </w:r>
      <w:r/>
    </w:p>
    <w:p>
      <w:pPr>
        <w:pStyle w:val="2227"/>
        <w:pBdr/>
        <w:spacing/>
        <w:ind w:firstLine="0"/>
        <w:rPr/>
      </w:pPr>
      <w:r>
        <w:t xml:space="preserve"> </w:t>
      </w:r>
      <w:r/>
    </w:p>
    <w:p>
      <w:pPr>
        <w:pStyle w:val="2230"/>
        <w:pBdr/>
        <w:spacing/>
        <w:ind/>
        <w:rPr>
          <w:lang w:val="ro-RO"/>
        </w:rPr>
      </w:pPr>
      <w:r/>
      <w:bookmarkStart w:id="57" w:name="_Toc252991861"/>
      <w:r>
        <w:rPr>
          <w:lang w:val="ro-RO"/>
        </w:rPr>
        <w:t xml:space="preserve">8</w:t>
      </w:r>
      <w:r>
        <w:rPr>
          <w:lang w:val="ro-RO"/>
        </w:rPr>
        <w:t xml:space="preserve">.1 </w:t>
      </w:r>
      <w:r>
        <w:rPr>
          <w:lang w:val="ro-RO"/>
        </w:rPr>
        <w:t xml:space="preserve">Împărăţia lui Dumnezeu</w:t>
      </w:r>
      <w:r>
        <w:rPr>
          <w:lang w:val="ro-RO"/>
        </w:rPr>
        <w:t xml:space="preserve"> şi evangheliile </w:t>
      </w:r>
      <w:r>
        <w:rPr>
          <w:lang w:val="ro-RO"/>
        </w:rPr>
        <w:t xml:space="preserve">NT</w:t>
      </w:r>
      <w:bookmarkEnd w:id="57"/>
      <w:r>
        <w:rPr>
          <w:lang w:val="ro-RO"/>
        </w:rPr>
      </w:r>
      <w:r>
        <w:rPr>
          <w:lang w:val="ro-RO"/>
        </w:rPr>
      </w:r>
    </w:p>
    <w:p>
      <w:pPr>
        <w:pStyle w:val="2227"/>
        <w:pBdr/>
        <w:spacing/>
        <w:ind w:firstLine="0"/>
        <w:rPr/>
      </w:pPr>
      <w:r/>
      <w:r/>
    </w:p>
    <w:p>
      <w:pPr>
        <w:pStyle w:val="2227"/>
        <w:pBdr/>
        <w:spacing/>
        <w:ind w:firstLine="0"/>
        <w:rPr/>
      </w:pPr>
      <w:r>
        <w:t xml:space="preserve">Evangheliile</w:t>
      </w:r>
      <w:r>
        <w:t xml:space="preserve"> sinoptice cu accent pe ev. După Matei</w:t>
      </w:r>
      <w:r/>
    </w:p>
    <w:p>
      <w:pPr>
        <w:pStyle w:val="2227"/>
        <w:pBdr/>
        <w:spacing/>
        <w:ind w:firstLine="0"/>
        <w:rPr/>
      </w:pPr>
      <w:r>
        <w:t xml:space="preserve">Matei </w:t>
      </w:r>
      <w:r>
        <w:tab/>
      </w:r>
      <w:r>
        <w:t xml:space="preserve">– împărăţia cerurilor.</w:t>
      </w:r>
      <w:r/>
    </w:p>
    <w:p>
      <w:pPr>
        <w:pStyle w:val="2227"/>
        <w:numPr>
          <w:ilvl w:val="0"/>
          <w:numId w:val="1"/>
        </w:numPr>
        <w:pBdr/>
        <w:spacing/>
        <w:ind/>
        <w:rPr/>
      </w:pPr>
      <w:r>
        <w:t xml:space="preserve">Predicarea împărăţiei şi a schimbării minţii (metanoia)</w:t>
      </w:r>
      <w:r/>
    </w:p>
    <w:p>
      <w:pPr>
        <w:pStyle w:val="2227"/>
        <w:numPr>
          <w:ilvl w:val="0"/>
          <w:numId w:val="1"/>
        </w:numPr>
        <w:pBdr/>
        <w:spacing/>
        <w:ind/>
        <w:rPr/>
      </w:pPr>
      <w:r>
        <w:t xml:space="preserve">Is</w:t>
      </w:r>
      <w:r>
        <w:t xml:space="preserve">pitirea lui Isus şi stăpânirea împărăţiilor pământului</w:t>
      </w:r>
      <w:r/>
    </w:p>
    <w:p>
      <w:pPr>
        <w:pStyle w:val="2227"/>
        <w:numPr>
          <w:ilvl w:val="0"/>
          <w:numId w:val="1"/>
        </w:numPr>
        <w:pBdr/>
        <w:spacing/>
        <w:ind/>
        <w:rPr/>
      </w:pPr>
      <w:r>
        <w:t xml:space="preserve">Etica împărăţiei, cap. 5-7</w:t>
      </w:r>
      <w:r/>
    </w:p>
    <w:p>
      <w:pPr>
        <w:pStyle w:val="2227"/>
        <w:numPr>
          <w:ilvl w:val="0"/>
          <w:numId w:val="1"/>
        </w:numPr>
        <w:pBdr/>
        <w:spacing/>
        <w:ind/>
        <w:rPr/>
      </w:pPr>
      <w:r>
        <w:t xml:space="preserve">Parabolele împărăţiei - I, cap. 13</w:t>
      </w:r>
      <w:r/>
    </w:p>
    <w:p>
      <w:pPr>
        <w:pStyle w:val="2227"/>
        <w:numPr>
          <w:ilvl w:val="0"/>
          <w:numId w:val="1"/>
        </w:numPr>
        <w:pBdr/>
        <w:spacing/>
        <w:ind/>
        <w:rPr/>
      </w:pPr>
      <w:r>
        <w:t xml:space="preserve">Parabolele împărăţiei – II, cap. 25</w:t>
      </w:r>
      <w:r/>
    </w:p>
    <w:p>
      <w:pPr>
        <w:pStyle w:val="2227"/>
        <w:numPr>
          <w:ilvl w:val="0"/>
          <w:numId w:val="1"/>
        </w:numPr>
        <w:pBdr/>
        <w:spacing/>
        <w:ind/>
        <w:rPr/>
      </w:pPr>
      <w:r>
        <w:t xml:space="preserve">Condiţii de intrare în împărăţie</w:t>
      </w:r>
      <w:r/>
    </w:p>
    <w:p>
      <w:pPr>
        <w:pStyle w:val="2227"/>
        <w:numPr>
          <w:ilvl w:val="1"/>
          <w:numId w:val="1"/>
        </w:numPr>
        <w:pBdr/>
        <w:spacing/>
        <w:ind/>
        <w:rPr/>
      </w:pPr>
      <w:r>
        <w:t xml:space="preserve">Cine este smerit ca un copil (cap. 18)</w:t>
      </w:r>
      <w:r/>
    </w:p>
    <w:p>
      <w:pPr>
        <w:pStyle w:val="2227"/>
        <w:numPr>
          <w:ilvl w:val="1"/>
          <w:numId w:val="1"/>
        </w:numPr>
        <w:pBdr/>
        <w:spacing/>
        <w:ind/>
        <w:rPr/>
      </w:pPr>
      <w:r>
        <w:t xml:space="preserve">Cine se sileşte sau se străduieşte (</w:t>
      </w:r>
      <w:r>
        <w:t xml:space="preserve">)</w:t>
      </w:r>
      <w:r/>
    </w:p>
    <w:p>
      <w:pPr>
        <w:pStyle w:val="2227"/>
        <w:numPr>
          <w:ilvl w:val="1"/>
          <w:numId w:val="1"/>
        </w:numPr>
        <w:pBdr/>
        <w:spacing/>
        <w:ind/>
        <w:rPr/>
      </w:pPr>
      <w:r>
        <w:t xml:space="preserve">Cine este sărac în Duhul</w:t>
      </w:r>
      <w:r/>
    </w:p>
    <w:p>
      <w:pPr>
        <w:pStyle w:val="2227"/>
        <w:pBdr/>
        <w:spacing/>
        <w:ind w:firstLine="0" w:left="1800"/>
        <w:rPr/>
      </w:pPr>
      <w:r/>
      <w:r/>
    </w:p>
    <w:p>
      <w:pPr>
        <w:pStyle w:val="2227"/>
        <w:numPr>
          <w:ilvl w:val="0"/>
          <w:numId w:val="1"/>
        </w:numPr>
        <w:pBdr/>
        <w:spacing/>
        <w:ind/>
        <w:rPr/>
      </w:pPr>
      <w:r>
        <w:t xml:space="preserve">Petru şi cheile împărăţiei (cap. 16, 18)</w:t>
      </w:r>
      <w:r/>
    </w:p>
    <w:p>
      <w:pPr>
        <w:pStyle w:val="2227"/>
        <w:numPr>
          <w:ilvl w:val="0"/>
          <w:numId w:val="1"/>
        </w:numPr>
        <w:pBdr/>
        <w:spacing/>
        <w:ind/>
        <w:rPr/>
      </w:pPr>
      <w:r>
        <w:t xml:space="preserve">Taxele:</w:t>
      </w:r>
      <w:r>
        <w:t xml:space="preserve"> Isus şi împărăţia la limită (C</w:t>
      </w:r>
      <w:r>
        <w:t xml:space="preserve">ezar)</w:t>
      </w:r>
      <w:r/>
    </w:p>
    <w:p>
      <w:pPr>
        <w:pStyle w:val="2227"/>
        <w:pBdr/>
        <w:spacing/>
        <w:ind w:firstLine="0" w:left="1080"/>
        <w:rPr/>
      </w:pPr>
      <w:r/>
      <w:r/>
    </w:p>
    <w:p>
      <w:pPr>
        <w:pStyle w:val="2227"/>
        <w:pBdr/>
        <w:spacing/>
        <w:ind w:firstLine="0"/>
        <w:rPr/>
      </w:pPr>
      <w:r>
        <w:t xml:space="preserve">Ioan:</w:t>
      </w:r>
      <w:r/>
    </w:p>
    <w:p>
      <w:pPr>
        <w:pStyle w:val="2227"/>
        <w:numPr>
          <w:ilvl w:val="0"/>
          <w:numId w:val="1"/>
        </w:numPr>
        <w:pBdr/>
        <w:spacing/>
        <w:ind/>
        <w:rPr/>
      </w:pPr>
      <w:r>
        <w:t xml:space="preserve">Împărăţia lui Dumnezeu şi Isus</w:t>
      </w:r>
      <w:r/>
    </w:p>
    <w:p>
      <w:pPr>
        <w:pStyle w:val="2227"/>
        <w:numPr>
          <w:ilvl w:val="1"/>
          <w:numId w:val="1"/>
        </w:numPr>
        <w:pBdr/>
        <w:spacing/>
        <w:ind/>
        <w:rPr/>
      </w:pPr>
      <w:r>
        <w:t xml:space="preserve">Natanael şi Isus, împăratul (1.47)</w:t>
      </w:r>
      <w:r/>
    </w:p>
    <w:p>
      <w:pPr>
        <w:pStyle w:val="2227"/>
        <w:numPr>
          <w:ilvl w:val="1"/>
          <w:numId w:val="1"/>
        </w:numPr>
        <w:pBdr/>
        <w:spacing/>
        <w:ind/>
        <w:rPr/>
      </w:pPr>
      <w:r>
        <w:t xml:space="preserve">Isus şi Nicodim şi condiţiile intrării în împărăţie</w:t>
      </w:r>
      <w:r/>
    </w:p>
    <w:p>
      <w:pPr>
        <w:pStyle w:val="2227"/>
        <w:numPr>
          <w:ilvl w:val="2"/>
          <w:numId w:val="1"/>
        </w:numPr>
        <w:pBdr/>
        <w:spacing/>
        <w:ind/>
        <w:rPr/>
      </w:pPr>
      <w:r>
        <w:t xml:space="preserve">Naşterea de sus</w:t>
      </w:r>
      <w:r/>
    </w:p>
    <w:p>
      <w:pPr>
        <w:pStyle w:val="2227"/>
        <w:numPr>
          <w:ilvl w:val="2"/>
          <w:numId w:val="1"/>
        </w:numPr>
        <w:pBdr/>
        <w:spacing/>
        <w:ind/>
        <w:rPr/>
      </w:pPr>
      <w:r>
        <w:t xml:space="preserve">Naşterea din duhul</w:t>
      </w:r>
      <w:r/>
    </w:p>
    <w:p>
      <w:pPr>
        <w:pStyle w:val="2227"/>
        <w:numPr>
          <w:ilvl w:val="2"/>
          <w:numId w:val="1"/>
        </w:numPr>
        <w:pBdr/>
        <w:spacing/>
        <w:ind/>
        <w:rPr/>
      </w:pPr>
      <w:r>
        <w:t xml:space="preserve">Naşterea din apă (botezul)</w:t>
      </w:r>
      <w:r/>
    </w:p>
    <w:p>
      <w:pPr>
        <w:pStyle w:val="2227"/>
        <w:numPr>
          <w:ilvl w:val="0"/>
          <w:numId w:val="1"/>
        </w:numPr>
        <w:pBdr/>
        <w:spacing/>
        <w:ind/>
        <w:rPr/>
      </w:pPr>
      <w:r>
        <w:t xml:space="preserve">Împ</w:t>
      </w:r>
      <w:r>
        <w:t xml:space="preserve">ărăţia şi discuţia lui Isus cu Pilat</w:t>
      </w:r>
      <w:r/>
    </w:p>
    <w:p>
      <w:pPr>
        <w:pStyle w:val="2227"/>
        <w:numPr>
          <w:ilvl w:val="0"/>
          <w:numId w:val="1"/>
        </w:numPr>
        <w:pBdr/>
        <w:spacing/>
        <w:ind/>
        <w:rPr/>
      </w:pPr>
      <w:r>
        <w:t xml:space="preserve">Împărăţia şi condamnarea lui Isus (crucea, discuţiile dintre Pilat şi conducătorii iudei)</w:t>
      </w:r>
      <w:r/>
    </w:p>
    <w:p>
      <w:pPr>
        <w:pStyle w:val="2227"/>
        <w:pBdr/>
        <w:spacing/>
        <w:ind w:firstLine="0" w:left="1080"/>
        <w:rPr/>
      </w:pPr>
      <w:r/>
      <w:r/>
    </w:p>
    <w:p>
      <w:pPr>
        <w:pStyle w:val="2227"/>
        <w:pBdr/>
        <w:spacing/>
        <w:ind w:firstLine="0" w:left="1080"/>
        <w:rPr/>
      </w:pPr>
      <w:r>
        <w:t xml:space="preserve">Apocalipsa:</w:t>
      </w:r>
      <w:r>
        <w:t xml:space="preserve"> </w:t>
      </w:r>
      <w:r/>
    </w:p>
    <w:p>
      <w:pPr>
        <w:pStyle w:val="2227"/>
        <w:numPr>
          <w:ilvl w:val="0"/>
          <w:numId w:val="1"/>
        </w:numPr>
        <w:pBdr/>
        <w:spacing/>
        <w:ind/>
        <w:rPr/>
      </w:pPr>
      <w:r>
        <w:t xml:space="preserve">Împărăţia lui Dumnezeu şi Babilonul</w:t>
      </w:r>
      <w:r>
        <w:t xml:space="preserve"> (cf. </w:t>
      </w:r>
      <w:r>
        <w:t xml:space="preserve">cartea profetului </w:t>
      </w:r>
      <w:r>
        <w:t xml:space="preserve">Daniel).</w:t>
      </w:r>
      <w:r/>
    </w:p>
    <w:p>
      <w:pPr>
        <w:pStyle w:val="2227"/>
        <w:numPr>
          <w:ilvl w:val="0"/>
          <w:numId w:val="1"/>
        </w:numPr>
        <w:pBdr/>
        <w:spacing/>
        <w:ind/>
        <w:rPr/>
      </w:pPr>
      <w:r>
        <w:t xml:space="preserve">Babilonul ca paradigmă a împărăţiei antihristice</w:t>
      </w:r>
      <w:r/>
    </w:p>
    <w:p>
      <w:pPr>
        <w:pStyle w:val="2227"/>
        <w:pBdr/>
        <w:spacing/>
        <w:ind w:firstLine="0" w:left="1080"/>
        <w:rPr/>
      </w:pPr>
      <w:r>
        <w:t xml:space="preserve">(capitala </w:t>
      </w:r>
      <w:r>
        <w:t xml:space="preserve">de </w:t>
      </w:r>
      <w:r>
        <w:t xml:space="preserve">lângă râu, cu templu sau </w:t>
      </w:r>
      <w:r>
        <w:t xml:space="preserve">cu </w:t>
      </w:r>
      <w:r>
        <w:t xml:space="preserve">simbolul puterii în centru; imperiul unificator, bazat pe o cultură unică şi pe performanţe tehnologice).</w:t>
      </w:r>
      <w:r/>
    </w:p>
    <w:p>
      <w:pPr>
        <w:pStyle w:val="2227"/>
        <w:pBdr/>
        <w:spacing/>
        <w:ind w:firstLine="0" w:left="1080"/>
        <w:rPr/>
      </w:pPr>
      <w:r>
        <w:t xml:space="preserve">Babilon şi </w:t>
      </w:r>
      <w:r>
        <w:t xml:space="preserve">Ierusalim, în Apocalipsa</w:t>
      </w:r>
      <w:r/>
    </w:p>
    <w:p>
      <w:pPr>
        <w:pStyle w:val="2227"/>
        <w:numPr>
          <w:ilvl w:val="0"/>
          <w:numId w:val="1"/>
        </w:numPr>
        <w:pBdr/>
        <w:spacing/>
        <w:ind/>
        <w:rPr/>
      </w:pPr>
      <w:r>
        <w:t xml:space="preserve">Împărăţia lui Dumnezeu şi destinul regal al creştinilor: </w:t>
      </w:r>
      <w:r>
        <w:t xml:space="preserve">Apoc. 1.6; 5.10; </w:t>
      </w:r>
      <w:r>
        <w:t xml:space="preserve">20.6;</w:t>
      </w:r>
      <w:r>
        <w:t xml:space="preserve"> </w:t>
      </w:r>
      <w:r>
        <w:t xml:space="preserve">21.24 (?); </w:t>
      </w:r>
      <w:r>
        <w:t xml:space="preserve">22.5.</w:t>
      </w:r>
      <w:r/>
    </w:p>
    <w:p>
      <w:pPr>
        <w:pStyle w:val="2227"/>
        <w:numPr>
          <w:ilvl w:val="0"/>
          <w:numId w:val="1"/>
        </w:numPr>
        <w:pBdr/>
        <w:spacing/>
        <w:ind/>
        <w:rPr/>
      </w:pPr>
      <w:r>
        <w:t xml:space="preserve">Împărăţia lui Dumnezeu şi a lui Hristos, </w:t>
      </w:r>
      <w:r>
        <w:t xml:space="preserve">Apoc. 12.10; </w:t>
      </w:r>
      <w:r>
        <w:t xml:space="preserve">15.3; </w:t>
      </w:r>
      <w:r>
        <w:t xml:space="preserve">19.16; </w:t>
      </w:r>
      <w:r>
        <w:t xml:space="preserve">20.6; </w:t>
      </w:r>
      <w:r>
        <w:t xml:space="preserve">22.5.</w:t>
      </w:r>
      <w:r/>
    </w:p>
    <w:p>
      <w:pPr>
        <w:pStyle w:val="2227"/>
        <w:numPr>
          <w:ilvl w:val="0"/>
          <w:numId w:val="1"/>
        </w:numPr>
        <w:pBdr/>
        <w:spacing/>
        <w:ind/>
        <w:rPr/>
      </w:pPr>
      <w:r>
        <w:t xml:space="preserve">Cf. împărăţia fiarei, 16.2; </w:t>
      </w:r>
      <w:r>
        <w:t xml:space="preserve">16.4; 17.2; </w:t>
      </w:r>
      <w:r>
        <w:t xml:space="preserve">17.9; </w:t>
      </w:r>
      <w:r>
        <w:t xml:space="preserve">17.12-18 (prostituata cea mare).</w:t>
      </w:r>
      <w:r/>
    </w:p>
    <w:p>
      <w:pPr>
        <w:pStyle w:val="2227"/>
        <w:pBdr/>
        <w:spacing/>
        <w:ind w:firstLine="0" w:left="1080"/>
        <w:rPr/>
      </w:pPr>
      <w:r/>
      <w:r/>
    </w:p>
    <w:p>
      <w:pPr>
        <w:pStyle w:val="2227"/>
        <w:pBdr/>
        <w:spacing/>
        <w:ind w:firstLine="0" w:left="1080"/>
        <w:rPr/>
      </w:pPr>
      <w:r/>
      <w:r/>
    </w:p>
    <w:p>
      <w:pPr>
        <w:pStyle w:val="2230"/>
        <w:pBdr/>
        <w:spacing/>
        <w:ind/>
        <w:rPr>
          <w:lang w:val="ro-RO"/>
        </w:rPr>
      </w:pPr>
      <w:r/>
      <w:bookmarkStart w:id="58" w:name="_Toc252991862"/>
      <w:r>
        <w:rPr>
          <w:lang w:val="ro-RO"/>
        </w:rPr>
        <w:t xml:space="preserve">8</w:t>
      </w:r>
      <w:r>
        <w:rPr>
          <w:lang w:val="ro-RO"/>
        </w:rPr>
        <w:t xml:space="preserve">.2 Împărăţia lui Dumnezeu şi epistolele NT</w:t>
      </w:r>
      <w:bookmarkEnd w:id="58"/>
      <w:r>
        <w:rPr>
          <w:lang w:val="ro-RO"/>
        </w:rPr>
      </w:r>
      <w:r>
        <w:rPr>
          <w:lang w:val="ro-RO"/>
        </w:rPr>
      </w:r>
    </w:p>
    <w:p>
      <w:pPr>
        <w:pStyle w:val="2227"/>
        <w:pBdr/>
        <w:spacing/>
        <w:ind w:firstLine="0" w:left="1080"/>
        <w:rPr/>
      </w:pPr>
      <w:r/>
      <w:r/>
    </w:p>
    <w:p>
      <w:pPr>
        <w:pStyle w:val="2227"/>
        <w:pBdr/>
        <w:spacing/>
        <w:ind w:firstLine="0"/>
        <w:rPr/>
      </w:pPr>
      <w:r>
        <w:t xml:space="preserve">Pavel: </w:t>
      </w:r>
      <w:r/>
    </w:p>
    <w:p>
      <w:pPr>
        <w:pStyle w:val="2227"/>
        <w:numPr>
          <w:ilvl w:val="0"/>
          <w:numId w:val="1"/>
        </w:numPr>
        <w:pBdr/>
        <w:spacing/>
        <w:ind/>
        <w:rPr/>
      </w:pPr>
      <w:r>
        <w:t xml:space="preserve">Împărăţia lui Dumnezeu şi Isus</w:t>
      </w:r>
      <w:r/>
    </w:p>
    <w:p>
      <w:pPr>
        <w:pStyle w:val="2227"/>
        <w:numPr>
          <w:ilvl w:val="0"/>
          <w:numId w:val="1"/>
        </w:numPr>
        <w:pBdr/>
        <w:spacing/>
        <w:ind/>
        <w:rPr/>
      </w:pPr>
      <w:r>
        <w:t xml:space="preserve">Împărăţia lui Dumnezeu şi imperiile</w:t>
      </w:r>
      <w:r/>
    </w:p>
    <w:p>
      <w:pPr>
        <w:pStyle w:val="2227"/>
        <w:numPr>
          <w:ilvl w:val="0"/>
          <w:numId w:val="1"/>
        </w:numPr>
        <w:pBdr/>
        <w:spacing/>
        <w:ind/>
        <w:rPr/>
      </w:pPr>
      <w:r>
        <w:t xml:space="preserve">Împărăţia lui Dumnezeu şi neamurile</w:t>
      </w:r>
      <w:r/>
    </w:p>
    <w:p>
      <w:pPr>
        <w:pStyle w:val="2227"/>
        <w:numPr>
          <w:ilvl w:val="0"/>
          <w:numId w:val="1"/>
        </w:numPr>
        <w:pBdr/>
        <w:spacing/>
        <w:ind/>
        <w:rPr/>
      </w:pPr>
      <w:r>
        <w:t xml:space="preserve">Neam ales, </w:t>
      </w:r>
      <w:r>
        <w:t xml:space="preserve">casa împăratului</w:t>
      </w:r>
      <w:r/>
    </w:p>
    <w:p>
      <w:pPr>
        <w:pStyle w:val="2227"/>
        <w:numPr>
          <w:ilvl w:val="0"/>
          <w:numId w:val="1"/>
        </w:numPr>
        <w:pBdr/>
        <w:spacing/>
        <w:ind/>
        <w:rPr/>
      </w:pPr>
      <w:r>
        <w:t xml:space="preserve">stăpânire, autoritate</w:t>
      </w:r>
      <w:r>
        <w:t xml:space="preserve">, raportare la stăpânire</w:t>
      </w:r>
      <w:r/>
    </w:p>
    <w:p>
      <w:pPr>
        <w:pStyle w:val="2227"/>
        <w:numPr>
          <w:ilvl w:val="0"/>
          <w:numId w:val="1"/>
        </w:numPr>
        <w:pBdr/>
        <w:spacing/>
        <w:ind/>
        <w:rPr/>
      </w:pPr>
      <w:r>
        <w:t xml:space="preserve">Oamenii vor </w:t>
      </w:r>
      <w:r>
        <w:t xml:space="preserve">judeca îngerii</w:t>
      </w:r>
      <w:r/>
    </w:p>
    <w:p>
      <w:pPr>
        <w:pStyle w:val="2227"/>
        <w:numPr>
          <w:ilvl w:val="0"/>
          <w:numId w:val="1"/>
        </w:numPr>
        <w:pBdr/>
        <w:spacing/>
        <w:ind/>
        <w:rPr/>
      </w:pPr>
      <w:r>
        <w:t xml:space="preserve">Se moşteneşte împărăţia</w:t>
      </w:r>
      <w:r/>
    </w:p>
    <w:p>
      <w:pPr>
        <w:pStyle w:val="2227"/>
        <w:pBdr/>
        <w:spacing/>
        <w:ind/>
        <w:rPr/>
      </w:pPr>
      <w:r/>
      <w:r/>
    </w:p>
    <w:p>
      <w:pPr>
        <w:pStyle w:val="2227"/>
        <w:pBdr/>
        <w:spacing/>
        <w:ind/>
        <w:rPr/>
      </w:pPr>
      <w:r>
        <w:t xml:space="preserve">Romani 5:17,</w:t>
      </w:r>
      <w:r>
        <w:t xml:space="preserve">creştinii domnesc împreună cu Hristos</w:t>
      </w:r>
      <w:r>
        <w:t xml:space="preserve"> </w:t>
      </w:r>
      <w:r/>
    </w:p>
    <w:p>
      <w:pPr>
        <w:pStyle w:val="2227"/>
        <w:pBdr/>
        <w:spacing/>
        <w:ind/>
        <w:rPr/>
      </w:pPr>
      <w:r>
        <w:t xml:space="preserve">Romani 5:21</w:t>
      </w:r>
      <w:r>
        <w:t xml:space="preserve">, </w:t>
      </w:r>
      <w:r>
        <w:t xml:space="preserve">domnia harului, prin Hristos</w:t>
      </w:r>
      <w:r/>
    </w:p>
    <w:p>
      <w:pPr>
        <w:pStyle w:val="2227"/>
        <w:pBdr/>
        <w:spacing/>
        <w:ind/>
        <w:rPr/>
      </w:pPr>
      <w:r>
        <w:t xml:space="preserve">Romani 14:17</w:t>
      </w:r>
      <w:r>
        <w:t xml:space="preserve">, împărăţia spirituală a lui Dumnezeu (</w:t>
      </w:r>
      <w:r>
        <w:t xml:space="preserve">dreptate, pace, bucurie în Duhul Sfânt).</w:t>
      </w:r>
      <w:r/>
    </w:p>
    <w:p>
      <w:pPr>
        <w:pStyle w:val="2227"/>
        <w:pBdr/>
        <w:spacing/>
        <w:ind/>
        <w:rPr/>
      </w:pPr>
      <w:r>
        <w:t xml:space="preserve">1 Corinthians 4:20</w:t>
      </w:r>
      <w:r>
        <w:t xml:space="preserve">;</w:t>
      </w:r>
      <w:r>
        <w:t xml:space="preserve"> </w:t>
      </w:r>
      <w:r>
        <w:t xml:space="preserve">15.24-25, </w:t>
      </w:r>
      <w:r>
        <w:t xml:space="preserve">împărăţia lui Dumnezeu şi puterea Lui</w:t>
      </w:r>
      <w:r>
        <w:t xml:space="preserve">, </w:t>
      </w:r>
      <w:r/>
    </w:p>
    <w:p>
      <w:pPr>
        <w:pStyle w:val="2227"/>
        <w:pBdr/>
        <w:spacing/>
        <w:ind/>
        <w:rPr/>
      </w:pPr>
      <w:r>
        <w:t xml:space="preserve">1 Corinthians 6:9</w:t>
      </w:r>
      <w:r>
        <w:t xml:space="preserve">-10</w:t>
      </w:r>
      <w:r>
        <w:t xml:space="preserve">, moştenitorii împărăţiei (etică)</w:t>
      </w:r>
      <w:r/>
    </w:p>
    <w:p>
      <w:pPr>
        <w:pStyle w:val="2227"/>
        <w:pBdr/>
        <w:spacing/>
        <w:ind/>
        <w:rPr/>
      </w:pPr>
      <w:r>
        <w:t xml:space="preserve">1 Corinthians 15.</w:t>
      </w:r>
      <w:r>
        <w:t xml:space="preserve">50</w:t>
      </w:r>
      <w:r>
        <w:t xml:space="preserve">, împărăţia şi învierea</w:t>
      </w:r>
      <w:r/>
    </w:p>
    <w:p>
      <w:pPr>
        <w:pStyle w:val="2227"/>
        <w:pBdr/>
        <w:spacing/>
        <w:ind/>
        <w:rPr/>
      </w:pPr>
      <w:r>
        <w:t xml:space="preserve">Galat</w:t>
      </w:r>
      <w:r>
        <w:t xml:space="preserve">eni</w:t>
      </w:r>
      <w:r>
        <w:t xml:space="preserve"> 5.</w:t>
      </w:r>
      <w:r>
        <w:t xml:space="preserve">21</w:t>
      </w:r>
      <w:r>
        <w:t xml:space="preserve">, </w:t>
      </w:r>
      <w:r>
        <w:t xml:space="preserve">condiţiile </w:t>
      </w:r>
      <w:r>
        <w:t xml:space="preserve">moştenir</w:t>
      </w:r>
      <w:r>
        <w:t xml:space="preserve">ii</w:t>
      </w:r>
      <w:r>
        <w:t xml:space="preserve"> împărăţiei</w:t>
      </w:r>
      <w:r/>
    </w:p>
    <w:p>
      <w:pPr>
        <w:pStyle w:val="2227"/>
        <w:pBdr/>
        <w:spacing/>
        <w:ind/>
        <w:rPr/>
      </w:pPr>
      <w:r>
        <w:t xml:space="preserve">Colos</w:t>
      </w:r>
      <w:r>
        <w:t xml:space="preserve">eni </w:t>
      </w:r>
      <w:r>
        <w:t xml:space="preserve">1.</w:t>
      </w:r>
      <w:r>
        <w:t xml:space="preserve">13</w:t>
      </w:r>
      <w:r>
        <w:t xml:space="preserve">, strămutarea în î</w:t>
      </w:r>
      <w:r>
        <w:t xml:space="preserve">mpărăţia lui Dumnezeu</w:t>
      </w:r>
      <w:r/>
    </w:p>
    <w:p>
      <w:pPr>
        <w:pStyle w:val="2227"/>
        <w:pBdr/>
        <w:spacing/>
        <w:ind/>
        <w:rPr/>
      </w:pPr>
      <w:r>
        <w:t xml:space="preserve">Coloseni</w:t>
      </w:r>
      <w:r>
        <w:t xml:space="preserve"> 4.</w:t>
      </w:r>
      <w:r>
        <w:t xml:space="preserve">11</w:t>
      </w:r>
      <w:r>
        <w:t xml:space="preserve">, împărăţia lui Dumnezeu şi evanghelia</w:t>
      </w:r>
      <w:r/>
    </w:p>
    <w:p>
      <w:pPr>
        <w:pStyle w:val="2227"/>
        <w:pBdr/>
        <w:spacing/>
        <w:ind/>
        <w:rPr/>
      </w:pPr>
      <w:r>
        <w:t xml:space="preserve">E</w:t>
      </w:r>
      <w:r>
        <w:t xml:space="preserve">feseni</w:t>
      </w:r>
      <w:r>
        <w:t xml:space="preserve"> 5.</w:t>
      </w:r>
      <w:r>
        <w:t xml:space="preserve">5</w:t>
      </w:r>
      <w:r>
        <w:t xml:space="preserve">, moştenirea împărăţiei lui Dumnezeu</w:t>
      </w:r>
      <w:r/>
    </w:p>
    <w:p>
      <w:pPr>
        <w:pStyle w:val="2227"/>
        <w:pBdr/>
        <w:spacing/>
        <w:ind/>
        <w:rPr/>
      </w:pPr>
      <w:r>
        <w:t xml:space="preserve">1 T</w:t>
      </w:r>
      <w:r>
        <w:t xml:space="preserve">esaloniceni</w:t>
      </w:r>
      <w:r>
        <w:t xml:space="preserve"> 2.</w:t>
      </w:r>
      <w:r>
        <w:t xml:space="preserve">12</w:t>
      </w:r>
      <w:r>
        <w:t xml:space="preserve">, purtare etică, demnă de împ.</w:t>
      </w:r>
      <w:r/>
    </w:p>
    <w:p>
      <w:pPr>
        <w:pStyle w:val="2227"/>
        <w:pBdr/>
        <w:spacing/>
        <w:ind/>
        <w:rPr/>
      </w:pPr>
      <w:r>
        <w:t xml:space="preserve">2 T</w:t>
      </w:r>
      <w:r>
        <w:t xml:space="preserve">esaloniceni</w:t>
      </w:r>
      <w:r>
        <w:t xml:space="preserve"> 1.</w:t>
      </w:r>
      <w:r>
        <w:t xml:space="preserve">5</w:t>
      </w:r>
      <w:r>
        <w:t xml:space="preserve">, </w:t>
      </w:r>
      <w:r>
        <w:t xml:space="preserve">etică în persecuţie</w:t>
      </w:r>
      <w:r/>
    </w:p>
    <w:p>
      <w:pPr>
        <w:pStyle w:val="2227"/>
        <w:pBdr/>
        <w:spacing/>
        <w:ind/>
        <w:rPr/>
      </w:pPr>
      <w:r>
        <w:t xml:space="preserve">1 Timot</w:t>
      </w:r>
      <w:r>
        <w:t xml:space="preserve">ei </w:t>
      </w:r>
      <w:r>
        <w:t xml:space="preserve">1.</w:t>
      </w:r>
      <w:r>
        <w:t xml:space="preserve">17</w:t>
      </w:r>
      <w:r>
        <w:t xml:space="preserve">, </w:t>
      </w:r>
      <w:r>
        <w:t xml:space="preserve">6.</w:t>
      </w:r>
      <w:r>
        <w:t xml:space="preserve">17, </w:t>
      </w:r>
      <w:r>
        <w:t xml:space="preserve">împărăţie eternă</w:t>
      </w:r>
      <w:r/>
    </w:p>
    <w:p>
      <w:pPr>
        <w:pStyle w:val="2227"/>
        <w:pBdr/>
        <w:spacing/>
        <w:ind/>
        <w:rPr/>
      </w:pPr>
      <w:r>
        <w:t xml:space="preserve">1 Timo</w:t>
      </w:r>
      <w:r>
        <w:t xml:space="preserve">tei</w:t>
      </w:r>
      <w:r>
        <w:t xml:space="preserve"> 2.</w:t>
      </w:r>
      <w:r>
        <w:t xml:space="preserve">2</w:t>
      </w:r>
      <w:r>
        <w:t xml:space="preserve">, </w:t>
      </w:r>
      <w:r>
        <w:t xml:space="preserve">rugăciuni pentru împăraţi şi oficiali (!)</w:t>
      </w:r>
      <w:r/>
    </w:p>
    <w:p>
      <w:pPr>
        <w:pStyle w:val="2227"/>
        <w:pBdr/>
        <w:spacing/>
        <w:ind/>
        <w:rPr/>
      </w:pPr>
      <w:r>
        <w:t xml:space="preserve">2 Timo</w:t>
      </w:r>
      <w:r>
        <w:t xml:space="preserve">tei 2.11-13; 4.</w:t>
      </w:r>
      <w:r>
        <w:t xml:space="preserve">1</w:t>
      </w:r>
      <w:r>
        <w:t xml:space="preserve">, 4.18</w:t>
      </w:r>
      <w:r/>
    </w:p>
    <w:p>
      <w:pPr>
        <w:pStyle w:val="2227"/>
        <w:pBdr/>
        <w:spacing/>
        <w:ind w:firstLine="0"/>
        <w:rPr/>
      </w:pPr>
      <w:r/>
      <w:r/>
    </w:p>
    <w:p>
      <w:pPr>
        <w:pStyle w:val="2227"/>
        <w:pBdr/>
        <w:spacing/>
        <w:ind w:firstLine="0"/>
        <w:rPr/>
      </w:pPr>
      <w:r>
        <w:t xml:space="preserve">Ceilalţi</w:t>
      </w:r>
      <w:r>
        <w:t xml:space="preserve"> autori:</w:t>
      </w:r>
      <w:r/>
    </w:p>
    <w:p>
      <w:pPr>
        <w:pStyle w:val="2227"/>
        <w:pBdr/>
        <w:spacing/>
        <w:ind w:firstLine="0"/>
        <w:rPr/>
      </w:pPr>
      <w:r>
        <w:t xml:space="preserve">Evrei, </w:t>
      </w:r>
      <w:r/>
    </w:p>
    <w:p>
      <w:pPr>
        <w:pStyle w:val="2227"/>
        <w:pBdr/>
        <w:spacing/>
        <w:ind w:firstLine="0"/>
        <w:rPr/>
      </w:pPr>
      <w:r/>
      <w:r/>
    </w:p>
    <w:p>
      <w:pPr>
        <w:pStyle w:val="2227"/>
        <w:pBdr/>
        <w:spacing/>
        <w:ind w:firstLine="0"/>
        <w:rPr/>
      </w:pPr>
      <w:r>
        <w:t xml:space="preserve">Petru</w:t>
      </w:r>
      <w:r>
        <w:t xml:space="preserve">, </w:t>
      </w:r>
      <w:r/>
    </w:p>
    <w:p>
      <w:pPr>
        <w:pStyle w:val="2227"/>
        <w:pBdr/>
        <w:spacing/>
        <w:ind w:firstLine="0"/>
        <w:rPr/>
      </w:pPr>
      <w:r>
        <w:t xml:space="preserve">cf. 1 Petru 2.9-10, creştinii sunt un popor pentru fapte bune,</w:t>
      </w:r>
      <w:r/>
    </w:p>
    <w:p>
      <w:pPr>
        <w:pStyle w:val="2227"/>
        <w:pBdr/>
        <w:spacing/>
        <w:ind w:firstLine="0"/>
        <w:rPr/>
      </w:pPr>
      <w:r>
        <w:t xml:space="preserve">o preoţie sfântă, un neam împărătesc</w:t>
      </w:r>
      <w:r/>
    </w:p>
    <w:p>
      <w:pPr>
        <w:pStyle w:val="2227"/>
        <w:pBdr/>
        <w:spacing/>
        <w:ind w:firstLine="0"/>
        <w:rPr/>
      </w:pPr>
      <w:r/>
      <w:r/>
    </w:p>
    <w:p>
      <w:pPr>
        <w:pStyle w:val="2227"/>
        <w:pBdr/>
        <w:spacing/>
        <w:ind w:firstLine="0"/>
        <w:rPr/>
      </w:pPr>
      <w:r>
        <w:t xml:space="preserve">Iacov</w:t>
      </w:r>
      <w:r>
        <w:t xml:space="preserve">:</w:t>
      </w:r>
      <w:r/>
    </w:p>
    <w:p>
      <w:pPr>
        <w:pStyle w:val="2227"/>
        <w:pBdr/>
        <w:spacing/>
        <w:ind w:firstLine="0"/>
        <w:rPr/>
      </w:pPr>
      <w:r/>
      <w:r/>
    </w:p>
    <w:p>
      <w:pPr>
        <w:pStyle w:val="2227"/>
        <w:pBdr/>
        <w:spacing/>
        <w:ind w:firstLine="0"/>
        <w:rPr/>
      </w:pPr>
      <w:r>
        <w:t xml:space="preserve">Definiţia şi limitele împărăţiei lui Dumnezeu</w:t>
      </w:r>
      <w:r/>
    </w:p>
    <w:p>
      <w:pPr>
        <w:pStyle w:val="2227"/>
        <w:pBdr/>
        <w:spacing/>
        <w:ind w:firstLine="0"/>
        <w:rPr/>
      </w:pPr>
      <w:r>
        <w:tab/>
        <w:t xml:space="preserve">Terestre, umane, cosmice, trans-umane?</w:t>
      </w:r>
      <w:r/>
    </w:p>
    <w:p>
      <w:pPr>
        <w:pStyle w:val="2227"/>
        <w:pBdr/>
        <w:spacing/>
        <w:ind w:firstLine="720"/>
        <w:rPr/>
      </w:pPr>
      <w:r>
        <w:t xml:space="preserve">Cine </w:t>
      </w:r>
      <w:r>
        <w:t xml:space="preserve">face parte din</w:t>
      </w:r>
      <w:r>
        <w:t xml:space="preserve"> împărăţia lui Dumnezeu?</w:t>
      </w:r>
      <w:r/>
    </w:p>
    <w:p>
      <w:pPr>
        <w:pStyle w:val="2227"/>
        <w:pBdr/>
        <w:spacing/>
        <w:ind w:firstLine="720"/>
        <w:rPr/>
      </w:pPr>
      <w:r>
        <w:t xml:space="preserve">Biserica şi împărăţia lui Dumnezeu</w:t>
      </w:r>
      <w:r/>
    </w:p>
    <w:p>
      <w:pPr>
        <w:pStyle w:val="2227"/>
        <w:pBdr/>
        <w:spacing/>
        <w:ind w:firstLine="720"/>
        <w:rPr/>
      </w:pPr>
      <w:r/>
      <w:r/>
    </w:p>
    <w:p>
      <w:pPr>
        <w:pStyle w:val="2227"/>
        <w:pBdr/>
        <w:spacing/>
        <w:ind w:firstLine="0"/>
        <w:rPr/>
      </w:pPr>
      <w:r/>
      <w:r/>
    </w:p>
    <w:p>
      <w:pPr>
        <w:pStyle w:val="2229"/>
        <w:pBdr/>
        <w:spacing/>
        <w:ind w:firstLine="0"/>
        <w:rPr/>
      </w:pPr>
      <w:r/>
      <w:bookmarkStart w:id="59" w:name="_Toc252991863"/>
      <w:r>
        <w:t xml:space="preserve">Capitolul 9</w:t>
      </w:r>
      <w:r>
        <w:t xml:space="preserve">. Noul Testament şi politica religioasă</w:t>
      </w:r>
      <w:bookmarkEnd w:id="59"/>
      <w:r/>
      <w:r/>
    </w:p>
    <w:p>
      <w:pPr>
        <w:pStyle w:val="2227"/>
        <w:pBdr/>
        <w:spacing/>
        <w:ind w:firstLine="0"/>
        <w:rPr/>
      </w:pPr>
      <w:r/>
      <w:r/>
    </w:p>
    <w:p>
      <w:pPr>
        <w:pStyle w:val="2227"/>
        <w:pBdr/>
        <w:spacing/>
        <w:ind w:firstLine="0"/>
        <w:rPr/>
      </w:pPr>
      <w:r>
        <w:t xml:space="preserve">Există </w:t>
      </w:r>
      <w:r>
        <w:t xml:space="preserve">în NT evidenţele unei politici religioase a creştinismului primar. Această politică nu este foarte detaliată, ci mai degra</w:t>
      </w:r>
      <w:r>
        <w:t xml:space="preserve">bă prezentă sub formă de principii, în unele texte teologice. Trebuie recunoscut că printre acestea apar câteva valori distincte, cum ar fi universalitatea creştinismului, soluţiile pluraliste, şi bineînţeles perspectivele specifice, singulare (unicitatea </w:t>
      </w:r>
      <w:r>
        <w:t xml:space="preserve">sau radicalismul creştinismului, </w:t>
      </w:r>
      <w:r>
        <w:t xml:space="preserve">salv</w:t>
      </w:r>
      <w:r>
        <w:t xml:space="preserve">area unică </w:t>
      </w:r>
      <w:r>
        <w:t xml:space="preserve">prin Hristos).</w:t>
      </w:r>
      <w:r/>
    </w:p>
    <w:p>
      <w:pPr>
        <w:pStyle w:val="2227"/>
        <w:pBdr/>
        <w:spacing/>
        <w:ind w:firstLine="0"/>
        <w:rPr/>
      </w:pPr>
      <w:r/>
      <w:r/>
    </w:p>
    <w:p>
      <w:pPr>
        <w:pStyle w:val="2227"/>
        <w:pBdr/>
        <w:spacing/>
        <w:ind w:firstLine="0"/>
        <w:rPr/>
      </w:pPr>
      <w:r>
        <w:t xml:space="preserve">Biserica în Imperiul Roman</w:t>
      </w:r>
      <w:r>
        <w:t xml:space="preserve"> apare să aibă două direcţii de dezvoltare</w:t>
      </w:r>
      <w:r>
        <w:t xml:space="preserve">: supravieţuire </w:t>
      </w:r>
      <w:r>
        <w:t xml:space="preserve">– ca religie, </w:t>
      </w:r>
      <w:r>
        <w:t xml:space="preserve">şi concurenţă</w:t>
      </w:r>
      <w:r>
        <w:t xml:space="preserve"> – ca ideologie</w:t>
      </w:r>
      <w:r>
        <w:t xml:space="preserve">: paradigmele împărăţiei.</w:t>
      </w:r>
      <w:r/>
    </w:p>
    <w:p>
      <w:pPr>
        <w:pStyle w:val="2227"/>
        <w:pBdr/>
        <w:spacing/>
        <w:ind w:firstLine="0"/>
        <w:rPr/>
      </w:pPr>
      <w:r/>
      <w:r/>
    </w:p>
    <w:p>
      <w:pPr>
        <w:pStyle w:val="2230"/>
        <w:pBdr/>
        <w:spacing/>
        <w:ind/>
        <w:rPr>
          <w:lang w:val="ro-RO"/>
        </w:rPr>
      </w:pPr>
      <w:r/>
      <w:bookmarkStart w:id="60" w:name="_Toc252991864"/>
      <w:r>
        <w:rPr>
          <w:lang w:val="ro-RO"/>
        </w:rPr>
        <w:t xml:space="preserve">9</w:t>
      </w:r>
      <w:r>
        <w:rPr>
          <w:lang w:val="ro-RO"/>
        </w:rPr>
        <w:t xml:space="preserve">.1 </w:t>
      </w:r>
      <w:r>
        <w:rPr>
          <w:lang w:val="ro-RO"/>
        </w:rPr>
        <w:t xml:space="preserve">Universalitatea creştinismului</w:t>
      </w:r>
      <w:bookmarkEnd w:id="60"/>
      <w:r>
        <w:rPr>
          <w:lang w:val="ro-RO"/>
        </w:rPr>
      </w:r>
      <w:r>
        <w:rPr>
          <w:lang w:val="ro-RO"/>
        </w:rPr>
      </w:r>
    </w:p>
    <w:p>
      <w:pPr>
        <w:pStyle w:val="2231"/>
        <w:pBdr/>
        <w:spacing/>
        <w:ind/>
        <w:rPr>
          <w:lang w:val="ro-RO"/>
        </w:rPr>
      </w:pPr>
      <w:r>
        <w:rPr>
          <w:lang w:val="ro-RO"/>
        </w:rPr>
        <w:t xml:space="preserve">9</w:t>
      </w:r>
      <w:r>
        <w:rPr>
          <w:lang w:val="ro-RO"/>
        </w:rPr>
        <w:t xml:space="preserve">.1.1 Universalitate şi imperiu</w:t>
      </w:r>
      <w:r>
        <w:rPr>
          <w:lang w:val="ro-RO"/>
        </w:rPr>
      </w:r>
    </w:p>
    <w:p>
      <w:pPr>
        <w:pStyle w:val="2227"/>
        <w:numPr>
          <w:ilvl w:val="0"/>
          <w:numId w:val="2"/>
        </w:numPr>
        <w:pBdr/>
        <w:spacing/>
        <w:ind/>
        <w:rPr/>
      </w:pPr>
      <w:r>
        <w:t xml:space="preserve">Mularea pe deschiderea universală a iudaismului mesianic</w:t>
      </w:r>
      <w:r/>
    </w:p>
    <w:p>
      <w:pPr>
        <w:pStyle w:val="2227"/>
        <w:pBdr/>
        <w:spacing/>
        <w:ind w:firstLine="0" w:left="1080"/>
        <w:rPr/>
      </w:pPr>
      <w:r>
        <w:t xml:space="preserve">Ideea profeţilor din VT era că şi păgânii vor putea fi mântuiţi şi vor participa la Împărăţia mesianică. Totuşi, iudeii puneau accent pe faptul că păgânii trebuia să devină iudei.</w:t>
      </w:r>
      <w:r/>
    </w:p>
    <w:p>
      <w:pPr>
        <w:pStyle w:val="2227"/>
        <w:numPr>
          <w:ilvl w:val="0"/>
          <w:numId w:val="2"/>
        </w:numPr>
        <w:pBdr/>
        <w:spacing/>
        <w:ind/>
        <w:rPr/>
      </w:pPr>
      <w:r>
        <w:t xml:space="preserve">Mularea pe deschiderea universală a imperiului roman</w:t>
      </w:r>
      <w:r/>
    </w:p>
    <w:p>
      <w:pPr>
        <w:pStyle w:val="2227"/>
        <w:numPr>
          <w:ilvl w:val="1"/>
          <w:numId w:val="2"/>
        </w:numPr>
        <w:pBdr/>
        <w:spacing/>
        <w:ind/>
        <w:rPr/>
      </w:pPr>
      <w:r>
        <w:t xml:space="preserve">M</w:t>
      </w:r>
      <w:r>
        <w:t xml:space="preserve">u</w:t>
      </w:r>
      <w:r>
        <w:t xml:space="preserve">lare politică</w:t>
      </w:r>
      <w:r/>
    </w:p>
    <w:p>
      <w:pPr>
        <w:pStyle w:val="2227"/>
        <w:pBdr/>
        <w:spacing/>
        <w:ind w:firstLine="0" w:left="1800"/>
        <w:rPr/>
      </w:pPr>
      <w:r>
        <w:t xml:space="preserve">Imperiul roman este vorbit de bine, în general, în NT. În mod special militarii romani sunt martori importanţi ai învierii şi garanţi ai dreptăţii.</w:t>
      </w:r>
      <w:r/>
    </w:p>
    <w:p>
      <w:pPr>
        <w:pStyle w:val="2227"/>
        <w:pBdr/>
        <w:spacing/>
        <w:ind w:firstLine="0" w:left="1800"/>
        <w:rPr/>
      </w:pPr>
      <w:r>
        <w:t xml:space="preserve">Pavel face apel la Cezar, ca la judecător suprem şi drept, şi </w:t>
      </w:r>
      <w:r>
        <w:t xml:space="preserve">interacţionează cu cultura timpului.</w:t>
      </w:r>
      <w:r/>
    </w:p>
    <w:p>
      <w:pPr>
        <w:pStyle w:val="2227"/>
        <w:pBdr/>
        <w:spacing/>
        <w:ind w:firstLine="0" w:left="1800"/>
        <w:rPr/>
      </w:pPr>
      <w:r/>
      <w:r/>
    </w:p>
    <w:p>
      <w:pPr>
        <w:pStyle w:val="2227"/>
        <w:numPr>
          <w:ilvl w:val="1"/>
          <w:numId w:val="2"/>
        </w:numPr>
        <w:pBdr/>
        <w:spacing/>
        <w:ind/>
        <w:rPr/>
      </w:pPr>
      <w:r>
        <w:t xml:space="preserve">Mulare culturală</w:t>
      </w:r>
      <w:r/>
    </w:p>
    <w:p>
      <w:pPr>
        <w:pStyle w:val="2227"/>
        <w:pBdr/>
        <w:spacing/>
        <w:ind w:firstLine="0" w:left="1800"/>
        <w:rPr/>
      </w:pPr>
      <w:r>
        <w:t xml:space="preserve">Mularea culturală la viaţa imperiului înseamnă sublinierea caracterului inclusivist al culturii greco-romane. Pavel reţine ideea de popor şi inclinaţii etnice (Tit). </w:t>
      </w:r>
      <w:r/>
    </w:p>
    <w:p>
      <w:pPr>
        <w:pStyle w:val="2227"/>
        <w:pBdr/>
        <w:spacing/>
        <w:ind w:firstLine="0" w:left="1800"/>
        <w:rPr/>
      </w:pPr>
      <w:r/>
      <w:r/>
    </w:p>
    <w:p>
      <w:pPr>
        <w:pStyle w:val="2227"/>
        <w:numPr>
          <w:ilvl w:val="0"/>
          <w:numId w:val="2"/>
        </w:numPr>
        <w:pBdr/>
        <w:spacing/>
        <w:ind/>
        <w:rPr/>
      </w:pPr>
      <w:r>
        <w:t xml:space="preserve">Extinderea firească a învăţăturii lui Isus şi a apostolilor</w:t>
      </w:r>
      <w:r/>
    </w:p>
    <w:p>
      <w:pPr>
        <w:pStyle w:val="2227"/>
        <w:pBdr/>
        <w:spacing/>
        <w:ind w:firstLine="0" w:left="1080"/>
        <w:rPr/>
      </w:pPr>
      <w:r>
        <w:t xml:space="preserve">Învăţătura lui Isus include creştinarea păgânilor, dar nu explicitează metoda sau tipul de viaţă religioasă. </w:t>
      </w:r>
      <w:r>
        <w:t xml:space="preserve">Isus indică, la curăţirea Templului, că şi neamurile trebuia să găsească acolo un loc de rugăciune.</w:t>
      </w:r>
      <w:r>
        <w:t xml:space="preserve"> De asemeni, marea trimitere de după înviere (cf. Mt. 28.18-20), include evanghelizarea tuturor neamurilor, până la capătul pământului.</w:t>
      </w:r>
      <w:r/>
    </w:p>
    <w:p>
      <w:pPr>
        <w:pStyle w:val="2227"/>
        <w:pBdr/>
        <w:spacing/>
        <w:ind w:firstLine="0" w:left="1080"/>
        <w:rPr/>
      </w:pPr>
      <w:r/>
      <w:r/>
    </w:p>
    <w:p>
      <w:pPr>
        <w:pStyle w:val="2227"/>
        <w:pBdr/>
        <w:spacing/>
        <w:ind w:firstLine="0" w:left="1080"/>
        <w:rPr/>
      </w:pPr>
      <w:r>
        <w:t xml:space="preserve">Experienţa apostolilor, în Fapte şi în Epistole, arată că ideea este înţeleasă în final ca o creştinare independentă, fără nevoia de a deveni iudei în tradiţie şi cultură.</w:t>
      </w:r>
      <w:r/>
    </w:p>
    <w:p>
      <w:pPr>
        <w:pStyle w:val="2227"/>
        <w:pBdr/>
        <w:spacing/>
        <w:ind w:firstLine="0" w:left="1080"/>
        <w:rPr/>
      </w:pPr>
      <w:r/>
      <w:r/>
    </w:p>
    <w:p>
      <w:pPr>
        <w:pStyle w:val="2227"/>
        <w:pBdr/>
        <w:spacing/>
        <w:ind w:firstLine="0" w:left="1080"/>
        <w:rPr/>
      </w:pPr>
      <w:r>
        <w:t xml:space="preserve">Pavel şi Petru, în mod deosebit, construiesc teologia creştinării </w:t>
      </w:r>
      <w:r>
        <w:t xml:space="preserve">specifice a </w:t>
      </w:r>
      <w:r>
        <w:t xml:space="preserve">neamurilor</w:t>
      </w:r>
      <w:r>
        <w:t xml:space="preserve"> păgâne</w:t>
      </w:r>
      <w:r>
        <w:t xml:space="preserve">. </w:t>
      </w:r>
      <w:r/>
    </w:p>
    <w:p>
      <w:pPr>
        <w:pStyle w:val="2227"/>
        <w:pBdr/>
        <w:spacing/>
        <w:ind/>
        <w:rPr/>
      </w:pPr>
      <w:r/>
      <w:r/>
    </w:p>
    <w:p>
      <w:pPr>
        <w:pStyle w:val="2227"/>
        <w:pBdr/>
        <w:spacing/>
        <w:ind w:firstLine="0"/>
        <w:rPr/>
      </w:pPr>
      <w:r>
        <w:t xml:space="preserve">Texte </w:t>
      </w:r>
      <w:r>
        <w:t xml:space="preserve">NT </w:t>
      </w:r>
      <w:r>
        <w:t xml:space="preserve">reprezentative pentru universalismul creştin:</w:t>
      </w:r>
      <w:r/>
    </w:p>
    <w:p>
      <w:pPr>
        <w:pStyle w:val="2227"/>
        <w:pBdr/>
        <w:spacing/>
        <w:ind/>
        <w:rPr/>
      </w:pPr>
      <w:r/>
      <w:r/>
    </w:p>
    <w:p>
      <w:pPr>
        <w:pStyle w:val="2227"/>
        <w:pBdr/>
        <w:spacing/>
        <w:ind w:firstLine="0"/>
        <w:rPr/>
      </w:pPr>
      <w:r>
        <w:t xml:space="preserve">Galateni 3.</w:t>
      </w:r>
      <w:r>
        <w:t xml:space="preserve">28,</w:t>
      </w:r>
      <w:r>
        <w:t xml:space="preserve"> </w:t>
      </w:r>
      <w:r>
        <w:t xml:space="preserve">„Nu mai este nici iudeu nici grec, nu mai este nici rob nici liber, nu mai este nici bărbat nici femeie, pentru că voi toţi sunteţi una în Hristos Iisus.”</w:t>
      </w:r>
      <w:r/>
    </w:p>
    <w:p>
      <w:pPr>
        <w:pStyle w:val="2227"/>
        <w:pBdr/>
        <w:spacing/>
        <w:ind/>
        <w:rPr/>
      </w:pPr>
      <w:r/>
      <w:r/>
    </w:p>
    <w:p>
      <w:pPr>
        <w:pStyle w:val="2227"/>
        <w:pBdr/>
        <w:spacing/>
        <w:ind w:firstLine="0"/>
        <w:rPr/>
      </w:pPr>
      <w:r>
        <w:t xml:space="preserve">Coloseni 3.</w:t>
      </w:r>
      <w:r>
        <w:t xml:space="preserve">11, „Astfel nu mai există nici grec nici iudeu, circumcis sau necircumcis, barbar, scit, rob sau liber, ci Hristos este totul în toate.”</w:t>
      </w:r>
      <w:r/>
    </w:p>
    <w:p>
      <w:pPr>
        <w:pStyle w:val="2227"/>
        <w:pBdr/>
        <w:spacing/>
        <w:ind w:firstLine="0"/>
        <w:rPr/>
      </w:pPr>
      <w:r/>
      <w:r/>
    </w:p>
    <w:p>
      <w:pPr>
        <w:pStyle w:val="2227"/>
        <w:pBdr/>
        <w:spacing/>
        <w:ind w:firstLine="0"/>
        <w:rPr/>
      </w:pPr>
      <w:r>
        <w:t xml:space="preserve">1 Corinteni 12.13</w:t>
      </w:r>
      <w:r>
        <w:t xml:space="preserve">, </w:t>
      </w:r>
      <w:r>
        <w:t xml:space="preserve">„Pentru că noi toţi am fost botezaţi într-un singur Duh, ca să fim un singur trup, fie iudei, fie greci, fie robi, fie liberi; la fel, toţi am băut dintr-un singur Duh.”</w:t>
      </w:r>
      <w:r/>
    </w:p>
    <w:p>
      <w:pPr>
        <w:pStyle w:val="2227"/>
        <w:pBdr/>
        <w:spacing/>
        <w:ind/>
        <w:rPr/>
      </w:pPr>
      <w:r>
        <w:t xml:space="preserve"> </w:t>
      </w:r>
      <w:r/>
    </w:p>
    <w:p>
      <w:pPr>
        <w:pStyle w:val="2231"/>
        <w:pBdr/>
        <w:spacing/>
        <w:ind/>
        <w:rPr>
          <w:lang w:val="ro-RO"/>
        </w:rPr>
      </w:pPr>
      <w:r>
        <w:rPr>
          <w:lang w:val="ro-RO"/>
        </w:rPr>
        <w:t xml:space="preserve">9</w:t>
      </w:r>
      <w:r>
        <w:rPr>
          <w:lang w:val="ro-RO"/>
        </w:rPr>
        <w:t xml:space="preserve">.</w:t>
      </w:r>
      <w:r>
        <w:rPr>
          <w:lang w:val="ro-RO"/>
        </w:rPr>
        <w:t xml:space="preserve">1.</w:t>
      </w:r>
      <w:r>
        <w:rPr>
          <w:lang w:val="ro-RO"/>
        </w:rPr>
        <w:t xml:space="preserve">2 </w:t>
      </w:r>
      <w:r>
        <w:rPr>
          <w:lang w:val="ro-RO"/>
        </w:rPr>
        <w:t xml:space="preserve">universalitate şi unicitate</w:t>
      </w:r>
      <w:r>
        <w:rPr>
          <w:lang w:val="ro-RO"/>
        </w:rPr>
      </w:r>
      <w:r>
        <w:rPr>
          <w:lang w:val="ro-RO"/>
        </w:rPr>
      </w:r>
    </w:p>
    <w:p>
      <w:pPr>
        <w:pStyle w:val="2227"/>
        <w:pBdr/>
        <w:spacing/>
        <w:ind w:firstLine="0" w:left="360"/>
        <w:rPr/>
      </w:pPr>
      <w:r/>
      <w:r/>
    </w:p>
    <w:p>
      <w:pPr>
        <w:pStyle w:val="2227"/>
        <w:pBdr/>
        <w:spacing/>
        <w:ind w:firstLine="0" w:left="360"/>
        <w:rPr/>
      </w:pPr>
      <w:r>
        <w:t xml:space="preserve">Simultan cu universalismul său caracteristic</w:t>
      </w:r>
      <w:r>
        <w:t xml:space="preserve">, creştinismul NT pune accent ferm pe unicitatea salvifică a lui Hristos. </w:t>
      </w:r>
      <w:r>
        <w:t xml:space="preserve">El est</w:t>
      </w:r>
      <w:r>
        <w:t xml:space="preserve">e </w:t>
      </w:r>
      <w:r>
        <w:t xml:space="preserve">prezentat drept </w:t>
      </w:r>
      <w:r>
        <w:t xml:space="preserve">soluţia unică a lui Dumnezeu (Întâiul-născut înseamnă şi „cel unic”, în cazul lui Isus</w:t>
      </w:r>
      <w:r>
        <w:t xml:space="preserve">, singurul de acest fel, cu această misiune</w:t>
      </w:r>
      <w:r>
        <w:t xml:space="preserve">). </w:t>
      </w:r>
      <w:r/>
    </w:p>
    <w:p>
      <w:pPr>
        <w:pStyle w:val="2227"/>
        <w:pBdr/>
        <w:spacing/>
        <w:ind w:firstLine="0" w:left="360"/>
        <w:rPr/>
      </w:pPr>
      <w:r/>
      <w:r/>
    </w:p>
    <w:p>
      <w:pPr>
        <w:pStyle w:val="2227"/>
        <w:pBdr/>
        <w:spacing/>
        <w:ind w:firstLine="0" w:left="360"/>
        <w:rPr/>
      </w:pPr>
      <w:r>
        <w:t xml:space="preserve">Relaţia cu alte religii nu este explicitată, dar în timp ce pot fi recunoscute elemente de adevăr şi chiar de revelaţie şi în alte religii, revelaţia semnificativă şi completă este prin Isus (cf. Ioan 1). De asemeni, </w:t>
      </w:r>
      <w:r>
        <w:t xml:space="preserve">oracolele profetice din VT şi promisiunile de acolo nu au egal (Romani 9-11). </w:t>
      </w:r>
      <w:r>
        <w:t xml:space="preserve">Păgânii pot fi </w:t>
      </w:r>
      <w:r>
        <w:t xml:space="preserve">„</w:t>
      </w:r>
      <w:r>
        <w:t xml:space="preserve">altoiţi</w:t>
      </w:r>
      <w:r>
        <w:t xml:space="preserve">”</w:t>
      </w:r>
      <w:r>
        <w:t xml:space="preserve"> în copacul mântuirii, dar nu pot desfiinţa valoarea revelaţiilor primite de evrei, de Israel.</w:t>
      </w:r>
      <w:r>
        <w:t xml:space="preserve"> În acelaşi timp, apariţia creştinismului duce la încheierea nevoiei de închinare prin jertfe la Templul din Ierusalim, adică trece iudaismul în domeniul trecutului. Astfel iudaismul capătă două valori interesante: pe deoparte, iudaismul </w:t>
      </w:r>
      <w:r>
        <w:t xml:space="preserve">este sursa creştinismului (primii creştini sunt iudeii care l-au acceptat pe Isus ca Mesia), pe de cealaltă parte, odată început creştinismul, iudaismul care rămâne nu este decât o opţiune mesianică diferită a iudaismului iniţial, care nu îl recunoaşte pe </w:t>
      </w:r>
      <w:r>
        <w:t xml:space="preserve">Isus ca Mesia. Cu alte cuvinte, iudaismul contemporan nu este decât o expresie parţială a iudaismului din secolul 1, anume a iudaismului care se delimitează de Hristos. Iudaismul care l-a cunoscut şi l-a recunoscut pe Hristos este chiar temelia Bisericii. </w:t>
      </w:r>
      <w:r/>
    </w:p>
    <w:p>
      <w:pPr>
        <w:pStyle w:val="2227"/>
        <w:pBdr/>
        <w:spacing/>
        <w:ind w:firstLine="0"/>
        <w:rPr/>
      </w:pPr>
      <w:r/>
      <w:r/>
    </w:p>
    <w:p>
      <w:pPr>
        <w:pStyle w:val="2230"/>
        <w:pBdr/>
        <w:spacing/>
        <w:ind/>
        <w:rPr>
          <w:lang w:val="ro-RO"/>
        </w:rPr>
      </w:pPr>
      <w:r/>
      <w:bookmarkStart w:id="61" w:name="_Toc252991865"/>
      <w:r>
        <w:rPr>
          <w:lang w:val="ro-RO"/>
        </w:rPr>
        <w:t xml:space="preserve">9</w:t>
      </w:r>
      <w:r>
        <w:rPr>
          <w:lang w:val="ro-RO"/>
        </w:rPr>
        <w:t xml:space="preserve">.2 Politici religioase şi etnice</w:t>
      </w:r>
      <w:bookmarkEnd w:id="61"/>
      <w:r>
        <w:rPr>
          <w:lang w:val="ro-RO"/>
        </w:rPr>
      </w:r>
      <w:r>
        <w:rPr>
          <w:lang w:val="ro-RO"/>
        </w:rPr>
      </w:r>
    </w:p>
    <w:p>
      <w:pPr>
        <w:pStyle w:val="2227"/>
        <w:pBdr/>
        <w:spacing/>
        <w:ind w:firstLine="0"/>
        <w:rPr/>
      </w:pPr>
      <w:r/>
      <w:r/>
    </w:p>
    <w:p>
      <w:pPr>
        <w:pStyle w:val="2227"/>
        <w:pBdr/>
        <w:spacing/>
        <w:ind w:firstLine="0"/>
        <w:rPr/>
      </w:pPr>
      <w:r>
        <w:t xml:space="preserve">Aşa cum s-a observat, </w:t>
      </w:r>
      <w:r>
        <w:t xml:space="preserve">una din trăsăturile majore ale </w:t>
      </w:r>
      <w:r>
        <w:t xml:space="preserve">politic</w:t>
      </w:r>
      <w:r>
        <w:t xml:space="preserve">ii religioase a creştinismului este universalismul. În privinţa aceasta, creştinismul manifestă o anumită vocaţie imperială, inclusivistă.</w:t>
      </w:r>
      <w:r>
        <w:t xml:space="preserve"> terestră. </w:t>
      </w:r>
      <w:r>
        <w:t xml:space="preserve">Pe de altă parte, se recunoaşte existenţa unei interacţiuni religioase cu alte religii sau cu ereziile nou apărute. </w:t>
      </w:r>
      <w:r>
        <w:t xml:space="preserve">În acest context apar şi o seamă de observaţii cu privire la etnie şi viaţa religioasă şi socială.</w:t>
      </w:r>
      <w:r/>
    </w:p>
    <w:p>
      <w:pPr>
        <w:pStyle w:val="2227"/>
        <w:pBdr/>
        <w:spacing/>
        <w:ind w:firstLine="0"/>
        <w:rPr/>
      </w:pPr>
      <w:r/>
      <w:r/>
    </w:p>
    <w:p>
      <w:pPr>
        <w:pStyle w:val="2227"/>
        <w:pBdr/>
        <w:spacing/>
        <w:ind w:firstLine="0"/>
        <w:rPr/>
      </w:pPr>
      <w:r>
        <w:t xml:space="preserve">Atitudinile principale ale politicii faţă de alte religii sunt:</w:t>
      </w:r>
      <w:r/>
    </w:p>
    <w:p>
      <w:pPr>
        <w:pStyle w:val="2227"/>
        <w:pBdr/>
        <w:spacing/>
        <w:ind w:firstLine="0"/>
        <w:rPr/>
      </w:pPr>
      <w:r/>
      <w:r/>
    </w:p>
    <w:p>
      <w:pPr>
        <w:pStyle w:val="2227"/>
        <w:pBdr/>
        <w:spacing/>
        <w:ind w:firstLine="0"/>
        <w:rPr/>
      </w:pPr>
      <w:r>
        <w:t xml:space="preserve">Universalismul</w:t>
      </w:r>
      <w:r/>
    </w:p>
    <w:p>
      <w:pPr>
        <w:pStyle w:val="2227"/>
        <w:pBdr/>
        <w:spacing/>
        <w:ind w:firstLine="0"/>
        <w:rPr/>
      </w:pPr>
      <w:r>
        <w:t xml:space="preserve">Inclusivismul</w:t>
      </w:r>
      <w:r/>
    </w:p>
    <w:p>
      <w:pPr>
        <w:pStyle w:val="2227"/>
        <w:pBdr/>
        <w:spacing/>
        <w:ind w:firstLine="0"/>
        <w:rPr/>
      </w:pPr>
      <w:r>
        <w:t xml:space="preserve">Caracterul radical în problematica mântuirii</w:t>
      </w:r>
      <w:r/>
    </w:p>
    <w:p>
      <w:pPr>
        <w:pStyle w:val="2227"/>
        <w:pBdr/>
        <w:spacing/>
        <w:ind w:firstLine="0"/>
        <w:rPr/>
      </w:pPr>
      <w:r>
        <w:t xml:space="preserve">Respingerea idolatriei</w:t>
      </w:r>
      <w:r/>
    </w:p>
    <w:p>
      <w:pPr>
        <w:pStyle w:val="2227"/>
        <w:pBdr/>
        <w:spacing/>
        <w:ind w:firstLine="0"/>
        <w:rPr/>
      </w:pPr>
      <w:r>
        <w:t xml:space="preserve">Adaptarea culturală (minimalism religios, acceptare culturală, limitarea influenţelor culturale)</w:t>
      </w:r>
      <w:r/>
    </w:p>
    <w:p>
      <w:pPr>
        <w:pStyle w:val="2227"/>
        <w:pBdr/>
        <w:spacing/>
        <w:ind w:firstLine="0"/>
        <w:rPr/>
      </w:pPr>
      <w:r/>
      <w:r/>
    </w:p>
    <w:p>
      <w:pPr>
        <w:pStyle w:val="2227"/>
        <w:pBdr/>
        <w:spacing/>
        <w:ind w:firstLine="0"/>
        <w:rPr/>
      </w:pPr>
      <w:r>
        <w:t xml:space="preserve">Aspectele observabile </w:t>
      </w:r>
      <w:r>
        <w:t xml:space="preserve">ale politicii religioase creştine </w:t>
      </w:r>
      <w:r>
        <w:t xml:space="preserve">în NT </w:t>
      </w:r>
      <w:r>
        <w:t xml:space="preserve">cuprind</w:t>
      </w:r>
      <w:r>
        <w:t xml:space="preserve"> raportarea la iudaism, la erezii şi la religiile greco-romane.</w:t>
      </w:r>
      <w:r/>
    </w:p>
    <w:p>
      <w:pPr>
        <w:pStyle w:val="2227"/>
        <w:pBdr/>
        <w:spacing/>
        <w:ind w:firstLine="0"/>
        <w:rPr/>
      </w:pPr>
      <w:r/>
      <w:r/>
    </w:p>
    <w:p>
      <w:pPr>
        <w:pStyle w:val="2227"/>
        <w:pBdr/>
        <w:tabs>
          <w:tab w:val="left" w:leader="none" w:pos="5023"/>
        </w:tabs>
        <w:spacing/>
        <w:ind/>
        <w:rPr>
          <w:i/>
        </w:rPr>
      </w:pPr>
      <w:r>
        <w:rPr>
          <w:i/>
        </w:rPr>
        <w:t xml:space="preserve">Iudaism</w:t>
      </w:r>
      <w:r>
        <w:rPr>
          <w:i/>
        </w:rPr>
        <w:tab/>
      </w:r>
      <w:r>
        <w:rPr>
          <w:i/>
        </w:rPr>
      </w:r>
      <w:r>
        <w:rPr>
          <w:i/>
        </w:rPr>
      </w:r>
    </w:p>
    <w:p>
      <w:pPr>
        <w:pStyle w:val="2227"/>
        <w:pBdr/>
        <w:spacing/>
        <w:ind w:firstLine="0" w:left="720"/>
        <w:rPr/>
      </w:pPr>
      <w:r/>
      <w:r/>
    </w:p>
    <w:p>
      <w:pPr>
        <w:pStyle w:val="2227"/>
        <w:pBdr/>
        <w:spacing/>
        <w:ind w:firstLine="0"/>
        <w:rPr/>
      </w:pPr>
      <w:r>
        <w:t xml:space="preserve">În ce priveşte raportarea la iudaism, se observă atât afirmarea filiaţiei iudaice a creştinismului cât şi separarea de acesta, în măsura în care piatra de hotar este Isus ca Mesia. </w:t>
      </w:r>
      <w:r/>
    </w:p>
    <w:p>
      <w:pPr>
        <w:pStyle w:val="2227"/>
        <w:pBdr/>
        <w:spacing/>
        <w:ind w:firstLine="0"/>
        <w:rPr/>
      </w:pPr>
      <w:r/>
      <w:r/>
    </w:p>
    <w:p>
      <w:pPr>
        <w:pStyle w:val="2227"/>
        <w:pBdr/>
        <w:spacing/>
        <w:ind w:firstLine="0"/>
        <w:rPr/>
      </w:pPr>
      <w:r>
        <w:t xml:space="preserve">Cărţile în care se face critica iudaismului sunt evangheliile (predicile lui Isus).</w:t>
      </w:r>
      <w:r/>
    </w:p>
    <w:p>
      <w:pPr>
        <w:pStyle w:val="2227"/>
        <w:pBdr/>
        <w:spacing/>
        <w:ind w:firstLine="0"/>
        <w:rPr/>
      </w:pPr>
      <w:r/>
      <w:r/>
    </w:p>
    <w:p>
      <w:pPr>
        <w:pStyle w:val="2227"/>
        <w:pBdr/>
        <w:spacing/>
        <w:ind w:firstLine="0"/>
        <w:rPr/>
      </w:pPr>
      <w:r>
        <w:t xml:space="preserve">Evenimente la limită se observă în scrisorile pastorale (1-2 Timotei, Tit). </w:t>
      </w:r>
      <w:r/>
    </w:p>
    <w:p>
      <w:pPr>
        <w:pStyle w:val="2227"/>
        <w:pBdr/>
        <w:spacing/>
        <w:ind w:firstLine="0"/>
        <w:rPr/>
      </w:pPr>
      <w:r/>
      <w:r/>
    </w:p>
    <w:p>
      <w:pPr>
        <w:pStyle w:val="2227"/>
        <w:pBdr/>
        <w:spacing/>
        <w:ind/>
        <w:rPr>
          <w:i/>
        </w:rPr>
      </w:pPr>
      <w:r>
        <w:rPr>
          <w:i/>
        </w:rPr>
        <w:t xml:space="preserve">Erezii</w:t>
      </w:r>
      <w:r>
        <w:rPr>
          <w:i/>
        </w:rPr>
      </w:r>
      <w:r>
        <w:rPr>
          <w:i/>
        </w:rPr>
      </w:r>
    </w:p>
    <w:p>
      <w:pPr>
        <w:pStyle w:val="2227"/>
        <w:pBdr/>
        <w:spacing/>
        <w:ind w:firstLine="0" w:left="720"/>
        <w:rPr/>
      </w:pPr>
      <w:r>
        <w:t xml:space="preserve">Gnosticismul</w:t>
      </w:r>
      <w:r/>
    </w:p>
    <w:p>
      <w:pPr>
        <w:pStyle w:val="2227"/>
        <w:pBdr/>
        <w:spacing/>
        <w:ind w:firstLine="0" w:left="720"/>
        <w:rPr/>
      </w:pPr>
      <w:r>
        <w:t xml:space="preserve">Gnostici (gnosis – iniţierea în cunoaşterea secretă care aduce mântuirea: caracterul negativ al materiei şi cele două consecinţe, ascetismul şi imoralitatea): Coloseni, Ioan.</w:t>
      </w:r>
      <w:r/>
    </w:p>
    <w:p>
      <w:pPr>
        <w:pStyle w:val="2227"/>
        <w:pBdr/>
        <w:spacing/>
        <w:ind w:firstLine="0" w:left="720"/>
        <w:rPr/>
      </w:pPr>
      <w:r/>
      <w:r/>
    </w:p>
    <w:p>
      <w:pPr>
        <w:pStyle w:val="2227"/>
        <w:pBdr/>
        <w:spacing/>
        <w:ind w:firstLine="0" w:left="720"/>
        <w:rPr/>
      </w:pPr>
      <w:r>
        <w:t xml:space="preserve">Legalismul iudaizant</w:t>
      </w:r>
      <w:r/>
    </w:p>
    <w:p>
      <w:pPr>
        <w:pStyle w:val="2227"/>
        <w:pBdr/>
        <w:spacing/>
        <w:ind w:firstLine="0" w:left="720"/>
        <w:rPr/>
      </w:pPr>
      <w:r>
        <w:t xml:space="preserve">Iudaizanţi (Hristos şi Legea): Galateni, Evrei, Efeseni.</w:t>
      </w:r>
      <w:r/>
    </w:p>
    <w:p>
      <w:pPr>
        <w:pStyle w:val="2227"/>
        <w:pBdr/>
        <w:spacing/>
        <w:ind w:firstLine="0" w:left="720"/>
        <w:rPr/>
      </w:pPr>
      <w:r>
        <w:t xml:space="preserve">Iudaismul (Fapte, Galateni, Evrei)</w:t>
      </w:r>
      <w:r/>
    </w:p>
    <w:p>
      <w:pPr>
        <w:pStyle w:val="2227"/>
        <w:pBdr/>
        <w:spacing/>
        <w:ind w:firstLine="0" w:left="720"/>
        <w:rPr/>
      </w:pPr>
      <w:r>
        <w:t xml:space="preserve">Cărţile în care se tratează relaţia evanghelie – iudaism sunt Galateni, Romani, Evrei, Apocalipsa.</w:t>
      </w:r>
      <w:r/>
    </w:p>
    <w:p>
      <w:pPr>
        <w:pStyle w:val="2227"/>
        <w:pBdr/>
        <w:spacing/>
        <w:ind w:firstLine="0" w:left="720"/>
        <w:rPr/>
      </w:pPr>
      <w:r/>
      <w:r/>
    </w:p>
    <w:p>
      <w:pPr>
        <w:pStyle w:val="2227"/>
        <w:pBdr/>
        <w:spacing/>
        <w:ind w:firstLine="0"/>
        <w:rPr/>
      </w:pPr>
      <w:r/>
      <w:r/>
    </w:p>
    <w:p>
      <w:pPr>
        <w:pStyle w:val="2227"/>
        <w:pBdr/>
        <w:spacing/>
        <w:ind/>
        <w:rPr>
          <w:i/>
        </w:rPr>
      </w:pPr>
      <w:r>
        <w:rPr>
          <w:i/>
        </w:rPr>
        <w:t xml:space="preserve">Religiile</w:t>
      </w:r>
      <w:r>
        <w:rPr>
          <w:i/>
        </w:rPr>
        <w:t xml:space="preserve"> greco-romane</w:t>
      </w:r>
      <w:r>
        <w:rPr>
          <w:i/>
        </w:rPr>
        <w:t xml:space="preserve"> </w:t>
      </w:r>
      <w:r>
        <w:rPr>
          <w:i/>
        </w:rPr>
      </w:r>
      <w:r>
        <w:rPr>
          <w:i/>
        </w:rPr>
      </w:r>
    </w:p>
    <w:p>
      <w:pPr>
        <w:pStyle w:val="2227"/>
        <w:pBdr/>
        <w:spacing/>
        <w:ind w:firstLine="0" w:left="720"/>
        <w:rPr/>
      </w:pPr>
      <w:r/>
      <w:r/>
    </w:p>
    <w:p>
      <w:pPr>
        <w:pStyle w:val="2227"/>
        <w:pBdr/>
        <w:spacing/>
        <w:ind w:firstLine="0" w:left="720"/>
        <w:rPr/>
      </w:pPr>
      <w:r>
        <w:t xml:space="preserve">Fapte 17. </w:t>
      </w:r>
      <w:r>
        <w:t xml:space="preserve">Inclusivismul cultural</w:t>
      </w:r>
      <w:r/>
    </w:p>
    <w:p>
      <w:pPr>
        <w:pStyle w:val="2227"/>
        <w:pBdr/>
        <w:spacing/>
        <w:ind w:firstLine="0" w:left="720"/>
        <w:rPr/>
      </w:pPr>
      <w:r>
        <w:t xml:space="preserve">Intersecţii: altare pentru zei necunoscuţi </w:t>
      </w:r>
      <w:r/>
    </w:p>
    <w:p>
      <w:pPr>
        <w:pStyle w:val="2227"/>
        <w:pBdr/>
        <w:spacing/>
        <w:ind w:firstLine="0" w:left="720"/>
        <w:rPr/>
      </w:pPr>
      <w:r>
        <w:t xml:space="preserve">Acceptarea poeţilor şi filosofilor ca profeţi...</w:t>
      </w:r>
      <w:r/>
    </w:p>
    <w:p>
      <w:pPr>
        <w:pStyle w:val="2227"/>
        <w:pBdr/>
        <w:spacing/>
        <w:ind w:firstLine="0" w:left="720"/>
        <w:rPr/>
      </w:pPr>
      <w:r>
        <w:t xml:space="preserve">Etichetarea timpului precreştin ca „vremuri de necunoaştere”)</w:t>
      </w:r>
      <w:r/>
    </w:p>
    <w:p>
      <w:pPr>
        <w:pStyle w:val="2227"/>
        <w:pBdr/>
        <w:spacing/>
        <w:ind w:firstLine="0" w:left="720"/>
        <w:rPr/>
      </w:pPr>
      <w:r/>
      <w:r/>
    </w:p>
    <w:p>
      <w:pPr>
        <w:pStyle w:val="2227"/>
        <w:pBdr/>
        <w:spacing/>
        <w:ind w:firstLine="0" w:left="720"/>
        <w:rPr/>
      </w:pPr>
      <w:r>
        <w:t xml:space="preserve">Panteonul grecesc: Zeus şi Hermes, Barnaba şi Pavel</w:t>
      </w:r>
      <w:r/>
    </w:p>
    <w:p>
      <w:pPr>
        <w:pStyle w:val="2227"/>
        <w:pBdr/>
        <w:spacing/>
        <w:ind w:firstLine="0" w:left="720"/>
        <w:rPr/>
      </w:pPr>
      <w:r>
        <w:t xml:space="preserve">Tema persoanei divine în Luca-Faptele Apostolilor</w:t>
      </w:r>
      <w:r/>
    </w:p>
    <w:p>
      <w:pPr>
        <w:pStyle w:val="2227"/>
        <w:pBdr/>
        <w:spacing/>
        <w:ind w:firstLine="0" w:left="720"/>
        <w:rPr/>
      </w:pPr>
      <w:r>
        <w:t xml:space="preserve">(Irod, Pavel şi Barnaba, Pavel şi barbarii în Malta. Prin contrast, singurul om divin este Hristos).</w:t>
      </w:r>
      <w:r/>
    </w:p>
    <w:p>
      <w:pPr>
        <w:pStyle w:val="2227"/>
        <w:pBdr/>
        <w:spacing/>
        <w:ind w:firstLine="0" w:left="720"/>
        <w:rPr/>
      </w:pPr>
      <w:r/>
      <w:r/>
    </w:p>
    <w:p>
      <w:pPr>
        <w:pStyle w:val="2227"/>
        <w:pBdr/>
        <w:spacing/>
        <w:ind w:firstLine="0" w:left="720"/>
        <w:rPr/>
      </w:pPr>
      <w:r>
        <w:t xml:space="preserve">Problema revelaţiei şi a referinţei culturale</w:t>
      </w:r>
      <w:r>
        <w:t xml:space="preserve">: Fapte 17 şi Tit 1, poeţii ca profeţi</w:t>
      </w:r>
      <w:r/>
    </w:p>
    <w:p>
      <w:pPr>
        <w:pStyle w:val="2227"/>
        <w:pBdr/>
        <w:spacing/>
        <w:ind w:firstLine="0" w:left="720"/>
        <w:rPr/>
      </w:pPr>
      <w:r/>
      <w:r/>
    </w:p>
    <w:p>
      <w:pPr>
        <w:pStyle w:val="2227"/>
        <w:pBdr/>
        <w:spacing/>
        <w:ind w:firstLine="0" w:left="720"/>
        <w:rPr/>
      </w:pPr>
      <w:r>
        <w:t xml:space="preserve">Concepţia despre alte religii: </w:t>
      </w:r>
      <w:r/>
    </w:p>
    <w:p>
      <w:pPr>
        <w:pStyle w:val="2227"/>
        <w:pBdr/>
        <w:spacing/>
        <w:ind w:firstLine="0" w:left="720"/>
        <w:rPr/>
      </w:pPr>
      <w:r>
        <w:t xml:space="preserve">Caracter mixt: </w:t>
      </w:r>
      <w:r>
        <w:t xml:space="preserve">o formă de cunoaştere şi de necunoaştere a lui</w:t>
      </w:r>
      <w:r>
        <w:t xml:space="preserve"> Dumnezeu.</w:t>
      </w:r>
      <w:r/>
    </w:p>
    <w:p>
      <w:pPr>
        <w:pStyle w:val="2227"/>
        <w:pBdr/>
        <w:spacing/>
        <w:ind w:firstLine="0" w:left="720"/>
        <w:rPr/>
      </w:pPr>
      <w:r/>
      <w:r/>
    </w:p>
    <w:p>
      <w:pPr>
        <w:pStyle w:val="2227"/>
        <w:pBdr/>
        <w:spacing/>
        <w:ind w:firstLine="0" w:left="720"/>
        <w:rPr/>
      </w:pPr>
      <w:r>
        <w:t xml:space="preserve">Reflexele religiilor păgâne în Corint</w:t>
      </w:r>
      <w:r/>
    </w:p>
    <w:p>
      <w:pPr>
        <w:pStyle w:val="2227"/>
        <w:pBdr/>
        <w:spacing/>
        <w:ind w:firstLine="0" w:left="1440"/>
        <w:rPr/>
      </w:pPr>
      <w:r>
        <w:t xml:space="preserve">Religiile păgâne şi ideea divizării pe şcoli – partide, fiecare cu liderii săi</w:t>
      </w:r>
      <w:r/>
    </w:p>
    <w:p>
      <w:pPr>
        <w:pStyle w:val="2227"/>
        <w:pBdr/>
        <w:spacing/>
        <w:ind w:firstLine="0" w:left="1440"/>
        <w:rPr/>
      </w:pPr>
      <w:r>
        <w:t xml:space="preserve">Religiile păgâne şi extazul (vorbirea în limbi extatice): 1 Corinteni 12-14; Învierea şi gândirea grecească, vezi tema </w:t>
      </w:r>
      <w:r>
        <w:rPr>
          <w:i/>
        </w:rPr>
        <w:t xml:space="preserve">carpe diem</w:t>
      </w:r>
      <w:r>
        <w:t xml:space="preserve"> (1 Corinteni 15).</w:t>
      </w:r>
      <w:r/>
    </w:p>
    <w:p>
      <w:pPr>
        <w:pStyle w:val="2227"/>
        <w:pBdr/>
        <w:spacing/>
        <w:ind w:firstLine="0" w:left="720"/>
        <w:rPr/>
      </w:pPr>
      <w:r/>
      <w:r/>
    </w:p>
    <w:p>
      <w:pPr>
        <w:pStyle w:val="2227"/>
        <w:pBdr/>
        <w:spacing/>
        <w:ind w:firstLine="0" w:left="720"/>
        <w:rPr/>
      </w:pPr>
      <w:r>
        <w:t xml:space="preserve">Elemente de politici etnice şi ideologice:</w:t>
      </w:r>
      <w:r/>
    </w:p>
    <w:p>
      <w:pPr>
        <w:pStyle w:val="2227"/>
        <w:pBdr/>
        <w:spacing/>
        <w:ind w:firstLine="0" w:left="720"/>
        <w:rPr/>
      </w:pPr>
      <w:r>
        <w:t xml:space="preserve">Iudeii: revelaţie, binecuvântare şi naţionalism</w:t>
      </w:r>
      <w:r/>
    </w:p>
    <w:p>
      <w:pPr>
        <w:pStyle w:val="2227"/>
        <w:pBdr/>
        <w:spacing/>
        <w:ind w:firstLine="0" w:left="720"/>
        <w:rPr/>
      </w:pPr>
      <w:r/>
      <w:r/>
    </w:p>
    <w:p>
      <w:pPr>
        <w:pStyle w:val="2227"/>
        <w:pBdr/>
        <w:spacing/>
        <w:ind w:firstLine="0" w:left="720"/>
        <w:rPr/>
      </w:pPr>
      <w:r>
        <w:t xml:space="preserve">Romanii: dreptate şi politica puterii (imperium</w:t>
      </w:r>
      <w:r>
        <w:t xml:space="preserve"> - regnum</w:t>
      </w:r>
      <w:r>
        <w:t xml:space="preserve">, veritas, </w:t>
      </w:r>
      <w:r>
        <w:t xml:space="preserve">potestatate</w:t>
      </w:r>
      <w:r>
        <w:t xml:space="preserve">; cf. discuţia lui Isus cu Pilat, în ev. după Ioan şi după Marcu</w:t>
      </w:r>
      <w:r>
        <w:t xml:space="preserve">)</w:t>
      </w:r>
      <w:r/>
    </w:p>
    <w:p>
      <w:pPr>
        <w:pStyle w:val="2227"/>
        <w:pBdr/>
        <w:spacing/>
        <w:ind w:firstLine="0" w:left="720"/>
        <w:rPr/>
      </w:pPr>
      <w:r/>
      <w:r/>
    </w:p>
    <w:p>
      <w:pPr>
        <w:pStyle w:val="2227"/>
        <w:pBdr/>
        <w:spacing/>
        <w:ind w:firstLine="0" w:left="720"/>
        <w:rPr/>
      </w:pPr>
      <w:r>
        <w:t xml:space="preserve">Creştinismul şi politica sa faţă de Rom</w:t>
      </w:r>
      <w:r>
        <w:t xml:space="preserve">a: militarii, judecătorii, administratorii imperiali, procuratorii, casa Cezarului. </w:t>
      </w:r>
      <w:r/>
    </w:p>
    <w:p>
      <w:pPr>
        <w:pStyle w:val="2227"/>
        <w:pBdr/>
        <w:spacing/>
        <w:ind w:firstLine="0" w:left="720"/>
        <w:rPr/>
      </w:pPr>
      <w:r/>
      <w:r/>
    </w:p>
    <w:p>
      <w:pPr>
        <w:pStyle w:val="2227"/>
        <w:pBdr/>
        <w:spacing/>
        <w:ind w:firstLine="0" w:left="720"/>
        <w:rPr/>
      </w:pPr>
      <w:r>
        <w:t xml:space="preserve">Cretanii: problemele sociale şi </w:t>
      </w:r>
      <w:r>
        <w:t xml:space="preserve">religioase într-o naţiune mediteraneeană</w:t>
      </w:r>
      <w:r>
        <w:t xml:space="preserve"> (Tit; cf. 1 Timotei: Efes)</w:t>
      </w:r>
      <w:r/>
    </w:p>
    <w:p>
      <w:pPr>
        <w:pStyle w:val="2227"/>
        <w:pBdr/>
        <w:spacing/>
        <w:ind w:firstLine="0"/>
        <w:rPr/>
      </w:pPr>
      <w:r/>
      <w:r/>
    </w:p>
    <w:p>
      <w:pPr>
        <w:pStyle w:val="2227"/>
        <w:pBdr/>
        <w:spacing/>
        <w:ind w:firstLine="0"/>
        <w:rPr/>
      </w:pPr>
      <w:r>
        <w:t xml:space="preserve">Valorile politicii religioase:</w:t>
      </w:r>
      <w:r/>
    </w:p>
    <w:p>
      <w:pPr>
        <w:pStyle w:val="2227"/>
        <w:pBdr/>
        <w:spacing/>
        <w:ind w:firstLine="0" w:left="720"/>
        <w:rPr/>
      </w:pPr>
      <w:r>
        <w:t xml:space="preserve">Coexistenţa, dialogul, pluralismul, </w:t>
      </w:r>
      <w:r/>
    </w:p>
    <w:p>
      <w:pPr>
        <w:pStyle w:val="2227"/>
        <w:pBdr/>
        <w:spacing/>
        <w:ind w:firstLine="0" w:left="720"/>
        <w:rPr/>
      </w:pPr>
      <w:r>
        <w:t xml:space="preserve">specificitatea şi unicitatea</w:t>
      </w:r>
      <w:r>
        <w:t xml:space="preserve"> (radicalismul)</w:t>
      </w:r>
      <w:r/>
    </w:p>
    <w:p>
      <w:pPr>
        <w:pStyle w:val="2227"/>
        <w:pBdr/>
        <w:spacing/>
        <w:ind w:firstLine="0"/>
        <w:rPr/>
      </w:pPr>
      <w:r/>
      <w:r/>
    </w:p>
    <w:p>
      <w:pPr>
        <w:pStyle w:val="2227"/>
        <w:pBdr/>
        <w:spacing/>
        <w:ind w:firstLine="0"/>
        <w:rPr/>
      </w:pPr>
      <w:r>
        <w:t xml:space="preserve">Creşt</w:t>
      </w:r>
      <w:r>
        <w:t xml:space="preserve">inismul şi politica religioasă:</w:t>
      </w:r>
      <w:r/>
    </w:p>
    <w:p>
      <w:pPr>
        <w:pStyle w:val="2227"/>
        <w:pBdr/>
        <w:spacing/>
        <w:ind w:firstLine="0" w:left="720"/>
        <w:rPr/>
      </w:pPr>
      <w:r/>
      <w:r/>
    </w:p>
    <w:p>
      <w:pPr>
        <w:pStyle w:val="2227"/>
        <w:pBdr/>
        <w:spacing/>
        <w:ind w:firstLine="0" w:left="720"/>
        <w:rPr/>
      </w:pPr>
      <w:r>
        <w:t xml:space="preserve">Religiile greco-romane (cf. Fapte 17)</w:t>
      </w:r>
      <w:r/>
    </w:p>
    <w:p>
      <w:pPr>
        <w:pStyle w:val="2227"/>
        <w:pBdr/>
        <w:spacing/>
        <w:ind w:firstLine="0" w:left="720"/>
        <w:rPr/>
      </w:pPr>
      <w:r/>
      <w:r/>
    </w:p>
    <w:p>
      <w:pPr>
        <w:pStyle w:val="2227"/>
        <w:pBdr/>
        <w:spacing/>
        <w:ind w:firstLine="0" w:left="720"/>
        <w:rPr/>
      </w:pPr>
      <w:r>
        <w:t xml:space="preserve">Politici religioase în 1-2 Ioan şi în 2 Petru – Iuda, precum şi în 1 Timotei – Tit.</w:t>
      </w:r>
      <w:r/>
    </w:p>
    <w:p>
      <w:pPr>
        <w:pStyle w:val="2227"/>
        <w:pBdr/>
        <w:spacing/>
        <w:ind w:firstLine="0"/>
        <w:rPr/>
      </w:pPr>
      <w:r/>
      <w:r/>
    </w:p>
    <w:p>
      <w:pPr>
        <w:pStyle w:val="2227"/>
        <w:pBdr/>
        <w:spacing/>
        <w:ind w:firstLine="0" w:left="720"/>
        <w:rPr/>
      </w:pPr>
      <w:r>
        <w:t xml:space="preserve">Tema religiilor păgâne, în Efes şi în Creta, cf. Coloseni (1-2 Timotei, Tit; Atena şi Fapte 17; Tit 1 şi cretanii).</w:t>
      </w:r>
      <w:r/>
    </w:p>
    <w:p>
      <w:pPr>
        <w:pStyle w:val="2227"/>
        <w:pBdr/>
        <w:spacing/>
        <w:ind w:firstLine="0"/>
        <w:rPr/>
      </w:pPr>
      <w:r/>
      <w:r/>
    </w:p>
    <w:p>
      <w:pPr>
        <w:pStyle w:val="2227"/>
        <w:pBdr/>
        <w:spacing/>
        <w:ind w:firstLine="0"/>
        <w:rPr/>
      </w:pPr>
      <w:r/>
      <w:r/>
    </w:p>
    <w:p>
      <w:pPr>
        <w:pStyle w:val="2229"/>
        <w:pBdr/>
        <w:spacing/>
        <w:ind w:firstLine="0"/>
        <w:rPr/>
      </w:pPr>
      <w:r/>
      <w:bookmarkStart w:id="62" w:name="_Toc252991866"/>
      <w:r>
        <w:t xml:space="preserve">Capitolul 10</w:t>
      </w:r>
      <w:r>
        <w:t xml:space="preserve">. Noul Testament şi politicile sociale</w:t>
      </w:r>
      <w:bookmarkEnd w:id="62"/>
      <w:r/>
      <w:r/>
    </w:p>
    <w:p>
      <w:pPr>
        <w:pStyle w:val="2227"/>
        <w:pBdr/>
        <w:spacing/>
        <w:ind w:firstLine="0"/>
        <w:rPr/>
      </w:pPr>
      <w:r>
        <w:t xml:space="preserve">Aspecte de politică socială în NT: mişcarea socială, relaţiile sociale, mecanismele juridice</w:t>
      </w:r>
      <w:r/>
    </w:p>
    <w:p>
      <w:pPr>
        <w:pStyle w:val="2227"/>
        <w:pBdr/>
        <w:spacing/>
        <w:ind w:firstLine="0"/>
        <w:rPr/>
      </w:pPr>
      <w:r/>
      <w:r/>
    </w:p>
    <w:p>
      <w:pPr>
        <w:pStyle w:val="2230"/>
        <w:pBdr/>
        <w:spacing/>
        <w:ind/>
        <w:rPr>
          <w:lang w:val="ro-RO"/>
        </w:rPr>
      </w:pPr>
      <w:r/>
      <w:bookmarkStart w:id="63" w:name="_Toc252991867"/>
      <w:r>
        <w:rPr>
          <w:lang w:val="ro-RO"/>
        </w:rPr>
        <w:t xml:space="preserve">10</w:t>
      </w:r>
      <w:r>
        <w:rPr>
          <w:lang w:val="ro-RO"/>
        </w:rPr>
        <w:t xml:space="preserve">.1 Relaţii la nivel microsocial</w:t>
      </w:r>
      <w:bookmarkEnd w:id="63"/>
      <w:r>
        <w:rPr>
          <w:lang w:val="ro-RO"/>
        </w:rPr>
      </w:r>
      <w:r>
        <w:rPr>
          <w:lang w:val="ro-RO"/>
        </w:rPr>
      </w:r>
    </w:p>
    <w:p>
      <w:pPr>
        <w:pStyle w:val="2231"/>
        <w:pBdr/>
        <w:spacing/>
        <w:ind w:firstLine="0"/>
        <w:rPr>
          <w:lang w:val="ro-RO"/>
        </w:rPr>
      </w:pPr>
      <w:r>
        <w:rPr>
          <w:lang w:val="ro-RO"/>
        </w:rPr>
        <w:t xml:space="preserve">Tema „</w:t>
      </w:r>
      <w:r>
        <w:rPr>
          <w:lang w:val="ro-RO"/>
        </w:rPr>
        <w:t xml:space="preserve">bogaţi şi săraci</w:t>
      </w:r>
      <w:r>
        <w:rPr>
          <w:lang w:val="ro-RO"/>
        </w:rPr>
        <w:t xml:space="preserve">” (Luca şi Pavel)</w:t>
      </w:r>
      <w:r>
        <w:rPr>
          <w:lang w:val="ro-RO"/>
        </w:rPr>
      </w:r>
    </w:p>
    <w:p>
      <w:pPr>
        <w:pStyle w:val="2227"/>
        <w:pBdr/>
        <w:spacing/>
        <w:ind w:firstLine="0"/>
        <w:rPr/>
      </w:pPr>
      <w:r>
        <w:t xml:space="preserve">Personaje </w:t>
      </w:r>
      <w:r>
        <w:t xml:space="preserve">bogate </w:t>
      </w:r>
      <w:r>
        <w:t xml:space="preserve">faimoase: </w:t>
      </w:r>
      <w:r/>
    </w:p>
    <w:p>
      <w:pPr>
        <w:pStyle w:val="2227"/>
        <w:pBdr/>
        <w:spacing/>
        <w:ind w:firstLine="0"/>
        <w:rPr/>
      </w:pPr>
      <w:r>
        <w:t xml:space="preserve">Teofil,</w:t>
      </w:r>
      <w:r>
        <w:t xml:space="preserve"> </w:t>
      </w:r>
      <w:r>
        <w:t xml:space="preserve">Samariteanul,</w:t>
      </w:r>
      <w:r>
        <w:t xml:space="preserve"> Fiul răzvrătit,</w:t>
      </w:r>
      <w:r>
        <w:t xml:space="preserve"> </w:t>
      </w:r>
      <w:r>
        <w:t xml:space="preserve">Zacheu,</w:t>
      </w:r>
      <w:r>
        <w:t xml:space="preserve"> Sergius Paulus, Famenul etiopian, Irod, Felix şi Festus, Agrippa.</w:t>
      </w:r>
      <w:r/>
    </w:p>
    <w:p>
      <w:pPr>
        <w:pStyle w:val="2227"/>
        <w:pBdr/>
        <w:spacing/>
        <w:ind w:firstLine="0"/>
        <w:rPr/>
      </w:pPr>
      <w:r>
        <w:t xml:space="preserve">Nicodim, Iosif din Arimateea (Ioan)</w:t>
      </w:r>
      <w:r/>
    </w:p>
    <w:p>
      <w:pPr>
        <w:pStyle w:val="2227"/>
        <w:pBdr/>
        <w:spacing/>
        <w:ind w:firstLine="0"/>
        <w:rPr/>
      </w:pPr>
      <w:r>
        <w:t xml:space="preserve">Onisim şi Filimon</w:t>
      </w:r>
      <w:r/>
    </w:p>
    <w:p>
      <w:pPr>
        <w:pStyle w:val="2227"/>
        <w:pBdr/>
        <w:spacing/>
        <w:ind w:firstLine="0"/>
        <w:rPr/>
      </w:pPr>
      <w:r/>
      <w:r/>
    </w:p>
    <w:p>
      <w:pPr>
        <w:pStyle w:val="2227"/>
        <w:pBdr/>
        <w:spacing/>
        <w:ind w:firstLine="0"/>
        <w:rPr/>
      </w:pPr>
      <w:r>
        <w:t xml:space="preserve">Cf., însă şi 1 Corinteni 1.26, „Fraţilor, uitaţi-vă la chemarea voastră: nu mulţi sunteţi înţelepţi după măsura oamenilor, nu mulţi sunteţi puternici, nu mulţi sunteţi de neam bun;”</w:t>
      </w:r>
      <w:r/>
    </w:p>
    <w:p>
      <w:pPr>
        <w:pStyle w:val="2231"/>
        <w:pBdr/>
        <w:spacing/>
        <w:ind w:firstLine="0"/>
        <w:rPr>
          <w:lang w:val="ro-RO"/>
        </w:rPr>
      </w:pPr>
      <w:r>
        <w:rPr>
          <w:lang w:val="ro-RO"/>
        </w:rPr>
        <w:t xml:space="preserve">Tema r</w:t>
      </w:r>
      <w:r>
        <w:rPr>
          <w:lang w:val="ro-RO"/>
        </w:rPr>
        <w:t xml:space="preserve">eguli</w:t>
      </w:r>
      <w:r>
        <w:rPr>
          <w:lang w:val="ro-RO"/>
        </w:rPr>
        <w:t xml:space="preserve">lor</w:t>
      </w:r>
      <w:r>
        <w:rPr>
          <w:lang w:val="ro-RO"/>
        </w:rPr>
        <w:t xml:space="preserve"> </w:t>
      </w:r>
      <w:r>
        <w:rPr>
          <w:lang w:val="ro-RO"/>
        </w:rPr>
        <w:t xml:space="preserve">pentru relaţiile </w:t>
      </w:r>
      <w:r>
        <w:rPr>
          <w:lang w:val="ro-RO"/>
        </w:rPr>
        <w:t xml:space="preserve">dintre </w:t>
      </w:r>
      <w:r>
        <w:rPr>
          <w:lang w:val="ro-RO"/>
        </w:rPr>
        <w:t xml:space="preserve">sclavi-patroni</w:t>
      </w:r>
      <w:r>
        <w:rPr>
          <w:lang w:val="ro-RO"/>
        </w:rPr>
        <w:t xml:space="preserve"> </w:t>
      </w:r>
      <w:r>
        <w:rPr>
          <w:lang w:val="ro-RO"/>
        </w:rPr>
      </w:r>
      <w:r>
        <w:rPr>
          <w:lang w:val="ro-RO"/>
        </w:rPr>
      </w:r>
    </w:p>
    <w:p>
      <w:pPr>
        <w:pStyle w:val="2227"/>
        <w:pBdr/>
        <w:spacing/>
        <w:ind w:firstLine="0"/>
        <w:rPr/>
      </w:pPr>
      <w:r>
        <w:t xml:space="preserve">(Efeseni-Coloseni; 1 Timotei – Tit).</w:t>
      </w:r>
      <w:r/>
    </w:p>
    <w:p>
      <w:pPr>
        <w:pStyle w:val="2227"/>
        <w:pBdr/>
        <w:spacing/>
        <w:ind w:firstLine="0"/>
        <w:rPr/>
      </w:pPr>
      <w:r/>
      <w:r/>
    </w:p>
    <w:p>
      <w:pPr>
        <w:pStyle w:val="2227"/>
        <w:pBdr/>
        <w:spacing/>
        <w:ind w:firstLine="0"/>
        <w:rPr/>
      </w:pPr>
      <w:r>
        <w:t xml:space="preserve">teologie creştină şi viaţa economică (sclavia): Filimon, 1 Corinteni 7; 1 Timotei – Tit; Efeseni - Coloseni;</w:t>
      </w:r>
      <w:r/>
    </w:p>
    <w:p>
      <w:pPr>
        <w:pStyle w:val="2227"/>
        <w:pBdr/>
        <w:spacing/>
        <w:ind w:firstLine="0"/>
        <w:rPr/>
      </w:pPr>
      <w:r/>
      <w:r/>
    </w:p>
    <w:p>
      <w:pPr>
        <w:pStyle w:val="2227"/>
        <w:pBdr/>
        <w:spacing/>
        <w:ind w:firstLine="0"/>
        <w:rPr/>
      </w:pPr>
      <w:r>
        <w:t xml:space="preserve">De observat retorica abruptă a lui Iacov, fratele (vărul) lui Isus, împotriva bogaţilor, în epistola lui Iacov 5.1-6</w:t>
      </w:r>
      <w:r>
        <w:t xml:space="preserve">; cf. şi Iacov 1.9-11.</w:t>
      </w:r>
      <w:r/>
    </w:p>
    <w:p>
      <w:pPr>
        <w:pStyle w:val="2227"/>
        <w:pBdr/>
        <w:spacing/>
        <w:ind w:firstLine="0"/>
        <w:rPr/>
      </w:pPr>
      <w:r/>
      <w:r/>
    </w:p>
    <w:p>
      <w:pPr>
        <w:pStyle w:val="2227"/>
        <w:pBdr/>
        <w:spacing/>
        <w:ind w:firstLine="0"/>
        <w:rPr/>
      </w:pPr>
      <w:r>
        <w:t xml:space="preserve">De asemeni, împotriva </w:t>
      </w:r>
      <w:r>
        <w:t xml:space="preserve">discriminării</w:t>
      </w:r>
      <w:r>
        <w:t xml:space="preserve"> în funcţie de avere</w:t>
      </w:r>
      <w:r>
        <w:t xml:space="preserve">: </w:t>
      </w:r>
      <w:r>
        <w:t xml:space="preserve">Iacov 2.1-13</w:t>
      </w:r>
      <w:r/>
    </w:p>
    <w:p>
      <w:pPr>
        <w:pStyle w:val="2231"/>
        <w:pBdr/>
        <w:spacing/>
        <w:ind w:firstLine="0"/>
        <w:rPr>
          <w:lang w:val="ro-RO"/>
        </w:rPr>
      </w:pPr>
      <w:r>
        <w:rPr>
          <w:lang w:val="ro-RO"/>
        </w:rPr>
        <w:t xml:space="preserve">Conflicte şi organizare</w:t>
      </w:r>
      <w:r>
        <w:rPr>
          <w:lang w:val="ro-RO"/>
        </w:rPr>
      </w:r>
    </w:p>
    <w:p>
      <w:pPr>
        <w:pStyle w:val="2227"/>
        <w:pBdr/>
        <w:spacing/>
        <w:ind w:firstLine="0"/>
        <w:rPr/>
      </w:pPr>
      <w:r>
        <w:t xml:space="preserve">Conflicte şi rezolvarea lor</w:t>
      </w:r>
      <w:r/>
    </w:p>
    <w:p>
      <w:pPr>
        <w:pStyle w:val="2227"/>
        <w:pBdr/>
        <w:spacing/>
        <w:ind w:firstLine="0"/>
        <w:rPr/>
      </w:pPr>
      <w:r>
        <w:t xml:space="preserve">În Biserică şi în afara Bisericii, în societate, şi rezolvarea lor; </w:t>
      </w:r>
      <w:r>
        <w:t xml:space="preserve">cf: </w:t>
      </w:r>
      <w:r>
        <w:t xml:space="preserve">răscoale, comploturi (linşaj).</w:t>
      </w:r>
      <w:r/>
    </w:p>
    <w:p>
      <w:pPr>
        <w:pStyle w:val="2227"/>
        <w:pBdr/>
        <w:spacing/>
        <w:ind w:firstLine="0"/>
        <w:rPr/>
      </w:pPr>
      <w:r/>
      <w:r/>
    </w:p>
    <w:p>
      <w:pPr>
        <w:pStyle w:val="2227"/>
        <w:pBdr/>
        <w:spacing/>
        <w:ind w:firstLine="0"/>
        <w:rPr/>
      </w:pPr>
      <w:r>
        <w:t xml:space="preserve">Principiile </w:t>
      </w:r>
      <w:r>
        <w:t xml:space="preserve">ierarhiei şi organizării bisericeşti în NT. </w:t>
      </w:r>
      <w:r/>
    </w:p>
    <w:p>
      <w:pPr>
        <w:pStyle w:val="2227"/>
        <w:pBdr/>
        <w:spacing/>
        <w:ind w:firstLine="0"/>
        <w:rPr/>
      </w:pPr>
      <w:r>
        <w:t xml:space="preserve">Apar două oficii: oficiul predicării</w:t>
      </w:r>
      <w:r>
        <w:t xml:space="preserve">, al slujirii religioase,</w:t>
      </w:r>
      <w:r>
        <w:t xml:space="preserve"> şi oficiul carităţii (diaconia), cf. Fapte 6.</w:t>
      </w:r>
      <w:r/>
    </w:p>
    <w:p>
      <w:pPr>
        <w:pStyle w:val="2227"/>
        <w:pBdr/>
        <w:spacing/>
        <w:ind w:firstLine="0"/>
        <w:rPr/>
      </w:pPr>
      <w:r/>
      <w:r/>
    </w:p>
    <w:p>
      <w:pPr>
        <w:pStyle w:val="2227"/>
        <w:pBdr/>
        <w:spacing/>
        <w:ind w:firstLine="0"/>
        <w:rPr/>
      </w:pPr>
      <w:r>
        <w:t xml:space="preserve">Principiul de bază </w:t>
      </w:r>
      <w:r>
        <w:t xml:space="preserve">în NT cu privire la ierarhia bisericească</w:t>
      </w:r>
      <w:r>
        <w:t xml:space="preserve"> este că </w:t>
      </w:r>
      <w:r>
        <w:t xml:space="preserve">oficiile se recunosc şi se acordă pe baza darurilor divine deja primite </w:t>
      </w:r>
      <w:r>
        <w:t xml:space="preserve">de persoanele în cauză </w:t>
      </w:r>
      <w:r>
        <w:t xml:space="preserve">şi că </w:t>
      </w:r>
      <w:r>
        <w:t xml:space="preserve">aceste </w:t>
      </w:r>
      <w:r>
        <w:t xml:space="preserve">sunt complementare, funcţionale (metafora Bisericii văzute ca un trup al cărui cap este Hristos)</w:t>
      </w:r>
      <w:r/>
    </w:p>
    <w:p>
      <w:pPr>
        <w:pStyle w:val="2227"/>
        <w:pBdr/>
        <w:spacing/>
        <w:ind w:firstLine="0" w:left="720"/>
        <w:rPr/>
      </w:pPr>
      <w:r>
        <w:t xml:space="preserve">Efeseni</w:t>
      </w:r>
      <w:r>
        <w:t xml:space="preserve"> 4</w:t>
      </w:r>
      <w:r>
        <w:t xml:space="preserve">.11-13</w:t>
      </w:r>
      <w:r>
        <w:t xml:space="preserve">,</w:t>
      </w:r>
      <w:r/>
    </w:p>
    <w:p>
      <w:pPr>
        <w:pStyle w:val="2227"/>
        <w:pBdr/>
        <w:spacing/>
        <w:ind w:firstLine="0" w:left="720"/>
        <w:rPr/>
      </w:pPr>
      <w:r>
        <w:t xml:space="preserve">Romani</w:t>
      </w:r>
      <w:r>
        <w:t xml:space="preserve"> 12</w:t>
      </w:r>
      <w:r>
        <w:t xml:space="preserve">.</w:t>
      </w:r>
      <w:r>
        <w:t xml:space="preserve">4-8</w:t>
      </w:r>
      <w:r/>
    </w:p>
    <w:p>
      <w:pPr>
        <w:pStyle w:val="2227"/>
        <w:pBdr/>
        <w:spacing/>
        <w:ind w:firstLine="0" w:left="720"/>
        <w:rPr/>
      </w:pPr>
      <w:r>
        <w:t xml:space="preserve">1 Corinteni </w:t>
      </w:r>
      <w:r>
        <w:t xml:space="preserve">12.28 (cf. 12.12-28, metafora trupului)</w:t>
      </w:r>
      <w:r/>
    </w:p>
    <w:p>
      <w:pPr>
        <w:pStyle w:val="2227"/>
        <w:pBdr/>
        <w:spacing/>
        <w:ind w:firstLine="0" w:left="720"/>
        <w:rPr/>
      </w:pPr>
      <w:r>
        <w:t xml:space="preserve">1-2 Timotei, Tit</w:t>
      </w:r>
      <w:r/>
    </w:p>
    <w:p>
      <w:pPr>
        <w:pStyle w:val="2227"/>
        <w:pBdr/>
        <w:spacing/>
        <w:ind w:firstLine="0"/>
        <w:rPr/>
      </w:pPr>
      <w:r/>
      <w:r/>
    </w:p>
    <w:p>
      <w:pPr>
        <w:pStyle w:val="2227"/>
        <w:pBdr/>
        <w:spacing/>
        <w:ind w:firstLine="0"/>
        <w:rPr/>
      </w:pPr>
      <w:r>
        <w:t xml:space="preserve">Termenii ierarhici din NT (pastor, diacon, episcop, prezbiter, preot, au primit în timp diverse şi noi conţinuturi, </w:t>
      </w:r>
      <w:r>
        <w:t xml:space="preserve">specifice, </w:t>
      </w:r>
      <w:r>
        <w:t xml:space="preserve">astfel încât, în prezent slujirile bisericeşti cu acest nume nu mai acoperă decât al modul general, principial, conţinutul slujbelor de atunci. Exemplu: episcop = supraveghetor, supervizor al vieţii spirituale.</w:t>
      </w:r>
      <w:r/>
    </w:p>
    <w:p>
      <w:pPr>
        <w:pStyle w:val="2227"/>
        <w:pBdr/>
        <w:spacing/>
        <w:ind w:firstLine="0"/>
        <w:rPr/>
      </w:pPr>
      <w:r/>
      <w:r/>
    </w:p>
    <w:p>
      <w:pPr>
        <w:pStyle w:val="2230"/>
        <w:pBdr/>
        <w:spacing/>
        <w:ind/>
        <w:rPr>
          <w:lang w:val="ro-RO"/>
        </w:rPr>
      </w:pPr>
      <w:r/>
      <w:bookmarkStart w:id="64" w:name="_Toc252991868"/>
      <w:r>
        <w:rPr>
          <w:lang w:val="ro-RO"/>
        </w:rPr>
        <w:t xml:space="preserve">10.</w:t>
      </w:r>
      <w:r>
        <w:rPr>
          <w:lang w:val="ro-RO"/>
        </w:rPr>
        <w:t xml:space="preserve">2 Relaţii sociale la nivel macrosocial</w:t>
      </w:r>
      <w:bookmarkEnd w:id="64"/>
      <w:r>
        <w:rPr>
          <w:lang w:val="ro-RO"/>
        </w:rPr>
      </w:r>
      <w:r>
        <w:rPr>
          <w:lang w:val="ro-RO"/>
        </w:rPr>
      </w:r>
    </w:p>
    <w:p>
      <w:pPr>
        <w:pStyle w:val="2231"/>
        <w:pBdr/>
        <w:spacing/>
        <w:ind w:firstLine="0"/>
        <w:rPr>
          <w:lang w:val="ro-RO"/>
        </w:rPr>
      </w:pPr>
      <w:r>
        <w:rPr>
          <w:lang w:val="ro-RO"/>
        </w:rPr>
        <w:t xml:space="preserve">Tema persecuţiei</w:t>
      </w:r>
      <w:r>
        <w:rPr>
          <w:lang w:val="ro-RO"/>
        </w:rPr>
      </w:r>
    </w:p>
    <w:p>
      <w:pPr>
        <w:pStyle w:val="2227"/>
        <w:pBdr/>
        <w:spacing/>
        <w:ind w:firstLine="0"/>
        <w:rPr/>
      </w:pPr>
      <w:r>
        <w:t xml:space="preserve">Luca-Fapte şi persecuţia; </w:t>
      </w:r>
      <w:r/>
    </w:p>
    <w:p>
      <w:pPr>
        <w:pStyle w:val="2227"/>
        <w:pBdr/>
        <w:spacing/>
        <w:ind w:firstLine="0"/>
        <w:rPr/>
      </w:pPr>
      <w:r>
        <w:t xml:space="preserve">Pavel şi persecuţia; Pavel şi viaţa în imperiu: </w:t>
      </w:r>
      <w:r/>
    </w:p>
    <w:p>
      <w:pPr>
        <w:pStyle w:val="2227"/>
        <w:pBdr/>
        <w:spacing/>
        <w:ind w:firstLine="0"/>
        <w:rPr/>
      </w:pPr>
      <w:r/>
      <w:r/>
    </w:p>
    <w:p>
      <w:pPr>
        <w:pStyle w:val="2227"/>
        <w:pBdr/>
        <w:spacing/>
        <w:ind w:firstLine="0"/>
        <w:rPr/>
      </w:pPr>
      <w:r>
        <w:t xml:space="preserve">Petru şi mărturia creştinilor în societate (relaţia creştini – imperiu): 1 Petru 3.15; 1 Petru 2.11ff; Romani 13.</w:t>
      </w:r>
      <w:r/>
    </w:p>
    <w:p>
      <w:pPr>
        <w:pStyle w:val="2227"/>
        <w:pBdr/>
        <w:spacing/>
        <w:ind w:firstLine="0"/>
        <w:rPr/>
      </w:pPr>
      <w:r/>
      <w:r/>
    </w:p>
    <w:p>
      <w:pPr>
        <w:pStyle w:val="2231"/>
        <w:pBdr/>
        <w:spacing/>
        <w:ind w:firstLine="0"/>
        <w:rPr>
          <w:lang w:val="ro-RO"/>
        </w:rPr>
      </w:pPr>
      <w:r>
        <w:rPr>
          <w:lang w:val="ro-RO"/>
        </w:rPr>
        <w:t xml:space="preserve">Tema mişcărilor sociale şi mesianice</w:t>
      </w:r>
      <w:r>
        <w:rPr>
          <w:lang w:val="ro-RO"/>
        </w:rPr>
        <w:t xml:space="preserve"> </w:t>
      </w:r>
      <w:r>
        <w:rPr>
          <w:lang w:val="ro-RO"/>
        </w:rPr>
      </w:r>
      <w:r>
        <w:rPr>
          <w:lang w:val="ro-RO"/>
        </w:rPr>
      </w:r>
    </w:p>
    <w:p>
      <w:pPr>
        <w:pStyle w:val="2227"/>
        <w:pBdr/>
        <w:spacing/>
        <w:ind w:firstLine="0"/>
        <w:rPr/>
      </w:pPr>
      <w:r>
        <w:t xml:space="preserve">(cf. Faptele Apostolilor)</w:t>
      </w:r>
      <w:r/>
    </w:p>
    <w:p>
      <w:pPr>
        <w:pStyle w:val="2227"/>
        <w:pBdr/>
        <w:spacing/>
        <w:ind w:firstLine="0"/>
        <w:rPr/>
      </w:pPr>
      <w:r>
        <w:t xml:space="preserve">Fapte 5.33-40, Gamaliel, Teuda şi revoluţia creştină</w:t>
      </w:r>
      <w:r/>
    </w:p>
    <w:p>
      <w:pPr>
        <w:pStyle w:val="2227"/>
        <w:pBdr/>
        <w:spacing/>
        <w:ind w:firstLine="0"/>
        <w:rPr/>
      </w:pPr>
      <w:r>
        <w:t xml:space="preserve">Fapte 16.19-22, Sila şi Pavel, la Filipi</w:t>
      </w:r>
      <w:r/>
    </w:p>
    <w:p>
      <w:pPr>
        <w:pStyle w:val="2227"/>
        <w:pBdr/>
        <w:spacing/>
        <w:ind w:firstLine="0"/>
        <w:rPr/>
      </w:pPr>
      <w:r>
        <w:t xml:space="preserve">Fapte 19.23-32, Pavel la Efes</w:t>
      </w:r>
      <w:r/>
    </w:p>
    <w:p>
      <w:pPr>
        <w:pStyle w:val="2227"/>
        <w:pBdr/>
        <w:spacing/>
        <w:ind w:firstLine="0"/>
        <w:rPr/>
      </w:pPr>
      <w:r>
        <w:t xml:space="preserve">Ioan 11.46-56, Isus acuzat de revoltă, arestarea lui Isus, Ioan 18, Matei 26.47-56; Marcu 14.43-52</w:t>
      </w:r>
      <w:r/>
    </w:p>
    <w:p>
      <w:pPr>
        <w:pStyle w:val="2227"/>
        <w:pBdr/>
        <w:spacing/>
        <w:ind w:firstLine="0"/>
        <w:rPr/>
      </w:pPr>
      <w:r>
        <w:t xml:space="preserve">Luca 22.1-7, trădarea lui Iuda</w:t>
      </w:r>
      <w:r/>
    </w:p>
    <w:p>
      <w:pPr>
        <w:pStyle w:val="2227"/>
        <w:pBdr/>
        <w:spacing/>
        <w:ind w:firstLine="0"/>
        <w:rPr/>
      </w:pPr>
      <w:r>
        <w:t xml:space="preserve">Luca 23.1-25, judecata lui Isus la Pilat, acuzaţia de revoltă</w:t>
      </w:r>
      <w:r/>
    </w:p>
    <w:p>
      <w:pPr>
        <w:pStyle w:val="2227"/>
        <w:pBdr/>
        <w:spacing/>
        <w:ind w:firstLine="0"/>
        <w:rPr/>
      </w:pPr>
      <w:r>
        <w:t xml:space="preserve">Matei 26.58-75, 27.11-32; Marcu 14.53-72, Pilat: Marcu 15.1-22</w:t>
      </w:r>
      <w:r/>
    </w:p>
    <w:p>
      <w:pPr>
        <w:pStyle w:val="2227"/>
        <w:pBdr/>
        <w:spacing/>
        <w:ind w:firstLine="0"/>
        <w:rPr/>
      </w:pPr>
      <w:r>
        <w:t xml:space="preserve">Marcu 12.12, cautau să-l prindă pe Isus.</w:t>
      </w:r>
      <w:r/>
    </w:p>
    <w:p>
      <w:pPr>
        <w:pStyle w:val="2227"/>
        <w:pBdr/>
        <w:spacing/>
        <w:ind w:firstLine="0"/>
        <w:rPr/>
      </w:pPr>
      <w:r/>
      <w:r/>
    </w:p>
    <w:p>
      <w:pPr>
        <w:pStyle w:val="2227"/>
        <w:pBdr/>
        <w:spacing/>
        <w:ind w:firstLine="0"/>
        <w:rPr/>
      </w:pPr>
      <w:r>
        <w:t xml:space="preserve">Isus este un conducător carismatic, religios, dar şi politic.</w:t>
      </w:r>
      <w:r/>
    </w:p>
    <w:p>
      <w:pPr>
        <w:pStyle w:val="2227"/>
        <w:pBdr/>
        <w:spacing/>
        <w:ind w:firstLine="0"/>
        <w:rPr/>
      </w:pPr>
      <w:r>
        <w:t xml:space="preserve">El este perceput de marii preoţi ca un „înşelător” care poate manipula masele  - el şi ucenicii săi. </w:t>
      </w:r>
      <w:r/>
    </w:p>
    <w:p>
      <w:pPr>
        <w:pStyle w:val="2227"/>
        <w:pBdr/>
        <w:spacing/>
        <w:ind w:firstLine="0"/>
        <w:rPr/>
      </w:pPr>
      <w:r/>
      <w:r/>
    </w:p>
    <w:p>
      <w:pPr>
        <w:pStyle w:val="2227"/>
        <w:pBdr/>
        <w:spacing/>
        <w:ind w:firstLine="0"/>
        <w:rPr/>
      </w:pPr>
      <w:r>
        <w:t xml:space="preserve">Cu Pilat el discută subiecte politice şi recunoaşte că este împărat.</w:t>
      </w:r>
      <w:r/>
    </w:p>
    <w:p>
      <w:pPr>
        <w:pStyle w:val="2227"/>
        <w:pBdr/>
        <w:spacing/>
        <w:ind w:firstLine="0"/>
        <w:rPr/>
      </w:pPr>
      <w:r/>
      <w:r/>
    </w:p>
    <w:p>
      <w:pPr>
        <w:pStyle w:val="2227"/>
        <w:pBdr/>
        <w:spacing/>
        <w:ind w:firstLine="0"/>
        <w:rPr/>
      </w:pPr>
      <w:r>
        <w:t xml:space="preserve">Cu marii preoţi, la judecată, discută subiecte teologice şi recunoaşte că este Fiul lui Dumnezeu şi Fiul Omului.</w:t>
      </w:r>
      <w:r/>
    </w:p>
    <w:p>
      <w:pPr>
        <w:pStyle w:val="2227"/>
        <w:pBdr/>
        <w:spacing/>
        <w:ind w:firstLine="0"/>
        <w:rPr/>
      </w:pPr>
      <w:r/>
      <w:r/>
    </w:p>
    <w:p>
      <w:pPr>
        <w:pStyle w:val="2227"/>
        <w:pBdr/>
        <w:spacing/>
        <w:ind w:firstLine="0"/>
        <w:rPr/>
      </w:pPr>
      <w:r>
        <w:t xml:space="preserve">Cu Irod refuză să stea de vorbă.</w:t>
      </w:r>
      <w:r/>
    </w:p>
    <w:p>
      <w:pPr>
        <w:pStyle w:val="2227"/>
        <w:pBdr/>
        <w:spacing/>
        <w:ind w:firstLine="0"/>
        <w:rPr/>
      </w:pPr>
      <w:r/>
      <w:r/>
    </w:p>
    <w:p>
      <w:pPr>
        <w:pStyle w:val="2227"/>
        <w:pBdr/>
        <w:spacing/>
        <w:ind w:firstLine="0"/>
        <w:rPr/>
      </w:pPr>
      <w:r>
        <w:t xml:space="preserve">Isus este perceput ca o ameninţare pentru popor şi Caiafa vrea să îl elimine „ca să supravieţuiască poporul”.</w:t>
      </w:r>
      <w:r/>
    </w:p>
    <w:p>
      <w:pPr>
        <w:pStyle w:val="2227"/>
        <w:pBdr/>
        <w:spacing/>
        <w:ind w:firstLine="0"/>
        <w:rPr/>
      </w:pPr>
      <w:r/>
      <w:r/>
    </w:p>
    <w:p>
      <w:pPr>
        <w:pStyle w:val="2227"/>
        <w:pBdr/>
        <w:spacing/>
        <w:ind w:firstLine="0"/>
        <w:rPr/>
      </w:pPr>
      <w:r>
        <w:t xml:space="preserve">Isus şi-a conceput mişcarea ca pe o mişcare revoluţionară: oamenii din echipa de apostoli erau 12 la număr (n</w:t>
      </w:r>
      <w:r>
        <w:t xml:space="preserve">umăr revoluţionar, corespunzător celor 12 seminţii din Israel), aveau o formaţie diferită şi nu foarte paşnică (Simon zelotul, Ioan şi Iacov – fiii tunetului, Boanerghes, care au vrut să coboare foc din cer peste nişte samariteni care i-au refuzat lui Isus</w:t>
      </w:r>
      <w:r>
        <w:t xml:space="preserve"> intrarea în satul lor; Petru – care </w:t>
      </w:r>
      <w:r>
        <w:t xml:space="preserve">era impulsiv</w:t>
      </w:r>
      <w:r>
        <w:t xml:space="preserve">, etc.).</w:t>
      </w:r>
      <w:r>
        <w:t xml:space="preserve"> Grupul celor 12 apostoli avea formatul unui guvern „în umbră”, în aşteptare. Cei 12 s-au şi certat pentru stabilirea celui care are cea mai mare autoritate. Discuţie pe Iuda, Matei, Petru, Iacov şi Ioan.</w:t>
      </w:r>
      <w:r/>
    </w:p>
    <w:p>
      <w:pPr>
        <w:pStyle w:val="2227"/>
        <w:pBdr/>
        <w:spacing/>
        <w:ind w:firstLine="0"/>
        <w:rPr/>
      </w:pPr>
      <w:r/>
      <w:r/>
    </w:p>
    <w:p>
      <w:pPr>
        <w:pStyle w:val="2227"/>
        <w:pBdr/>
        <w:spacing/>
        <w:ind w:firstLine="0"/>
        <w:rPr/>
      </w:pPr>
      <w:r>
        <w:t xml:space="preserve">În timpul lucrării pământeşti</w:t>
      </w:r>
      <w:r>
        <w:t xml:space="preserve">, Isus acceptat că este învăţător şi legiferator, ca Moise şi mai mare decât Moise. În ce priveşte oficiile de judecător se pare că a evitat să se substituie sistemului juridic şi nu şi-a arogat poziţia de judecător sau executor juridic (Luca</w:t>
      </w:r>
      <w:r>
        <w:t xml:space="preserve"> 12.13-14</w:t>
      </w:r>
      <w:r>
        <w:t xml:space="preserve">, Ioan 8)</w:t>
      </w:r>
      <w:r>
        <w:t xml:space="preserve"> – deşi admite că în final el este judecătorul tuturor</w:t>
      </w:r>
      <w:r>
        <w:t xml:space="preserve">. Isus a emis judecăţi morale şi nu o dată şi-a intimidat auditoriul (Luca 4; Ioan 8). În Ioan 8 a iniţiat o dezbatere morală prin care a ieşit învingător, dizolvând adunarea gata de linşaj (omorârea cu pietre a femeii adultere).</w:t>
      </w:r>
      <w:r/>
    </w:p>
    <w:p>
      <w:pPr>
        <w:pStyle w:val="2227"/>
        <w:pBdr/>
        <w:spacing/>
        <w:ind w:firstLine="0"/>
        <w:rPr/>
      </w:pPr>
      <w:r/>
      <w:r/>
    </w:p>
    <w:p>
      <w:pPr>
        <w:pStyle w:val="2227"/>
        <w:pBdr/>
        <w:spacing/>
        <w:ind w:firstLine="0"/>
        <w:rPr/>
      </w:pPr>
      <w:r>
        <w:t xml:space="preserve">Isus </w:t>
      </w:r>
      <w:r>
        <w:t xml:space="preserve">era un co</w:t>
      </w:r>
      <w:r>
        <w:t xml:space="preserve">nducător radical, profund etic. Predica înnoirea relaţiilor umane şi de aici, schimbarea societăţii. Este teoreticianul mişcării de opoziţie non-violentă (tratarea paşnică a abuzului; vindecarea robului marelui preot, a cărui ureche a tăiat-o Petru, etc.).</w:t>
      </w:r>
      <w:r/>
    </w:p>
    <w:p>
      <w:pPr>
        <w:pStyle w:val="2227"/>
        <w:pBdr/>
        <w:spacing/>
        <w:ind w:firstLine="0"/>
        <w:rPr/>
      </w:pPr>
      <w:r/>
      <w:r/>
    </w:p>
    <w:p>
      <w:pPr>
        <w:pStyle w:val="2227"/>
        <w:pBdr/>
        <w:spacing/>
        <w:ind w:firstLine="0"/>
        <w:rPr/>
      </w:pPr>
      <w:r>
        <w:t xml:space="preserve">Isus este un conducător carismatic, nerăzbunător, tăcut şi ascultător de Dumnezeu, dar asertiv. </w:t>
      </w:r>
      <w:r>
        <w:t xml:space="preserve"> Vezi</w:t>
      </w:r>
      <w:r>
        <w:t xml:space="preserve"> Ioan 18.22-23.</w:t>
      </w:r>
      <w:r/>
    </w:p>
    <w:p>
      <w:pPr>
        <w:pStyle w:val="2231"/>
        <w:pBdr/>
        <w:spacing/>
        <w:ind w:firstLine="0"/>
        <w:rPr>
          <w:lang w:val="ro-RO"/>
        </w:rPr>
      </w:pPr>
      <w:r>
        <w:rPr>
          <w:lang w:val="ro-RO"/>
        </w:rPr>
        <w:t xml:space="preserve">Tema proceselor</w:t>
      </w:r>
      <w:r>
        <w:rPr>
          <w:lang w:val="ro-RO"/>
        </w:rPr>
        <w:t xml:space="preserve"> </w:t>
      </w:r>
      <w:r>
        <w:rPr>
          <w:lang w:val="ro-RO"/>
        </w:rPr>
        <w:t xml:space="preserve">şi a tribunalului</w:t>
      </w:r>
      <w:r>
        <w:rPr>
          <w:lang w:val="ro-RO"/>
        </w:rPr>
        <w:t xml:space="preserve"> </w:t>
      </w:r>
      <w:r>
        <w:rPr>
          <w:lang w:val="ro-RO"/>
        </w:rPr>
      </w:r>
      <w:r>
        <w:rPr>
          <w:lang w:val="ro-RO"/>
        </w:rPr>
      </w:r>
    </w:p>
    <w:p>
      <w:pPr>
        <w:pStyle w:val="2227"/>
        <w:pBdr/>
        <w:spacing/>
        <w:ind w:firstLine="0"/>
        <w:rPr/>
      </w:pPr>
      <w:r>
        <w:t xml:space="preserve">(Luca şi Ioan</w:t>
      </w:r>
      <w:r>
        <w:t xml:space="preserve">; Pavel</w:t>
      </w:r>
      <w:r>
        <w:t xml:space="preserve">);</w:t>
      </w:r>
      <w:r>
        <w:t xml:space="preserve"> </w:t>
      </w:r>
      <w:r/>
    </w:p>
    <w:p>
      <w:pPr>
        <w:pStyle w:val="2227"/>
        <w:pBdr/>
        <w:spacing/>
        <w:ind w:firstLine="0"/>
        <w:rPr/>
      </w:pPr>
      <w:r>
        <w:t xml:space="preserve">Sinoptici-Ioan</w:t>
      </w:r>
      <w:r>
        <w:t xml:space="preserve">: </w:t>
      </w:r>
      <w:r/>
    </w:p>
    <w:p>
      <w:pPr>
        <w:pStyle w:val="2227"/>
        <w:pBdr/>
        <w:spacing/>
        <w:ind w:firstLine="720"/>
        <w:rPr/>
      </w:pPr>
      <w:r>
        <w:t xml:space="preserve">Judecata lui Isus;</w:t>
      </w:r>
      <w:r/>
    </w:p>
    <w:p>
      <w:pPr>
        <w:pStyle w:val="2227"/>
        <w:pBdr/>
        <w:spacing/>
        <w:ind w:firstLine="0"/>
        <w:rPr/>
      </w:pPr>
      <w:r/>
      <w:r/>
    </w:p>
    <w:p>
      <w:pPr>
        <w:pStyle w:val="2227"/>
        <w:pBdr/>
        <w:spacing/>
        <w:ind w:firstLine="0"/>
        <w:rPr/>
      </w:pPr>
      <w:r>
        <w:t xml:space="preserve">Fapte</w:t>
      </w:r>
      <w:r>
        <w:t xml:space="preserve"> Apostolilor</w:t>
      </w:r>
      <w:r>
        <w:t xml:space="preserve">,</w:t>
      </w:r>
      <w:r/>
    </w:p>
    <w:p>
      <w:pPr>
        <w:pStyle w:val="2227"/>
        <w:pBdr/>
        <w:spacing/>
        <w:ind w:firstLine="0" w:left="720"/>
        <w:rPr/>
      </w:pPr>
      <w:r>
        <w:t xml:space="preserve">Fapte 4.1-21, Ioan şi Petru, Ierusalim</w:t>
      </w:r>
      <w:r>
        <w:t xml:space="preserve"> (sinedriu)</w:t>
      </w:r>
      <w:r/>
    </w:p>
    <w:p>
      <w:pPr>
        <w:pStyle w:val="2227"/>
        <w:pBdr/>
        <w:spacing/>
        <w:ind w:firstLine="0" w:left="720"/>
        <w:rPr/>
      </w:pPr>
      <w:r>
        <w:t xml:space="preserve">Fapte </w:t>
      </w:r>
      <w:r>
        <w:t xml:space="preserve">6.12-7</w:t>
      </w:r>
      <w:r>
        <w:t xml:space="preserve">.60, Ştefan, Ierusalim</w:t>
      </w:r>
      <w:r>
        <w:t xml:space="preserve"> (sinedriu)</w:t>
      </w:r>
      <w:r/>
    </w:p>
    <w:p>
      <w:pPr>
        <w:pStyle w:val="2227"/>
        <w:pBdr/>
        <w:spacing/>
        <w:ind w:firstLine="0" w:left="720"/>
        <w:rPr/>
      </w:pPr>
      <w:r>
        <w:t xml:space="preserve">Fapte 12, 1-21, Iacov şi Petru, Ierusalim</w:t>
      </w:r>
      <w:r>
        <w:t xml:space="preserve"> (Irod)</w:t>
      </w:r>
      <w:r/>
    </w:p>
    <w:p>
      <w:pPr>
        <w:pStyle w:val="2227"/>
        <w:pBdr/>
        <w:spacing/>
        <w:ind w:firstLine="0" w:left="720"/>
        <w:rPr/>
      </w:pPr>
      <w:r>
        <w:t xml:space="preserve">Fapte 16.20-40, </w:t>
      </w:r>
      <w:r>
        <w:t xml:space="preserve">Pavel şi Sila, Filipi (fără judecată)</w:t>
      </w:r>
      <w:r/>
    </w:p>
    <w:p>
      <w:pPr>
        <w:pStyle w:val="2227"/>
        <w:pBdr/>
        <w:spacing/>
        <w:ind w:firstLine="0" w:left="720"/>
        <w:rPr/>
      </w:pPr>
      <w:r/>
      <w:r/>
    </w:p>
    <w:p>
      <w:pPr>
        <w:pStyle w:val="2227"/>
        <w:pBdr/>
        <w:spacing/>
        <w:ind w:firstLine="0" w:left="720"/>
        <w:rPr/>
      </w:pPr>
      <w:r>
        <w:t xml:space="preserve">Fapte 18.12-17</w:t>
      </w:r>
      <w:r>
        <w:t xml:space="preserve">, Sosten, Corint</w:t>
      </w:r>
      <w:r>
        <w:t xml:space="preserve"> (tribunal roman)</w:t>
      </w:r>
      <w:r/>
    </w:p>
    <w:p>
      <w:pPr>
        <w:pStyle w:val="2227"/>
        <w:pBdr/>
        <w:spacing/>
        <w:ind w:firstLine="0" w:left="720"/>
        <w:rPr/>
      </w:pPr>
      <w:r>
        <w:t xml:space="preserve">Fapte 19.23</w:t>
      </w:r>
      <w:r>
        <w:t xml:space="preserve">-41</w:t>
      </w:r>
      <w:r>
        <w:t xml:space="preserve">, Pavel în Efes</w:t>
      </w:r>
      <w:r>
        <w:t xml:space="preserve"> (tribunal roman)</w:t>
      </w:r>
      <w:r/>
    </w:p>
    <w:p>
      <w:pPr>
        <w:pStyle w:val="2227"/>
        <w:pBdr/>
        <w:spacing/>
        <w:ind w:firstLine="0" w:left="720"/>
        <w:rPr/>
      </w:pPr>
      <w:r>
        <w:t xml:space="preserve">Fapte 22.24-30, Arestarea lui Pavel, Ierusalim</w:t>
      </w:r>
      <w:r>
        <w:t xml:space="preserve"> (sinedriu)</w:t>
      </w:r>
      <w:r/>
    </w:p>
    <w:p>
      <w:pPr>
        <w:pStyle w:val="2227"/>
        <w:pBdr/>
        <w:spacing/>
        <w:ind w:firstLine="0" w:left="720"/>
        <w:rPr/>
      </w:pPr>
      <w:r>
        <w:t xml:space="preserve">Fapte 23.1-10, Pavel, în Ierusalim (sinedriu)</w:t>
      </w:r>
      <w:r/>
    </w:p>
    <w:p>
      <w:pPr>
        <w:pStyle w:val="2227"/>
        <w:pBdr/>
        <w:spacing/>
        <w:ind w:firstLine="0" w:left="720"/>
        <w:rPr/>
      </w:pPr>
      <w:r>
        <w:t xml:space="preserve">Fapte 24.1-27</w:t>
      </w:r>
      <w:r>
        <w:t xml:space="preserve"> Pavel</w:t>
      </w:r>
      <w:r>
        <w:t xml:space="preserve"> la Cez</w:t>
      </w:r>
      <w:r>
        <w:t xml:space="preserve">are</w:t>
      </w:r>
      <w:r>
        <w:t xml:space="preserve">e</w:t>
      </w:r>
      <w:r>
        <w:t xml:space="preserve">a, înaintea lui Felix</w:t>
      </w:r>
      <w:r>
        <w:t xml:space="preserve"> (tribunal roman)</w:t>
      </w:r>
      <w:r/>
    </w:p>
    <w:p>
      <w:pPr>
        <w:pStyle w:val="2227"/>
        <w:pBdr/>
        <w:spacing/>
        <w:ind w:firstLine="0" w:left="720"/>
        <w:rPr/>
      </w:pPr>
      <w:r>
        <w:t xml:space="preserve">Fapte 25.</w:t>
      </w:r>
      <w:r>
        <w:t xml:space="preserve">6-26.32, Pavel, la Cezareea, înaintea lui Festus şi Agripa (tribunal roman)</w:t>
      </w:r>
      <w:r/>
    </w:p>
    <w:p>
      <w:pPr>
        <w:pStyle w:val="2227"/>
        <w:pBdr/>
        <w:spacing/>
        <w:ind w:firstLine="0"/>
        <w:rPr/>
      </w:pPr>
      <w:r/>
      <w:r/>
    </w:p>
    <w:p>
      <w:pPr>
        <w:pStyle w:val="2227"/>
        <w:pBdr/>
        <w:spacing/>
        <w:ind w:firstLine="0"/>
        <w:rPr/>
      </w:pPr>
      <w:r>
        <w:t xml:space="preserve">Epistolele pauline</w:t>
      </w:r>
      <w:r/>
    </w:p>
    <w:p>
      <w:pPr>
        <w:pStyle w:val="2227"/>
        <w:pBdr/>
        <w:spacing/>
        <w:ind w:firstLine="0" w:left="720"/>
        <w:rPr/>
      </w:pPr>
      <w:r>
        <w:t xml:space="preserve">1 Corinteni</w:t>
      </w:r>
      <w:r>
        <w:t xml:space="preserve"> </w:t>
      </w:r>
      <w:r/>
    </w:p>
    <w:p>
      <w:pPr>
        <w:pStyle w:val="2227"/>
        <w:pBdr/>
        <w:spacing/>
        <w:ind w:firstLine="0" w:left="720"/>
        <w:rPr/>
      </w:pPr>
      <w:r>
        <w:t xml:space="preserve">1 Cor. 4,</w:t>
      </w:r>
      <w:r>
        <w:t xml:space="preserve"> judecata de sine şi de alţii</w:t>
      </w:r>
      <w:r/>
    </w:p>
    <w:p>
      <w:pPr>
        <w:pStyle w:val="2227"/>
        <w:pBdr/>
        <w:spacing/>
        <w:ind w:firstLine="0" w:left="720"/>
        <w:rPr/>
      </w:pPr>
      <w:r>
        <w:t xml:space="preserve">1 Cor. 5.10-12; 6.1-10, judecata la tribunale păgâne; tribunalele interne)</w:t>
      </w:r>
      <w:r/>
    </w:p>
    <w:p>
      <w:pPr>
        <w:pStyle w:val="2227"/>
        <w:pBdr/>
        <w:spacing/>
        <w:ind w:firstLine="0" w:left="720"/>
        <w:rPr/>
      </w:pPr>
      <w:r>
        <w:t xml:space="preserve">1 Cor. 11, </w:t>
      </w:r>
      <w:r>
        <w:t xml:space="preserve">cina Domnului; portul femeilor.</w:t>
      </w:r>
      <w:r/>
    </w:p>
    <w:p>
      <w:pPr>
        <w:pStyle w:val="2227"/>
        <w:pBdr/>
        <w:spacing/>
        <w:ind w:firstLine="0" w:left="720"/>
        <w:rPr/>
      </w:pPr>
      <w:r>
        <w:t xml:space="preserve">integrarea</w:t>
      </w:r>
      <w:r>
        <w:t xml:space="preserve"> </w:t>
      </w:r>
      <w:r>
        <w:t xml:space="preserve">populaţiilor</w:t>
      </w:r>
      <w:r>
        <w:t xml:space="preserve"> paria (samariteni; „păcătoşii”; sinopticii şi Ioan)</w:t>
      </w:r>
      <w:r>
        <w:t xml:space="preserve">;</w:t>
      </w:r>
      <w:r/>
    </w:p>
    <w:p>
      <w:pPr>
        <w:pStyle w:val="2227"/>
        <w:pBdr/>
        <w:spacing/>
        <w:ind w:firstLine="0" w:left="720"/>
        <w:rPr/>
      </w:pPr>
      <w:r/>
      <w:r/>
    </w:p>
    <w:p>
      <w:pPr>
        <w:pStyle w:val="2227"/>
        <w:pBdr/>
        <w:spacing/>
        <w:ind w:firstLine="0" w:left="720"/>
        <w:rPr/>
      </w:pPr>
      <w:r>
        <w:t xml:space="preserve">Filipeni </w:t>
      </w:r>
      <w:r>
        <w:t xml:space="preserve">1.12-26, judecata lui Pavel, în Roma</w:t>
      </w:r>
      <w:r/>
    </w:p>
    <w:p>
      <w:pPr>
        <w:pStyle w:val="2227"/>
        <w:pBdr/>
        <w:spacing/>
        <w:ind w:firstLine="0"/>
        <w:rPr/>
      </w:pPr>
      <w:r/>
      <w:r/>
    </w:p>
    <w:p>
      <w:pPr>
        <w:pStyle w:val="2229"/>
        <w:pBdr/>
        <w:spacing/>
        <w:ind w:firstLine="0"/>
        <w:rPr/>
      </w:pPr>
      <w:r>
        <w:br w:type="page" w:clear="all"/>
      </w:r>
      <w:bookmarkStart w:id="65" w:name="_Toc252991869"/>
      <w:r>
        <w:t xml:space="preserve">Capitolul 11</w:t>
      </w:r>
      <w:r>
        <w:t xml:space="preserve">. NT şi politicile familiale</w:t>
      </w:r>
      <w:bookmarkEnd w:id="65"/>
      <w:r/>
      <w:r/>
    </w:p>
    <w:p>
      <w:pPr>
        <w:pStyle w:val="2227"/>
        <w:pBdr/>
        <w:spacing/>
        <w:ind w:firstLine="0"/>
        <w:rPr/>
      </w:pPr>
      <w:r/>
      <w:r/>
    </w:p>
    <w:p>
      <w:pPr>
        <w:pStyle w:val="2227"/>
        <w:pBdr/>
        <w:spacing/>
        <w:ind w:firstLine="0"/>
        <w:rPr/>
      </w:pPr>
      <w:r>
        <w:t xml:space="preserve">Familia este un factor politic activ în supravieţuirea unei societăţi. </w:t>
      </w:r>
      <w:r>
        <w:t xml:space="preserve">Aici se realizează </w:t>
      </w:r>
      <w:r>
        <w:t xml:space="preserve">supravieţuirea biologică şi transmiterea de valori culturale, aici se conturează iden</w:t>
      </w:r>
      <w:r>
        <w:t xml:space="preserve">titatea şi principiile generaţiei următoare</w:t>
      </w:r>
      <w:r>
        <w:t xml:space="preserve">.</w:t>
      </w:r>
      <w:r>
        <w:t xml:space="preserve"> Familia asigură, deci materialul şi principiile </w:t>
      </w:r>
      <w:r>
        <w:t xml:space="preserve">cu</w:t>
      </w:r>
      <w:r>
        <w:t xml:space="preserve"> care se vor construi idealurile politice şi politicile oricărei organizaţii.</w:t>
      </w:r>
      <w:r/>
    </w:p>
    <w:p>
      <w:pPr>
        <w:pStyle w:val="2227"/>
        <w:pBdr/>
        <w:spacing/>
        <w:ind/>
        <w:rPr/>
      </w:pPr>
      <w:r>
        <w:t xml:space="preserve">Deşi toate so</w:t>
      </w:r>
      <w:r>
        <w:t xml:space="preserve">ciet</w:t>
      </w:r>
      <w:r>
        <w:t xml:space="preserve">ăţile urmăresc continuitatea</w:t>
      </w:r>
      <w:r>
        <w:t xml:space="preserve">, supravieţuirea, modelele de familie sunt variate. Cel mai simplu model, care asigură funcţionalitatea de bază a reproducerii este familia monogamă, soţ-soţie-copil. Pot exista, însă, şi alte formule: familia poligamă </w:t>
      </w:r>
      <w:r>
        <w:t xml:space="preserve">şi familia extinsă </w:t>
      </w:r>
      <w:r>
        <w:t xml:space="preserve">(poligamia, poliandria), poligamia în serie (divorţ repetat şi</w:t>
      </w:r>
      <w:r>
        <w:t xml:space="preserve"> recăsătorire), relaţii de grup </w:t>
      </w:r>
      <w:r>
        <w:t xml:space="preserve">acceptate social </w:t>
      </w:r>
      <w:r>
        <w:t xml:space="preserve">(cum se argumenta în Grecia că ar fi recomandate: Platon, Aristotel, Lycurg, considerau că bărbaţii şi femeile pot trăi în grupuri separate, şi se pot întâlni pentru reproducere sau intimităţi fără a angaja relaţii personale de lungă durată). </w:t>
      </w:r>
      <w:r>
        <w:t xml:space="preserve">Relaţiile neacceptat social sunt privite ca abateri, ca imorale, şi devin obiectul evaluărilor politice. </w:t>
      </w:r>
      <w:r/>
    </w:p>
    <w:p>
      <w:pPr>
        <w:pStyle w:val="2227"/>
        <w:pBdr/>
        <w:spacing/>
        <w:ind/>
        <w:rPr/>
      </w:pPr>
      <w:r>
        <w:t xml:space="preserve">Din punctul acesta de vedere, </w:t>
      </w:r>
      <w:r>
        <w:t xml:space="preserve">creştinismul foloseşte </w:t>
      </w:r>
      <w:r>
        <w:t xml:space="preserve">câteva principii şi modele de bază, conform moştenirii iudaice:</w:t>
      </w:r>
      <w:r/>
    </w:p>
    <w:p>
      <w:pPr>
        <w:pStyle w:val="2227"/>
        <w:pBdr/>
        <w:spacing/>
        <w:ind/>
        <w:rPr/>
      </w:pPr>
      <w:r/>
      <w:r/>
    </w:p>
    <w:p>
      <w:pPr>
        <w:pStyle w:val="2227"/>
        <w:numPr>
          <w:ilvl w:val="0"/>
          <w:numId w:val="3"/>
        </w:numPr>
        <w:pBdr/>
        <w:spacing/>
        <w:ind/>
        <w:rPr/>
      </w:pPr>
      <w:r>
        <w:t xml:space="preserve">Modelul şi principiul creaţiei. Modelul treimic. Masculinitate şi Feminitate.</w:t>
      </w:r>
      <w:r/>
    </w:p>
    <w:p>
      <w:pPr>
        <w:pStyle w:val="2227"/>
        <w:numPr>
          <w:ilvl w:val="0"/>
          <w:numId w:val="3"/>
        </w:numPr>
        <w:pBdr/>
        <w:spacing/>
        <w:ind/>
        <w:rPr/>
      </w:pPr>
      <w:r>
        <w:t xml:space="preserve">Modelul şi principiul Hristic</w:t>
      </w:r>
      <w:r/>
    </w:p>
    <w:p>
      <w:pPr>
        <w:pStyle w:val="2227"/>
        <w:numPr>
          <w:ilvl w:val="0"/>
          <w:numId w:val="3"/>
        </w:numPr>
        <w:pBdr/>
        <w:spacing/>
        <w:ind/>
        <w:rPr/>
      </w:pPr>
      <w:r>
        <w:t xml:space="preserve">Modelul şi principiul emancipării femeii</w:t>
      </w:r>
      <w:r/>
    </w:p>
    <w:p>
      <w:pPr>
        <w:pStyle w:val="2227"/>
        <w:pBdr/>
        <w:spacing/>
        <w:ind w:firstLine="0" w:left="648"/>
        <w:rPr/>
      </w:pPr>
      <w:r>
        <w:t xml:space="preserve">Ontologic şi funcţional.</w:t>
      </w:r>
      <w:r/>
    </w:p>
    <w:p>
      <w:pPr>
        <w:pStyle w:val="2227"/>
        <w:numPr>
          <w:ilvl w:val="0"/>
          <w:numId w:val="3"/>
        </w:numPr>
        <w:pBdr/>
        <w:spacing/>
        <w:ind/>
        <w:rPr/>
      </w:pPr>
      <w:r>
        <w:t xml:space="preserve">Modelul şi principiul realismului</w:t>
      </w:r>
      <w:r/>
    </w:p>
    <w:p>
      <w:pPr>
        <w:pStyle w:val="2227"/>
        <w:pBdr/>
        <w:spacing/>
        <w:ind w:firstLine="0" w:left="648"/>
        <w:rPr/>
      </w:pPr>
      <w:r>
        <w:t xml:space="preserve">Prevederi pentru o umanitate imperfectă.</w:t>
      </w:r>
      <w:r/>
    </w:p>
    <w:p>
      <w:pPr>
        <w:pStyle w:val="2227"/>
        <w:numPr>
          <w:ilvl w:val="0"/>
          <w:numId w:val="3"/>
        </w:numPr>
        <w:pBdr/>
        <w:spacing/>
        <w:ind/>
        <w:rPr/>
      </w:pPr>
      <w:r>
        <w:t xml:space="preserve">Modelul şi principiul capului (autorităţii)</w:t>
      </w:r>
      <w:r/>
    </w:p>
    <w:p>
      <w:pPr>
        <w:pStyle w:val="2227"/>
        <w:pBdr/>
        <w:spacing/>
        <w:ind w:firstLine="0" w:left="648"/>
        <w:rPr/>
      </w:pPr>
      <w:r>
        <w:t xml:space="preserve">Principiul responsabilităţii personale faţă de divinitate.</w:t>
      </w:r>
      <w:r/>
    </w:p>
    <w:p>
      <w:pPr>
        <w:pStyle w:val="2227"/>
        <w:pBdr/>
        <w:spacing/>
        <w:ind w:firstLine="0" w:left="288"/>
        <w:rPr/>
      </w:pPr>
      <w:r/>
      <w:r/>
    </w:p>
    <w:p>
      <w:pPr>
        <w:pStyle w:val="2229"/>
        <w:pBdr/>
        <w:spacing/>
        <w:ind w:firstLine="0"/>
        <w:rPr/>
      </w:pPr>
      <w:r/>
      <w:bookmarkStart w:id="66" w:name="_Toc252991870"/>
      <w:r>
        <w:t xml:space="preserve">Capitolul 12</w:t>
      </w:r>
      <w:r>
        <w:t xml:space="preserve">. </w:t>
      </w:r>
      <w:r>
        <w:t xml:space="preserve">Teologia </w:t>
      </w:r>
      <w:r>
        <w:t xml:space="preserve">NT şi </w:t>
      </w:r>
      <w:r>
        <w:t xml:space="preserve">antropologia</w:t>
      </w:r>
      <w:bookmarkEnd w:id="66"/>
      <w:r>
        <w:t xml:space="preserve"> </w:t>
      </w:r>
      <w:r/>
    </w:p>
    <w:p>
      <w:pPr>
        <w:pStyle w:val="2227"/>
        <w:pBdr/>
        <w:spacing/>
        <w:ind/>
        <w:rPr/>
      </w:pPr>
      <w:r/>
      <w:r/>
    </w:p>
    <w:p>
      <w:pPr>
        <w:pStyle w:val="2227"/>
        <w:pBdr/>
        <w:spacing/>
        <w:ind w:firstLine="0"/>
        <w:rPr/>
      </w:pPr>
      <w:r>
        <w:t xml:space="preserve">În fundamentele politicii NT intră concepţia despre om şi despre destinul său. Câteva teme importanta se află într-o relaţie specială: c</w:t>
      </w:r>
      <w:r>
        <w:t xml:space="preserve">reaţie, antropologie, istorie, politică, escatologie.</w:t>
      </w:r>
      <w:r/>
    </w:p>
    <w:p>
      <w:pPr>
        <w:pStyle w:val="2227"/>
        <w:pBdr/>
        <w:spacing/>
        <w:ind/>
        <w:rPr/>
      </w:pPr>
      <w:r/>
      <w:r/>
    </w:p>
    <w:p>
      <w:pPr>
        <w:pStyle w:val="2230"/>
        <w:pBdr/>
        <w:spacing/>
        <w:ind/>
        <w:rPr>
          <w:lang w:val="ro-RO"/>
        </w:rPr>
      </w:pPr>
      <w:r/>
      <w:bookmarkStart w:id="67" w:name="_Toc252991871"/>
      <w:r>
        <w:rPr>
          <w:lang w:val="ro-RO"/>
        </w:rPr>
        <w:t xml:space="preserve">12</w:t>
      </w:r>
      <w:r>
        <w:rPr>
          <w:lang w:val="ro-RO"/>
        </w:rPr>
        <w:t xml:space="preserve">.1 Antropologie h</w:t>
      </w:r>
      <w:r>
        <w:rPr>
          <w:lang w:val="ro-RO"/>
        </w:rPr>
        <w:t xml:space="preserve">ristică</w:t>
      </w:r>
      <w:bookmarkEnd w:id="67"/>
      <w:r>
        <w:rPr>
          <w:lang w:val="ro-RO"/>
        </w:rPr>
      </w:r>
      <w:r>
        <w:rPr>
          <w:lang w:val="ro-RO"/>
        </w:rPr>
      </w:r>
    </w:p>
    <w:p>
      <w:pPr>
        <w:pStyle w:val="2227"/>
        <w:pBdr/>
        <w:spacing/>
        <w:ind w:firstLine="0"/>
        <w:rPr/>
      </w:pPr>
      <w:r>
        <w:t xml:space="preserve">Întrucât politica se face cu oamenii, este important să se înţeleagă percepţia NT cu privire la existenţa şi destinul umanităţii. </w:t>
      </w:r>
      <w:r/>
    </w:p>
    <w:p>
      <w:pPr>
        <w:pStyle w:val="2227"/>
        <w:pBdr/>
        <w:spacing/>
        <w:ind/>
        <w:rPr/>
      </w:pPr>
      <w:r>
        <w:t xml:space="preserve">Datele antropologiei s-au modificat odată cu întruparea lui Isus Hristos. </w:t>
      </w:r>
      <w:r>
        <w:t xml:space="preserve">Se poate vorbi despre afirmarea potenţialului umanităţii în termeni noi. </w:t>
      </w:r>
      <w:r>
        <w:t xml:space="preserve">NT</w:t>
      </w:r>
      <w:r>
        <w:t xml:space="preserve"> vorbeşte, astfel, despre o creaţie nouă în Hristos (1 Cor.</w:t>
      </w:r>
      <w:r>
        <w:t xml:space="preserve"> </w:t>
      </w:r>
      <w:r>
        <w:t xml:space="preserve">5.17) sau despre un viitor măreţ, </w:t>
      </w:r>
      <w:r>
        <w:t xml:space="preserve">misterios, </w:t>
      </w:r>
      <w:r>
        <w:t xml:space="preserve">încă neştiut</w:t>
      </w:r>
      <w:r>
        <w:t xml:space="preserve">, pe care oamenii credincioşi în Hristos în vor avea la venirea lui Hristos</w:t>
      </w:r>
      <w:r>
        <w:t xml:space="preserve"> (1Ioan 3.1). </w:t>
      </w:r>
      <w:r/>
    </w:p>
    <w:p>
      <w:pPr>
        <w:pStyle w:val="2227"/>
        <w:pBdr/>
        <w:spacing/>
        <w:ind/>
        <w:rPr/>
      </w:pPr>
      <w:r>
        <w:t xml:space="preserve">O altă dată esenţială </w:t>
      </w:r>
      <w:r>
        <w:t xml:space="preserve">a concepţiei NT </w:t>
      </w:r>
      <w:r>
        <w:t xml:space="preserve">este schimbarea dispensaţiei, a „iconomiei”, a regimului legăturii între Duhul Sfânt şi om. Ziua Rusaliilor (Cincizecime) este </w:t>
      </w:r>
      <w:r>
        <w:t xml:space="preserve">celebrarea acestei schimbări şi „începutul” Bisericii. Oamenii au </w:t>
      </w:r>
      <w:r>
        <w:t xml:space="preserve">un </w:t>
      </w:r>
      <w:r>
        <w:t xml:space="preserve">alt mod de a lua decizii, alte motivaţii, nu doar preferinţele personale, ci şi perspectiva divină</w:t>
      </w:r>
      <w:r>
        <w:t xml:space="preserve"> şi chiar participarea divină</w:t>
      </w:r>
      <w:r>
        <w:t xml:space="preserve">. </w:t>
      </w:r>
      <w:r>
        <w:t xml:space="preserve">Cf. Fapte 15.28; Fapte 13.2.</w:t>
      </w:r>
      <w:r/>
    </w:p>
    <w:p>
      <w:pPr>
        <w:pStyle w:val="2227"/>
        <w:pBdr/>
        <w:spacing/>
        <w:ind/>
        <w:rPr/>
      </w:pPr>
      <w:r>
        <w:t xml:space="preserve">Posibilitatea învierii şi a eternităţii, schimbă datele problemei. Angoasa existenţială </w:t>
      </w:r>
      <w:r>
        <w:t xml:space="preserve">îşi pierde din intensitate</w:t>
      </w:r>
      <w:r>
        <w:t xml:space="preserve">, presiunea prezentului </w:t>
      </w:r>
      <w:r>
        <w:t xml:space="preserve">îmbracă </w:t>
      </w:r>
      <w:r>
        <w:t xml:space="preserve">alte forme, capacitatea de planificare </w:t>
      </w:r>
      <w:r>
        <w:t xml:space="preserve">a vieţii </w:t>
      </w:r>
      <w:r>
        <w:t xml:space="preserve">ia alte forme.</w:t>
      </w:r>
      <w:r>
        <w:t xml:space="preserve"> Toate acestea duc la altă politică.</w:t>
      </w:r>
      <w:r/>
    </w:p>
    <w:p>
      <w:pPr>
        <w:pStyle w:val="2227"/>
        <w:pBdr/>
        <w:spacing/>
        <w:ind/>
        <w:rPr/>
      </w:pPr>
      <w:r/>
      <w:r/>
    </w:p>
    <w:p>
      <w:pPr>
        <w:pStyle w:val="2227"/>
        <w:pBdr/>
        <w:spacing/>
        <w:ind/>
        <w:rPr/>
      </w:pPr>
      <w:r/>
      <w:r/>
    </w:p>
    <w:p>
      <w:pPr>
        <w:pStyle w:val="2230"/>
        <w:pBdr/>
        <w:spacing/>
        <w:ind/>
        <w:rPr>
          <w:lang w:val="ro-RO"/>
        </w:rPr>
      </w:pPr>
      <w:r/>
      <w:bookmarkStart w:id="68" w:name="_Toc252991872"/>
      <w:r>
        <w:rPr>
          <w:lang w:val="ro-RO"/>
        </w:rPr>
        <w:t xml:space="preserve">12.</w:t>
      </w:r>
      <w:r>
        <w:rPr>
          <w:lang w:val="ro-RO"/>
        </w:rPr>
        <w:t xml:space="preserve">2 </w:t>
      </w:r>
      <w:r>
        <w:rPr>
          <w:lang w:val="ro-RO"/>
        </w:rPr>
        <w:t xml:space="preserve">Organizare</w:t>
      </w:r>
      <w:r>
        <w:rPr>
          <w:lang w:val="ro-RO"/>
        </w:rPr>
        <w:t xml:space="preserve">a</w:t>
      </w:r>
      <w:r>
        <w:rPr>
          <w:lang w:val="ro-RO"/>
        </w:rPr>
        <w:t xml:space="preserve"> politică şi apocalipticul</w:t>
      </w:r>
      <w:bookmarkEnd w:id="68"/>
      <w:r>
        <w:rPr>
          <w:lang w:val="ro-RO"/>
        </w:rPr>
      </w:r>
      <w:r>
        <w:rPr>
          <w:lang w:val="ro-RO"/>
        </w:rPr>
      </w:r>
    </w:p>
    <w:p>
      <w:pPr>
        <w:pStyle w:val="2227"/>
        <w:pBdr/>
        <w:spacing/>
        <w:ind w:firstLine="0"/>
        <w:rPr/>
      </w:pPr>
      <w:r/>
      <w:r/>
    </w:p>
    <w:p>
      <w:pPr>
        <w:pStyle w:val="2227"/>
        <w:pBdr/>
        <w:spacing/>
        <w:ind w:firstLine="0"/>
        <w:rPr/>
      </w:pPr>
      <w:r>
        <w:t xml:space="preserve">Există în creştinism, ca şi în alte religii majore, o viziune globală despre istorie, despre dreptate la nivel internaţional, în legătură cu oamenii şi în legătură cu divinitatea. Viziunea aceasta este legată de apocalptic.</w:t>
      </w:r>
      <w:r/>
    </w:p>
    <w:p>
      <w:pPr>
        <w:pStyle w:val="2227"/>
        <w:pBdr/>
        <w:spacing/>
        <w:ind w:firstLine="0"/>
        <w:rPr/>
      </w:pPr>
      <w:r/>
      <w:r/>
    </w:p>
    <w:p>
      <w:pPr>
        <w:pStyle w:val="2227"/>
        <w:pBdr/>
        <w:spacing/>
        <w:ind w:firstLine="0"/>
        <w:rPr/>
      </w:pPr>
      <w:r>
        <w:t xml:space="preserve">a. </w:t>
      </w:r>
      <w:r>
        <w:t xml:space="preserve">Viziunea universală a creştinismului</w:t>
      </w:r>
      <w:r>
        <w:t xml:space="preserve"> </w:t>
      </w:r>
      <w:r>
        <w:t xml:space="preserve">– şi tipul de existenţă pe care îl recomandă</w:t>
      </w:r>
      <w:r>
        <w:t xml:space="preserve"> (împărăţia lui Dumnezeu)</w:t>
      </w:r>
      <w:r>
        <w:t xml:space="preserve"> – </w:t>
      </w:r>
      <w:r>
        <w:t xml:space="preserve">are câteva puncte majore de referinţă</w:t>
      </w:r>
      <w:r>
        <w:t xml:space="preserve">:</w:t>
      </w:r>
      <w:r/>
    </w:p>
    <w:p>
      <w:pPr>
        <w:pStyle w:val="2227"/>
        <w:pBdr/>
        <w:spacing/>
        <w:ind w:firstLine="0"/>
        <w:rPr/>
      </w:pPr>
      <w:r/>
      <w:r/>
    </w:p>
    <w:p>
      <w:pPr>
        <w:pStyle w:val="2227"/>
        <w:numPr>
          <w:ilvl w:val="0"/>
          <w:numId w:val="4"/>
        </w:numPr>
        <w:pBdr/>
        <w:spacing/>
        <w:ind/>
        <w:rPr/>
      </w:pPr>
      <w:r>
        <w:t xml:space="preserve">vesteşte </w:t>
      </w:r>
      <w:r>
        <w:t xml:space="preserve">o împărăţie deschisă tuturor</w:t>
      </w:r>
      <w:r>
        <w:t xml:space="preserve"> (este inclusivist, universal)</w:t>
      </w:r>
      <w:r>
        <w:t xml:space="preserve">.</w:t>
      </w:r>
      <w:r/>
    </w:p>
    <w:p>
      <w:pPr>
        <w:pStyle w:val="2227"/>
        <w:pBdr/>
        <w:spacing/>
        <w:ind w:firstLine="0" w:left="1440"/>
        <w:rPr/>
      </w:pPr>
      <w:r/>
      <w:r/>
    </w:p>
    <w:p>
      <w:pPr>
        <w:pStyle w:val="2227"/>
        <w:numPr>
          <w:ilvl w:val="0"/>
          <w:numId w:val="4"/>
        </w:numPr>
        <w:pBdr/>
        <w:spacing/>
        <w:ind/>
        <w:rPr/>
      </w:pPr>
      <w:r>
        <w:t xml:space="preserve">are </w:t>
      </w:r>
      <w:r>
        <w:t xml:space="preserve">o împărăţie fără capitală</w:t>
      </w:r>
      <w:r>
        <w:t xml:space="preserve"> terestră</w:t>
      </w:r>
      <w:r>
        <w:t xml:space="preserve">.</w:t>
      </w:r>
      <w:r/>
    </w:p>
    <w:p>
      <w:pPr>
        <w:pStyle w:val="2227"/>
        <w:pBdr/>
        <w:spacing/>
        <w:ind w:firstLine="0" w:left="1440"/>
        <w:rPr/>
      </w:pPr>
      <w:r/>
      <w:r/>
    </w:p>
    <w:p>
      <w:pPr>
        <w:pStyle w:val="2227"/>
        <w:numPr>
          <w:ilvl w:val="0"/>
          <w:numId w:val="4"/>
        </w:numPr>
        <w:pBdr/>
        <w:spacing/>
        <w:ind/>
        <w:rPr/>
      </w:pPr>
      <w:r>
        <w:t xml:space="preserve">are </w:t>
      </w:r>
      <w:r>
        <w:t xml:space="preserve">o împărăţie </w:t>
      </w:r>
      <w:r>
        <w:t xml:space="preserve">care nu se integ</w:t>
      </w:r>
      <w:r>
        <w:t xml:space="preserve">rează altor imperii</w:t>
      </w:r>
      <w:r>
        <w:t xml:space="preserve">, care îşi revendică „marginile pământului” (toată planeta)</w:t>
      </w:r>
      <w:r>
        <w:t xml:space="preserve"> şi care rămâne </w:t>
      </w:r>
      <w:r>
        <w:t xml:space="preserve">mereu</w:t>
      </w:r>
      <w:r>
        <w:t xml:space="preserve"> într-o</w:t>
      </w:r>
      <w:r>
        <w:t xml:space="preserve"> anumită opoziţie</w:t>
      </w:r>
      <w:r>
        <w:t xml:space="preserve"> politică faţă de sistemele şi regimurile politice</w:t>
      </w:r>
      <w:r>
        <w:t xml:space="preserve">.</w:t>
      </w:r>
      <w:r/>
    </w:p>
    <w:p>
      <w:pPr>
        <w:pStyle w:val="2227"/>
        <w:pBdr/>
        <w:spacing/>
        <w:ind w:firstLine="0" w:left="1440"/>
        <w:rPr/>
      </w:pPr>
      <w:r/>
      <w:r/>
    </w:p>
    <w:p>
      <w:pPr>
        <w:pStyle w:val="2227"/>
        <w:numPr>
          <w:ilvl w:val="0"/>
          <w:numId w:val="4"/>
        </w:numPr>
        <w:pBdr/>
        <w:spacing/>
        <w:ind/>
        <w:rPr/>
      </w:pPr>
      <w:r>
        <w:t xml:space="preserve">Împărăţia lui Dumnezeu este mai mult decât Biserica.</w:t>
      </w:r>
      <w:r>
        <w:t xml:space="preserve"> </w:t>
      </w:r>
      <w:r>
        <w:t xml:space="preserve">În principiu, e</w:t>
      </w:r>
      <w:r>
        <w:t xml:space="preserve">a cuprinde tot universul</w:t>
      </w:r>
      <w:r>
        <w:t xml:space="preserve"> şi orice fiinţă</w:t>
      </w:r>
      <w:r>
        <w:t xml:space="preserve">. Biserica are însă un loc </w:t>
      </w:r>
      <w:r>
        <w:t xml:space="preserve">aparte</w:t>
      </w:r>
      <w:r>
        <w:t xml:space="preserve"> în această împărăţie</w:t>
      </w:r>
      <w:r>
        <w:t xml:space="preserve">, fiind „trupul” lui Hristos şi „mireasa” lui Hristos</w:t>
      </w:r>
      <w:r>
        <w:t xml:space="preserve">.</w:t>
      </w:r>
      <w:r>
        <w:t xml:space="preserve"> </w:t>
      </w:r>
      <w:r/>
    </w:p>
    <w:p>
      <w:pPr>
        <w:pStyle w:val="2227"/>
        <w:pBdr/>
        <w:spacing/>
        <w:ind w:firstLine="0" w:left="1440"/>
        <w:rPr/>
      </w:pPr>
      <w:r/>
      <w:r/>
    </w:p>
    <w:p>
      <w:pPr>
        <w:pStyle w:val="2227"/>
        <w:numPr>
          <w:ilvl w:val="0"/>
          <w:numId w:val="4"/>
        </w:numPr>
        <w:pBdr/>
        <w:spacing/>
        <w:ind/>
        <w:rPr/>
      </w:pPr>
      <w:r>
        <w:t xml:space="preserve">o împărăţie care a început şi care va constitui punctul</w:t>
      </w:r>
      <w:r>
        <w:t xml:space="preserve"> </w:t>
      </w:r>
      <w:r>
        <w:t xml:space="preserve">culminant al istoriei.</w:t>
      </w:r>
      <w:r>
        <w:t xml:space="preserve"> Ea</w:t>
      </w:r>
      <w:r>
        <w:t xml:space="preserve"> va subordona to</w:t>
      </w:r>
      <w:r>
        <w:t xml:space="preserve">tul şi care nu va avea sfârşit, al cărei conducător este Hristos.</w:t>
      </w:r>
      <w:r/>
    </w:p>
    <w:p>
      <w:pPr>
        <w:pStyle w:val="2227"/>
        <w:pBdr/>
        <w:spacing/>
        <w:ind w:firstLine="0" w:left="1440"/>
        <w:rPr/>
      </w:pPr>
      <w:r/>
      <w:r/>
    </w:p>
    <w:p>
      <w:pPr>
        <w:pStyle w:val="2227"/>
        <w:numPr>
          <w:ilvl w:val="0"/>
          <w:numId w:val="4"/>
        </w:numPr>
        <w:pBdr/>
        <w:spacing/>
        <w:ind/>
        <w:rPr/>
      </w:pPr>
      <w:r>
        <w:t xml:space="preserve">o împărăţie unde sentimentul centralităţii  şi eficienţei este</w:t>
      </w:r>
      <w:r>
        <w:t xml:space="preserve"> schimbat (omul sfinţeşte locul</w:t>
      </w:r>
      <w:r>
        <w:t xml:space="preserve">; d</w:t>
      </w:r>
      <w:r>
        <w:t xml:space="preserve">ispare sentimentul de periferie</w:t>
      </w:r>
      <w:r>
        <w:t xml:space="preserve">; orice faci este „la centru”, are importanţă majoră; se schimbă percepţia asupra importanţei relative a vieţii).</w:t>
      </w:r>
      <w:r/>
    </w:p>
    <w:p>
      <w:pPr>
        <w:pStyle w:val="2377"/>
        <w:pBdr/>
        <w:spacing/>
        <w:ind/>
        <w:rPr/>
      </w:pPr>
      <w:r/>
      <w:r/>
    </w:p>
    <w:p>
      <w:pPr>
        <w:pStyle w:val="2227"/>
        <w:pBdr/>
        <w:spacing/>
        <w:ind w:firstLine="0" w:left="1440"/>
        <w:rPr/>
      </w:pPr>
      <w:r/>
      <w:r/>
    </w:p>
    <w:p>
      <w:pPr>
        <w:pStyle w:val="2227"/>
        <w:pBdr/>
        <w:spacing/>
        <w:ind w:firstLine="0"/>
        <w:rPr/>
      </w:pPr>
      <w:r/>
      <w:r/>
    </w:p>
    <w:p>
      <w:pPr>
        <w:pStyle w:val="2227"/>
        <w:pBdr/>
        <w:spacing/>
        <w:ind w:firstLine="0"/>
        <w:rPr/>
      </w:pPr>
      <w:r>
        <w:t xml:space="preserve">b. Creştinismul are o viziune apocaliptică despre istorie, care implică:</w:t>
      </w:r>
      <w:r/>
    </w:p>
    <w:p>
      <w:pPr>
        <w:pStyle w:val="2227"/>
        <w:pBdr/>
        <w:spacing/>
        <w:ind w:firstLine="0"/>
        <w:rPr/>
      </w:pPr>
      <w:r/>
      <w:r/>
    </w:p>
    <w:p>
      <w:pPr>
        <w:pStyle w:val="2227"/>
        <w:numPr>
          <w:ilvl w:val="0"/>
          <w:numId w:val="5"/>
        </w:numPr>
        <w:pBdr/>
        <w:spacing/>
        <w:ind/>
        <w:rPr/>
      </w:pPr>
      <w:r>
        <w:t xml:space="preserve">ide</w:t>
      </w:r>
      <w:r>
        <w:t xml:space="preserve">e</w:t>
      </w:r>
      <w:r>
        <w:t xml:space="preserve">a că divinitatea are un plan de </w:t>
      </w:r>
      <w:r>
        <w:t xml:space="preserve">aplicare a justiţiei divine (de </w:t>
      </w:r>
      <w:r>
        <w:t xml:space="preserve">dreptate </w:t>
      </w:r>
      <w:r>
        <w:t xml:space="preserve">universală) </w:t>
      </w:r>
      <w:r>
        <w:t xml:space="preserve">şi acest plan se </w:t>
      </w:r>
      <w:r>
        <w:t xml:space="preserve">află în curs de desfăşurare (teodicee).</w:t>
      </w:r>
      <w:r/>
    </w:p>
    <w:p>
      <w:pPr>
        <w:pStyle w:val="2227"/>
        <w:pBdr/>
        <w:spacing/>
        <w:ind w:firstLine="0" w:left="1440"/>
        <w:rPr/>
      </w:pPr>
      <w:r>
        <w:t xml:space="preserve"> </w:t>
      </w:r>
      <w:r/>
    </w:p>
    <w:p>
      <w:pPr>
        <w:pStyle w:val="2227"/>
        <w:numPr>
          <w:ilvl w:val="0"/>
          <w:numId w:val="5"/>
        </w:numPr>
        <w:pBdr/>
        <w:spacing/>
        <w:ind/>
        <w:rPr/>
      </w:pPr>
      <w:r>
        <w:t xml:space="preserve">o concepţie globală despre istorie. </w:t>
      </w:r>
      <w:r>
        <w:t xml:space="preserve">Apocalipticul are de a face cu o viziune globală despre manifestarea dreptăţii divine şi a planului divin, de la A la Z, de la alfa la omega. E</w:t>
      </w:r>
      <w:r>
        <w:t xml:space="preserve">rnst</w:t>
      </w:r>
      <w:r>
        <w:t xml:space="preserve"> Kaesemann: „Apocalipticul este matricea creştinismului”.</w:t>
      </w:r>
      <w:r/>
    </w:p>
    <w:p>
      <w:pPr>
        <w:pStyle w:val="2227"/>
        <w:pBdr/>
        <w:spacing/>
        <w:ind w:firstLine="0" w:left="1440"/>
        <w:rPr/>
      </w:pPr>
      <w:r/>
      <w:r/>
    </w:p>
    <w:p>
      <w:pPr>
        <w:pStyle w:val="2227"/>
        <w:numPr>
          <w:ilvl w:val="0"/>
          <w:numId w:val="5"/>
        </w:numPr>
        <w:pBdr/>
        <w:spacing/>
        <w:ind/>
        <w:rPr/>
      </w:pPr>
      <w:r>
        <w:t xml:space="preserve">acest plan </w:t>
      </w:r>
      <w:r>
        <w:t xml:space="preserve">divin se înţelege din VT şi NT că </w:t>
      </w:r>
      <w:r>
        <w:t xml:space="preserve">se desfăşoară pe etape (Daniel 7, Apocalipsa 12-13, etc.).</w:t>
      </w:r>
      <w:r/>
    </w:p>
    <w:p>
      <w:pPr>
        <w:pStyle w:val="2227"/>
        <w:pBdr/>
        <w:spacing/>
        <w:ind w:firstLine="0" w:left="1440"/>
        <w:rPr/>
      </w:pPr>
      <w:r/>
      <w:r/>
    </w:p>
    <w:p>
      <w:pPr>
        <w:pStyle w:val="2227"/>
        <w:numPr>
          <w:ilvl w:val="0"/>
          <w:numId w:val="5"/>
        </w:numPr>
        <w:pBdr/>
        <w:spacing/>
        <w:ind/>
        <w:rPr/>
      </w:pPr>
      <w:r>
        <w:t xml:space="preserve">acest plan se întâmplă în timp</w:t>
      </w:r>
      <w:r>
        <w:t xml:space="preserve">,</w:t>
      </w:r>
      <w:r>
        <w:t xml:space="preserve"> dar timpul este relativ </w:t>
      </w:r>
      <w:r>
        <w:t xml:space="preserve">datorită interfeţei cu eternitatea </w:t>
      </w:r>
      <w:r>
        <w:t xml:space="preserve">(1000 de ani ca o zi, o </w:t>
      </w:r>
      <w:r>
        <w:t xml:space="preserve">zi ca o mie de ani;</w:t>
      </w:r>
      <w:r>
        <w:t xml:space="preserve"> 2</w:t>
      </w:r>
      <w:r>
        <w:t xml:space="preserve"> Petru </w:t>
      </w:r>
      <w:r>
        <w:t xml:space="preserve">3.8)</w:t>
      </w:r>
      <w:r>
        <w:t xml:space="preserve">. Percepţia timpului este schimbată.</w:t>
      </w:r>
      <w:r>
        <w:t xml:space="preserve"> </w:t>
      </w:r>
      <w:r>
        <w:t xml:space="preserve">Planuri ca pentru 1000 de ani, detaşare ca şi cum viaţa s-ar putea încheia azi.</w:t>
      </w:r>
      <w:r>
        <w:t xml:space="preserve"> Cf. Planurile lui Petru cel mare, pentru Rusia.</w:t>
      </w:r>
      <w:r/>
    </w:p>
    <w:p>
      <w:pPr>
        <w:pStyle w:val="2227"/>
        <w:pBdr/>
        <w:spacing/>
        <w:ind w:firstLine="0" w:left="1440"/>
        <w:rPr/>
      </w:pPr>
      <w:r/>
      <w:r/>
    </w:p>
    <w:p>
      <w:pPr>
        <w:pStyle w:val="2227"/>
        <w:pBdr/>
        <w:spacing/>
        <w:ind w:firstLine="0" w:left="1440"/>
        <w:rPr/>
      </w:pPr>
      <w:r/>
      <w:r/>
    </w:p>
    <w:p>
      <w:pPr>
        <w:pStyle w:val="2227"/>
        <w:pBdr/>
        <w:spacing/>
        <w:ind w:firstLine="0" w:left="1440"/>
        <w:rPr/>
      </w:pPr>
      <w:r/>
      <w:r/>
    </w:p>
    <w:p>
      <w:pPr>
        <w:pStyle w:val="2227"/>
        <w:pBdr/>
        <w:spacing/>
        <w:ind w:firstLine="0"/>
        <w:rPr/>
      </w:pPr>
      <w:r/>
      <w:r/>
    </w:p>
    <w:p>
      <w:pPr>
        <w:pStyle w:val="2229"/>
        <w:pBdr/>
        <w:spacing/>
        <w:ind w:firstLine="0"/>
        <w:rPr/>
      </w:pPr>
      <w:r/>
      <w:bookmarkStart w:id="69" w:name="_Toc252991873"/>
      <w:r>
        <w:t xml:space="preserve">C</w:t>
      </w:r>
      <w:r>
        <w:t xml:space="preserve">apitolul 13</w:t>
      </w:r>
      <w:r>
        <w:t xml:space="preserve">. Teologia </w:t>
      </w:r>
      <w:r>
        <w:t xml:space="preserve">politică a </w:t>
      </w:r>
      <w:r>
        <w:t xml:space="preserve">NT şi </w:t>
      </w:r>
      <w:r>
        <w:t xml:space="preserve">eschatolog</w:t>
      </w:r>
      <w:r>
        <w:t xml:space="preserve">ia</w:t>
      </w:r>
      <w:bookmarkEnd w:id="69"/>
      <w:r/>
      <w:r/>
    </w:p>
    <w:p>
      <w:pPr>
        <w:pStyle w:val="2227"/>
        <w:pBdr/>
        <w:spacing/>
        <w:ind/>
        <w:rPr/>
      </w:pPr>
      <w:r/>
      <w:r/>
    </w:p>
    <w:p>
      <w:pPr>
        <w:pStyle w:val="2227"/>
        <w:pBdr/>
        <w:spacing/>
        <w:ind w:firstLine="0"/>
        <w:rPr/>
      </w:pPr>
      <w:r>
        <w:t xml:space="preserve">În cadrul gândirii apocaliptice, o parte specială este dată de tabloul final al istoriei, adică de eschatologie. Termenul eschatologie vine de la</w:t>
      </w:r>
      <w:r>
        <w:t xml:space="preserve"> cuvântul grecesc</w:t>
      </w:r>
      <w:r>
        <w:t xml:space="preserve"> </w:t>
      </w:r>
      <w:r>
        <w:rPr>
          <w:i/>
          <w:iCs/>
        </w:rPr>
        <w:t xml:space="preserve">eschatos</w:t>
      </w:r>
      <w:r>
        <w:t xml:space="preserve"> – ultim, final.</w:t>
      </w:r>
      <w:r>
        <w:t xml:space="preserve"> Într-o bună tradiţie a dezbaterilor postmoderne, s-ar putea discuta de viitorul politicii (eschatologia politicii)</w:t>
      </w:r>
      <w:r>
        <w:t xml:space="preserve">,</w:t>
      </w:r>
      <w:r>
        <w:t xml:space="preserve"> cât şi de </w:t>
      </w:r>
      <w:r>
        <w:t xml:space="preserve">politica eschatologiei (o perspectivă teologică evidentă).</w:t>
      </w:r>
      <w:r/>
    </w:p>
    <w:p>
      <w:pPr>
        <w:pStyle w:val="2227"/>
        <w:pBdr/>
        <w:spacing/>
        <w:ind w:firstLine="0"/>
        <w:rPr/>
      </w:pPr>
      <w:r/>
      <w:r/>
    </w:p>
    <w:p>
      <w:pPr>
        <w:pStyle w:val="2227"/>
        <w:pBdr/>
        <w:spacing/>
        <w:ind w:firstLine="0"/>
        <w:rPr/>
      </w:pPr>
      <w:r>
        <w:t xml:space="preserve">Valoarea politică a eschaton-ului, a ulti</w:t>
      </w:r>
      <w:r>
        <w:t xml:space="preserve">mei etape din istoria omenirii derivă din </w:t>
      </w:r>
      <w:r>
        <w:t xml:space="preserve">faptul că ea polarizează atenţia civilizaţiilor şi </w:t>
      </w:r>
      <w:r>
        <w:t xml:space="preserve">oferă un tablou raţional, global, convergent al diverselor linii politice</w:t>
      </w:r>
      <w:r>
        <w:t xml:space="preserve">.</w:t>
      </w:r>
      <w:r>
        <w:t xml:space="preserve"> </w:t>
      </w:r>
      <w:r/>
    </w:p>
    <w:p>
      <w:pPr>
        <w:pStyle w:val="2227"/>
        <w:pBdr/>
        <w:spacing/>
        <w:ind w:firstLine="0"/>
        <w:rPr/>
      </w:pPr>
      <w:r/>
      <w:r/>
    </w:p>
    <w:p>
      <w:pPr>
        <w:pStyle w:val="2227"/>
        <w:pBdr/>
        <w:spacing/>
        <w:ind w:firstLine="0"/>
        <w:rPr/>
      </w:pPr>
      <w:r>
        <w:t xml:space="preserve">Eschatologia </w:t>
      </w:r>
      <w:r>
        <w:t xml:space="preserve">NT</w:t>
      </w:r>
      <w:r/>
    </w:p>
    <w:p>
      <w:pPr>
        <w:pStyle w:val="2227"/>
        <w:pBdr/>
        <w:spacing/>
        <w:ind w:firstLine="0"/>
        <w:rPr/>
      </w:pPr>
      <w:r>
        <w:t xml:space="preserve">NT are mai multe tipuri de abordări eschatologic</w:t>
      </w:r>
      <w:r>
        <w:t xml:space="preserve">e. Pe deoparte există descrierile sfârşitului din evanghelii, făcute de Isus (Marcu 13-14; Matei 23-25). Isus pare să vorbească despre două planuri istorice: evenimente legate de pedepsirea necredinţei evreilor, după moartea şi învierea sa, şi evenimente f</w:t>
      </w:r>
      <w:r>
        <w:t xml:space="preserve">inale, legate de venirea a doua Fiului Omului, adică a sa. Gândirea paulină (Romani 8-11; 1-2 Tesaloniceni) pare să urmeze schema acestor prezentări ale lui Isus, cu unele precizări în plus. Şi Ioan urmăreşte o desfăşurare asemănătoare în epistola 1 Ioan. </w:t>
      </w:r>
      <w:r>
        <w:t xml:space="preserve">Există </w:t>
      </w:r>
      <w:r>
        <w:t xml:space="preserve">însă şi </w:t>
      </w:r>
      <w:r>
        <w:t xml:space="preserve">câteva deosebiri</w:t>
      </w:r>
      <w:r>
        <w:t xml:space="preserve"> clare</w:t>
      </w:r>
      <w:r>
        <w:t xml:space="preserve"> între gândirea paulină şi cea ioanină, în ce priveşte eschatologia. </w:t>
      </w:r>
      <w:r>
        <w:t xml:space="preserve">Pavel (şi evangheliile si</w:t>
      </w:r>
      <w:r>
        <w:t xml:space="preserve">noptice) se concentrează pe evenimentul revenirii lui Isus şi pe apariţia şi reacţia lui Antichrist faţă de acest eveniment, precum şi pe transformările (schimbările) care apar atunci (înşelarea neamurilor, învierea credincioşilor, judecata finală, etc.). </w:t>
      </w:r>
      <w:r>
        <w:t xml:space="preserve"> </w:t>
      </w:r>
      <w:r>
        <w:t xml:space="preserve">Apocalipsa lui Ioan se concentrează pe o judecată ma</w:t>
      </w:r>
      <w:r>
        <w:t xml:space="preserve">i lungă, prin contrast, pe lucrarea de ansamblu a dreptăţii divine care răsplăteşte în final pe cei drepţi şi pedepseşte pe cei nedrepţi aşa cum se cuvine. Apocalipsa se pretează unei interpretări dispensaţionaliste (vede istoria împărţită în etape majore)</w:t>
      </w:r>
      <w:r>
        <w:t xml:space="preserve"> şi până la pedepsirea finală a sistemului politic mondial (simbolizat prin Babilon), </w:t>
      </w:r>
      <w:r>
        <w:t xml:space="preserve">ia in considerare numeroase tipuri de judecată şi pedeaps</w:t>
      </w:r>
      <w:r>
        <w:t xml:space="preserve">ă care vin asupra omenirii (plăgi, dezastre ecologice, războaie, lipsuri, necazuri din partea oştilor demonice, etc.). În acelaşi timp, tot Apocalipsa este cea care priveşte dincolo de sfârşitul istoriei, la noul început al cerului nou şi al pământului nou</w:t>
      </w:r>
      <w:r>
        <w:t xml:space="preserve">, la Ierusalimul ceresc, la împărăţia eternă şi dreaptă a lui Dumnezeu.</w:t>
      </w:r>
      <w:r/>
    </w:p>
    <w:p>
      <w:pPr>
        <w:pStyle w:val="2227"/>
        <w:pBdr/>
        <w:spacing/>
        <w:ind w:firstLine="0"/>
        <w:rPr/>
      </w:pPr>
      <w:r>
        <w:t xml:space="preserve"> </w:t>
      </w:r>
      <w:r/>
    </w:p>
    <w:p>
      <w:pPr>
        <w:pStyle w:val="2227"/>
        <w:pBdr/>
        <w:spacing/>
        <w:ind w:firstLine="0"/>
        <w:rPr/>
      </w:pPr>
      <w:r>
        <w:t xml:space="preserve">Concepte</w:t>
      </w:r>
      <w:r>
        <w:t xml:space="preserve"> cheie ale viz</w:t>
      </w:r>
      <w:r>
        <w:t xml:space="preserve">iunii NT despre acest timp:</w:t>
      </w:r>
      <w:r/>
    </w:p>
    <w:p>
      <w:pPr>
        <w:pStyle w:val="2227"/>
        <w:pBdr/>
        <w:spacing/>
        <w:ind w:firstLine="0"/>
        <w:rPr/>
      </w:pPr>
      <w:r>
        <w:t xml:space="preserve">Succesiune de regimuri şi sisteme politice</w:t>
      </w:r>
      <w:r/>
    </w:p>
    <w:p>
      <w:pPr>
        <w:pStyle w:val="2227"/>
        <w:pBdr/>
        <w:spacing/>
        <w:ind w:firstLine="0"/>
        <w:rPr/>
      </w:pPr>
      <w:r>
        <w:t xml:space="preserve">Tendinţe de </w:t>
      </w:r>
      <w:r>
        <w:t xml:space="preserve">globalizare</w:t>
      </w:r>
      <w:r/>
    </w:p>
    <w:p>
      <w:pPr>
        <w:pStyle w:val="2227"/>
        <w:pBdr/>
        <w:spacing/>
        <w:ind w:firstLine="0"/>
        <w:rPr/>
      </w:pPr>
      <w:r>
        <w:t xml:space="preserve">Tendinţe de </w:t>
      </w:r>
      <w:r>
        <w:t xml:space="preserve">unificare</w:t>
      </w:r>
      <w:r/>
    </w:p>
    <w:p>
      <w:pPr>
        <w:pStyle w:val="2227"/>
        <w:pBdr/>
        <w:spacing/>
        <w:ind w:firstLine="0"/>
        <w:rPr/>
      </w:pPr>
      <w:r>
        <w:t xml:space="preserve">Manifestări conflictuale</w:t>
      </w:r>
      <w:r>
        <w:t xml:space="preserve"> (războaie, terorism)</w:t>
      </w:r>
      <w:r/>
    </w:p>
    <w:p>
      <w:pPr>
        <w:pStyle w:val="2227"/>
        <w:pBdr/>
        <w:spacing/>
        <w:ind w:firstLine="0"/>
        <w:rPr/>
      </w:pPr>
      <w:r>
        <w:t xml:space="preserve">Dezechilibru ecologic</w:t>
      </w:r>
      <w:r>
        <w:t xml:space="preserve"> (</w:t>
      </w:r>
      <w:r>
        <w:t xml:space="preserve">calamităţi)</w:t>
      </w:r>
      <w:r>
        <w:t xml:space="preserve">, </w:t>
      </w:r>
      <w:r/>
    </w:p>
    <w:p>
      <w:pPr>
        <w:pStyle w:val="2227"/>
        <w:pBdr/>
        <w:spacing/>
        <w:ind w:firstLine="0" w:left="720"/>
        <w:rPr/>
      </w:pPr>
      <w:r>
        <w:t xml:space="preserve">cf. Peter C. Phan, ‘Pope John Paul II and the Ecological Crisis’, </w:t>
      </w:r>
      <w:r>
        <w:rPr>
          <w:i/>
          <w:iCs/>
        </w:rPr>
        <w:t xml:space="preserve">Irish Theological Quarterly </w:t>
      </w:r>
      <w:r>
        <w:t xml:space="preserve"> 60/1 (1994), 59-69; ‘Eschatology and Ecology: The Environment in the End-Time’, </w:t>
      </w:r>
      <w:r>
        <w:rPr>
          <w:i/>
          <w:iCs/>
        </w:rPr>
        <w:t xml:space="preserve">Dialogue and Alliance </w:t>
      </w:r>
      <w:r>
        <w:t xml:space="preserve">9/2 (1995), 99-115.</w:t>
      </w:r>
      <w:r/>
    </w:p>
    <w:p>
      <w:pPr>
        <w:pStyle w:val="2227"/>
        <w:pBdr/>
        <w:spacing/>
        <w:ind w:firstLine="0"/>
        <w:rPr/>
      </w:pPr>
      <w:r>
        <w:t xml:space="preserve">Mesianism şi anti-mesianism; hristic şi anti-hristic</w:t>
      </w:r>
      <w:r/>
    </w:p>
    <w:p>
      <w:pPr>
        <w:pStyle w:val="2227"/>
        <w:pBdr/>
        <w:spacing/>
        <w:ind/>
        <w:rPr/>
      </w:pPr>
      <w:r/>
      <w:r/>
    </w:p>
    <w:p>
      <w:pPr>
        <w:pStyle w:val="2227"/>
        <w:pBdr/>
        <w:spacing/>
        <w:ind/>
        <w:rPr/>
      </w:pPr>
      <w:r/>
      <w:r/>
    </w:p>
    <w:p>
      <w:pPr>
        <w:pStyle w:val="2227"/>
        <w:pBdr/>
        <w:spacing/>
        <w:ind/>
        <w:rPr>
          <w:rFonts w:ascii="Calibri" w:hAnsi="Calibri"/>
          <w:lang w:bidi="he-IL"/>
        </w:rPr>
      </w:pPr>
      <w:r>
        <w:t xml:space="preserve">Un teolog romano-catolic extrem de productiv – dar şi controversat în interiorul Bisericii RC, </w:t>
      </w:r>
      <w:r>
        <w:t xml:space="preserve">Hans Küng</w:t>
      </w:r>
      <w:r>
        <w:rPr>
          <w:lang w:bidi="he-IL"/>
        </w:rPr>
        <w:t xml:space="preserve"> a subliniat </w:t>
      </w:r>
      <w:r>
        <w:rPr>
          <w:lang w:bidi="he-IL"/>
        </w:rPr>
        <w:t xml:space="preserve">în mod deosebit </w:t>
      </w:r>
      <w:r>
        <w:rPr>
          <w:lang w:bidi="he-IL"/>
        </w:rPr>
        <w:t xml:space="preserve">relevanţa teologiei şi eschatologiei pentru societate</w:t>
      </w:r>
      <w:r>
        <w:rPr>
          <w:lang w:bidi="he-IL"/>
        </w:rPr>
        <w:t xml:space="preserve">a modernă, cu diversele ei pro</w:t>
      </w:r>
      <w:r>
        <w:rPr>
          <w:lang w:bidi="he-IL"/>
        </w:rPr>
        <w:t xml:space="preserve">vocări, c</w:t>
      </w:r>
      <w:r>
        <w:rPr>
          <w:lang w:bidi="he-IL"/>
        </w:rPr>
        <w:t xml:space="preserve">f. </w:t>
      </w:r>
      <w:r>
        <w:rPr>
          <w:i/>
          <w:iCs/>
          <w:lang w:bidi="he-IL"/>
        </w:rPr>
        <w:t xml:space="preserve">Eternal Life? Life after Death as a Medical, Philosophical and Theological Problem </w:t>
      </w:r>
      <w:r>
        <w:rPr>
          <w:lang w:bidi="he-IL"/>
        </w:rPr>
        <w:t xml:space="preserve">(Edward Quinn, Garden City, NY:</w:t>
      </w:r>
      <w:r>
        <w:rPr>
          <w:lang w:bidi="he-IL"/>
        </w:rPr>
        <w:t xml:space="preserve"> Doubleday, 1984).</w:t>
      </w:r>
      <w:r>
        <w:rPr>
          <w:lang w:bidi="he-IL"/>
        </w:rPr>
        <w:t xml:space="preserve"> </w:t>
      </w:r>
      <w:r>
        <w:rPr>
          <w:rFonts w:ascii="Calibri" w:hAnsi="Calibri"/>
          <w:lang w:bidi="he-IL"/>
        </w:rPr>
      </w:r>
      <w:r>
        <w:rPr>
          <w:rFonts w:ascii="Calibri" w:hAnsi="Calibri"/>
          <w:lang w:bidi="he-IL"/>
        </w:rPr>
      </w:r>
    </w:p>
    <w:p>
      <w:pPr>
        <w:pStyle w:val="2227"/>
        <w:pBdr/>
        <w:spacing/>
        <w:ind/>
        <w:rPr/>
      </w:pPr>
      <w:r>
        <w:t xml:space="preserve">Un al exponent german al teologiei politice, </w:t>
      </w:r>
      <w:r>
        <w:t xml:space="preserve">J.B. Metz </w:t>
      </w:r>
      <w:r>
        <w:t xml:space="preserve">a afirmat</w:t>
      </w:r>
      <w:r>
        <w:t xml:space="preserve">,</w:t>
      </w:r>
      <w:r>
        <w:t xml:space="preserve"> ca şi </w:t>
      </w:r>
      <w:r>
        <w:t xml:space="preserve">E. </w:t>
      </w:r>
      <w:r>
        <w:t xml:space="preserve">Kaesema</w:t>
      </w:r>
      <w:r>
        <w:t xml:space="preserve">nn, că t</w:t>
      </w:r>
      <w:r>
        <w:t xml:space="preserve">eologia creştină este în mod esenţial eschatologică, adică apocaliptică. </w:t>
      </w:r>
      <w:r>
        <w:t xml:space="preserve">De aici, s</w:t>
      </w:r>
      <w:r>
        <w:t xml:space="preserve">peranţa creştină are de a face cu aşteptarea eschaton-ului, </w:t>
      </w:r>
      <w:r>
        <w:t xml:space="preserve">împărăţia lui Dumnezeu fiind nu o utopie a progresului uman, ci darul lui Dumnezeu pentru o omenire care se întoarce spre el, solidară cu victimile nedreptăţilor sociale.</w:t>
      </w:r>
      <w:r>
        <w:t xml:space="preserve"> Cf. Metz, </w:t>
      </w:r>
      <w:r>
        <w:rPr>
          <w:i/>
          <w:iCs/>
        </w:rPr>
        <w:t xml:space="preserve">Theology of the World, </w:t>
      </w:r>
      <w:r>
        <w:t xml:space="preserve"> transl. W. Glen-Doeple (NY: Herder and Herder, 1969); </w:t>
      </w:r>
      <w:r>
        <w:rPr>
          <w:i/>
          <w:iCs/>
        </w:rPr>
        <w:t xml:space="preserve">Faith in History and Society, </w:t>
      </w:r>
      <w:r>
        <w:t xml:space="preserve">trans. David Smith (NY: Seabury, 1980); </w:t>
      </w:r>
      <w:r>
        <w:rPr>
          <w:i/>
          <w:iCs/>
        </w:rPr>
        <w:t xml:space="preserve">The Emergent Church: The Future of Christianity in a Postbourgeois World</w:t>
      </w:r>
      <w:r>
        <w:t xml:space="preserve">, transl. Peter Mann (New York: Crossroad, 1981).</w:t>
      </w:r>
      <w:r/>
    </w:p>
    <w:p>
      <w:pPr>
        <w:pStyle w:val="2227"/>
        <w:pBdr/>
        <w:spacing/>
        <w:ind/>
        <w:rPr/>
      </w:pPr>
      <w:r>
        <w:t xml:space="preserve">Între teologii din mişcarea Liberation Theology pot fi amintiţi Gustavo Gutie</w:t>
      </w:r>
      <w:r>
        <w:t xml:space="preserve">r</w:t>
      </w:r>
      <w:r>
        <w:t xml:space="preserve">rez </w:t>
      </w:r>
      <w:r>
        <w:t xml:space="preserve">şi Jon Sobrino.</w:t>
      </w:r>
      <w:r>
        <w:t xml:space="preserve"> Cel dintâi vedea în eschatologie nu un refugiu, ci o cale de sesizare şi mai profundă a imperativelor sociale şi politice ale societăţi</w:t>
      </w:r>
      <w:r>
        <w:t xml:space="preserve">i (Gutier</w:t>
      </w:r>
      <w:r>
        <w:t xml:space="preserve">r</w:t>
      </w:r>
      <w:r>
        <w:t xml:space="preserve">ez, </w:t>
      </w:r>
      <w:r>
        <w:rPr>
          <w:i/>
          <w:iCs/>
        </w:rPr>
        <w:t xml:space="preserve">A Theology of Liberation</w:t>
      </w:r>
      <w:r>
        <w:t xml:space="preserve">, transl. Sister Caridad Inda şi John Eagleson, Maryknoll, NY: Orbis, 1988), 122).</w:t>
      </w:r>
      <w:r/>
    </w:p>
    <w:p>
      <w:pPr>
        <w:pStyle w:val="2227"/>
        <w:pBdr/>
        <w:spacing/>
        <w:ind/>
        <w:rPr/>
      </w:pPr>
      <w:r>
        <w:t xml:space="preserve">Eschatologia a captivat interesu</w:t>
      </w:r>
      <w:r>
        <w:t xml:space="preserve">l teologilor şi p</w:t>
      </w:r>
      <w:r>
        <w:t xml:space="preserve">rin perspectivele ştiinţifice pe care le deschide,</w:t>
      </w:r>
      <w:r>
        <w:t xml:space="preserve"> cf.</w:t>
      </w:r>
      <w:r>
        <w:t xml:space="preserve"> </w:t>
      </w:r>
      <w:r>
        <w:t xml:space="preserve">Teilhard de Chardin, Yves Congar</w:t>
      </w:r>
      <w:r>
        <w:t xml:space="preserve"> (fizică, biologie, antropologie)</w:t>
      </w:r>
      <w:r>
        <w:t xml:space="preserve">.</w:t>
      </w:r>
      <w:r>
        <w:t xml:space="preserve"> Cf. şi lucrările teologilor J.C. Polkinghorne,</w:t>
      </w:r>
      <w:r>
        <w:t xml:space="preserve"> </w:t>
      </w:r>
      <w:r>
        <w:t xml:space="preserve">J. Haught, C.A. Russell, A.R. Peacock, I.G. Barbour, P.C.W. Davis, S.I. Jaki. </w:t>
      </w:r>
      <w:r>
        <w:t xml:space="preserve"> O dezvoltare recentă</w:t>
      </w:r>
      <w:r>
        <w:t xml:space="preserve"> a eschatologiei priveşte la resursele dialogului cu alte credinţe (</w:t>
      </w:r>
      <w:r>
        <w:t xml:space="preserve">iudaism islam, hinduism, budism,</w:t>
      </w:r>
      <w:r>
        <w:t xml:space="preserve"> zoroastrism).</w:t>
      </w:r>
      <w:r>
        <w:t xml:space="preserve"> </w:t>
      </w:r>
      <w:r/>
    </w:p>
    <w:p>
      <w:pPr>
        <w:pStyle w:val="2227"/>
        <w:pBdr/>
        <w:spacing/>
        <w:ind/>
        <w:rPr/>
      </w:pPr>
      <w:r>
        <w:t xml:space="preserve">Pentru o privire</w:t>
      </w:r>
      <w:r>
        <w:t xml:space="preserve"> de ansamblu, vezi articoele lui</w:t>
      </w:r>
      <w:r>
        <w:t xml:space="preserve"> </w:t>
      </w:r>
      <w:r>
        <w:t xml:space="preserve">Peter C. Phan, </w:t>
      </w:r>
      <w:r>
        <w:t xml:space="preserve">‘</w:t>
      </w:r>
      <w:r>
        <w:t xml:space="preserve">Roman Catholic Theology’, in </w:t>
      </w:r>
      <w:r>
        <w:t xml:space="preserve">Jerry L. Walls</w:t>
      </w:r>
      <w:r>
        <w:t xml:space="preserve"> (ed)</w:t>
      </w:r>
      <w:r>
        <w:t xml:space="preserve">, </w:t>
      </w:r>
      <w:r>
        <w:rPr>
          <w:i/>
          <w:iCs/>
        </w:rPr>
        <w:t xml:space="preserve">The Oxford Handbook of Eschatolog</w:t>
      </w:r>
      <w:r>
        <w:rPr>
          <w:i/>
          <w:iCs/>
        </w:rPr>
        <w:t xml:space="preserve">y</w:t>
      </w:r>
      <w:r>
        <w:t xml:space="preserve">,</w:t>
      </w:r>
      <w:r>
        <w:t xml:space="preserve"> </w:t>
      </w:r>
      <w:r>
        <w:t xml:space="preserve">Oxford: OUP, </w:t>
      </w:r>
      <w:r>
        <w:t xml:space="preserve">215</w:t>
      </w:r>
      <w:r>
        <w:t xml:space="preserve">-</w:t>
      </w:r>
      <w:r>
        <w:t xml:space="preserve">232</w:t>
      </w:r>
      <w:r>
        <w:t xml:space="preserve">.</w:t>
      </w:r>
      <w:r>
        <w:t xml:space="preserve"> Cf. </w:t>
      </w:r>
      <w:r>
        <w:t xml:space="preserve">ş</w:t>
      </w:r>
      <w:r>
        <w:t xml:space="preserve">i Andrew Louth,</w:t>
      </w:r>
      <w:r>
        <w:t xml:space="preserve"> ‘</w:t>
      </w:r>
      <w:r>
        <w:t xml:space="preserve">Eastern Orthodox Eschatology</w:t>
      </w:r>
      <w:r>
        <w:t xml:space="preserve">’</w:t>
      </w:r>
      <w:r>
        <w:t xml:space="preserve">, in Walls, </w:t>
      </w:r>
      <w:r>
        <w:rPr>
          <w:i/>
          <w:iCs/>
        </w:rPr>
        <w:t xml:space="preserve">OHE</w:t>
      </w:r>
      <w:r>
        <w:t xml:space="preserve">, </w:t>
      </w:r>
      <w:r>
        <w:t xml:space="preserve">233-</w:t>
      </w:r>
      <w:r>
        <w:t xml:space="preserve">247.</w:t>
      </w:r>
      <w:r/>
    </w:p>
    <w:p>
      <w:pPr>
        <w:pStyle w:val="2227"/>
        <w:pBdr/>
        <w:spacing/>
        <w:ind w:firstLine="0"/>
        <w:rPr/>
      </w:pPr>
      <w:r/>
      <w:r/>
    </w:p>
    <w:p>
      <w:pPr>
        <w:pStyle w:val="2227"/>
        <w:pBdr/>
        <w:spacing/>
        <w:ind/>
        <w:rPr/>
      </w:pPr>
      <w:r/>
      <w:r/>
    </w:p>
    <w:p>
      <w:pPr>
        <w:pStyle w:val="2227"/>
        <w:pBdr/>
        <w:spacing/>
        <w:ind/>
        <w:rPr/>
      </w:pPr>
      <w:r>
        <w:br w:type="page" w:clear="all"/>
      </w:r>
      <w:r/>
    </w:p>
    <w:p>
      <w:pPr>
        <w:pStyle w:val="2229"/>
        <w:pBdr/>
        <w:spacing/>
        <w:ind w:firstLine="0"/>
        <w:rPr/>
      </w:pPr>
      <w:r/>
      <w:bookmarkStart w:id="70" w:name="_Toc252991874"/>
      <w:r>
        <w:t xml:space="preserve">Bibliografie</w:t>
      </w:r>
      <w:r>
        <w:t xml:space="preserve"> generală</w:t>
      </w:r>
      <w:bookmarkEnd w:id="70"/>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lang w:eastAsia="en-US"/>
        </w:rPr>
      </w:pPr>
      <w:r>
        <w:rPr>
          <w:lang w:eastAsia="en-US"/>
        </w:rPr>
        <w:t xml:space="preserve">Baban, O., </w:t>
      </w:r>
      <w:r>
        <w:rPr>
          <w:i/>
          <w:lang w:eastAsia="en-US"/>
        </w:rPr>
        <w:t xml:space="preserve">Incursiune în Noul Testament</w:t>
      </w:r>
      <w:r>
        <w:rPr>
          <w:lang w:eastAsia="en-US"/>
        </w:rPr>
        <w:t xml:space="preserve"> (Bucureşti: Liga Bibliei, 2003)</w:t>
      </w:r>
      <w:r>
        <w:rPr>
          <w:lang w:eastAsia="en-US"/>
        </w:rPr>
      </w:r>
    </w:p>
    <w:p>
      <w:pPr>
        <w:pStyle w:val="2227"/>
        <w:pBdr/>
        <w:spacing/>
        <w:ind/>
        <w:rPr/>
      </w:pPr>
      <w:r/>
      <w:r/>
    </w:p>
    <w:p>
      <w:pPr>
        <w:pStyle w:val="2227"/>
        <w:pBdr/>
        <w:spacing/>
        <w:ind w:firstLine="0"/>
        <w:rPr/>
      </w:pPr>
      <w:r>
        <w:t xml:space="preserve">_______, „Conflictele Bisericii în Faptele Apostolilor : între stil literar şi modele misionare”, în  O. Bunaciu, R. Gheorghiţă, E. Bartoş (eds), </w:t>
      </w:r>
      <w:r>
        <w:rPr>
          <w:i/>
          <w:iCs/>
        </w:rPr>
        <w:t xml:space="preserve">Care imparte drept cuvântul adevărului. Volum omagial Ioan Bunaciu</w:t>
      </w:r>
      <w:r>
        <w:t xml:space="preserve">, Reformatio, Oradea, 2005, 23-40</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rPr>
          <w:lang w:eastAsia="en-US"/>
        </w:rPr>
      </w:pPr>
      <w:r>
        <w:rPr>
          <w:lang w:eastAsia="en-US"/>
        </w:rPr>
      </w:r>
      <w:r>
        <w:rPr>
          <w:lang w:eastAsia="en-US"/>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lang w:eastAsia="en-US"/>
        </w:rPr>
      </w:pPr>
      <w:r>
        <w:t xml:space="preserve">Baslez, M.-F. </w:t>
      </w:r>
      <w:r>
        <w:rPr>
          <w:i/>
        </w:rPr>
        <w:t xml:space="preserve">Sfîntul Pavel</w:t>
      </w:r>
      <w:r>
        <w:t xml:space="preserve">, Anca Maria I. Christodorescu (trad) (Bucureşti: Compania, 2001)</w:t>
      </w:r>
      <w:r>
        <w:rPr>
          <w:lang w:eastAsia="en-US"/>
        </w:rPr>
      </w:r>
      <w:r>
        <w:rPr>
          <w:lang w:eastAsia="en-US"/>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rPr>
          <w:lang w:eastAsia="en-US"/>
        </w:rPr>
      </w:pPr>
      <w:r>
        <w:rPr>
          <w:lang w:eastAsia="en-US"/>
        </w:rPr>
      </w:r>
      <w:r>
        <w:rPr>
          <w:lang w:eastAsia="en-US"/>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lang w:eastAsia="en-US"/>
        </w:rPr>
      </w:pPr>
      <w:r>
        <w:rPr>
          <w:lang w:eastAsia="en-US"/>
        </w:rPr>
        <w:t xml:space="preserve">Bauckham, R., </w:t>
      </w:r>
      <w:r>
        <w:rPr>
          <w:i/>
          <w:lang w:eastAsia="en-US"/>
        </w:rPr>
        <w:t xml:space="preserve">The Bible in Politics. How to Read the Bible Politically,</w:t>
      </w:r>
      <w:r>
        <w:rPr>
          <w:lang w:eastAsia="en-US"/>
        </w:rPr>
        <w:t xml:space="preserve"> (London: SPCK, 1989)</w:t>
      </w:r>
      <w:r>
        <w:rPr>
          <w:lang w:eastAsia="en-US"/>
        </w:rPr>
      </w:r>
    </w:p>
    <w:p>
      <w:pPr>
        <w:pStyle w:val="2227"/>
        <w:pBdr/>
        <w:spacing/>
        <w:ind/>
        <w:rPr/>
      </w:pPr>
      <w:r/>
      <w:r/>
    </w:p>
    <w:p>
      <w:pPr>
        <w:pStyle w:val="2227"/>
        <w:pBdr/>
        <w:spacing/>
        <w:ind w:firstLine="0"/>
        <w:rPr/>
      </w:pPr>
      <w:r>
        <w:t xml:space="preserve">_______, </w:t>
      </w:r>
      <w:r>
        <w:rPr>
          <w:i/>
        </w:rPr>
        <w:t xml:space="preserve">The Theology of the Book of Revelation</w:t>
      </w:r>
      <w:r>
        <w:t xml:space="preserve"> (Cambridge: CUP, 1993)</w:t>
      </w:r>
      <w:r/>
    </w:p>
    <w:p>
      <w:pPr>
        <w:pStyle w:val="2227"/>
        <w:pBdr/>
        <w:spacing/>
        <w:ind/>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rPr>
          <w:lang w:eastAsia="en-US"/>
        </w:rPr>
      </w:pPr>
      <w:r>
        <w:rPr>
          <w:lang w:eastAsia="en-US"/>
        </w:rPr>
        <w:t xml:space="preserve">Beasley-Murray, G.R., </w:t>
      </w:r>
      <w:r>
        <w:rPr>
          <w:i/>
          <w:lang w:eastAsia="en-US"/>
        </w:rPr>
        <w:t xml:space="preserve">Jesus and the Kingdom of  God</w:t>
      </w:r>
      <w:r>
        <w:rPr>
          <w:lang w:eastAsia="en-US"/>
        </w:rPr>
        <w:t xml:space="preserve"> (London: Paternoster Press; Eerdmans, 1986)</w:t>
      </w:r>
      <w:r>
        <w:rPr>
          <w:lang w:eastAsia="en-US"/>
        </w:rP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Bauckham, R., </w:t>
      </w:r>
      <w:r>
        <w:rPr>
          <w:i/>
        </w:rPr>
        <w:t xml:space="preserve">The Bible in Politics. How to Read the Bible Politically,</w:t>
      </w:r>
      <w:r>
        <w:t xml:space="preserve"> (London: SPCK, 1989)</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Bădiliţă, C., </w:t>
      </w:r>
      <w:r>
        <w:rPr>
          <w:i/>
        </w:rPr>
        <w:t xml:space="preserve">Manual de anticristologie. Studii, dosar biblic, traduceri şi comentarii</w:t>
      </w:r>
      <w:r>
        <w:t xml:space="preserve">, Iaşi: Polirom, 2002.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Beasley-Murray, G.R., </w:t>
      </w:r>
      <w:r>
        <w:rPr>
          <w:i/>
        </w:rPr>
        <w:t xml:space="preserve">Jesus and the Kingdom of  God</w:t>
      </w:r>
      <w:r>
        <w:t xml:space="preserve"> (London: Paternoster Press; Eerdmans, 1986)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Borg, M.J., </w:t>
      </w:r>
      <w:r>
        <w:rPr>
          <w:i/>
        </w:rPr>
        <w:t xml:space="preserve">Conflict, Holiness &amp; Politics in the Teachings of Jesus</w:t>
      </w:r>
      <w:r>
        <w:t xml:space="preserve">, in </w:t>
      </w:r>
      <w:r>
        <w:rPr>
          <w:i/>
        </w:rPr>
        <w:t xml:space="preserve">Studies in the Bible and Early Christianity 5</w:t>
      </w:r>
      <w:r>
        <w:t xml:space="preserve"> (New York / Toronto: Edwin Mellen, 1984)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Braga C., </w:t>
      </w:r>
      <w:r>
        <w:rPr>
          <w:i/>
        </w:rPr>
        <w:t xml:space="preserve">De la arhetip la anarhetip</w:t>
      </w:r>
      <w:r>
        <w:t xml:space="preserve">, Iaşi: Polirom, 2006.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Bright, J., </w:t>
      </w:r>
      <w:r>
        <w:rPr>
          <w:i/>
        </w:rPr>
        <w:t xml:space="preserve">A History of Israel</w:t>
      </w:r>
      <w:r>
        <w:t xml:space="preserve"> (London: SCM Press, 1980)</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Bouquet, A.C., </w:t>
      </w:r>
      <w:r>
        <w:rPr>
          <w:i/>
        </w:rPr>
        <w:t xml:space="preserve">Everyday Life in New Testament Times</w:t>
      </w:r>
      <w:r>
        <w:t xml:space="preserve"> (London: Carousel, 1974)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Cary, M., şi Scullard, H., </w:t>
      </w:r>
      <w:r>
        <w:rPr>
          <w:i/>
        </w:rPr>
        <w:t xml:space="preserve">Istoria Romei </w:t>
      </w:r>
      <w:r>
        <w:t xml:space="preserve">(Bucureşti: All, 2008)</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Carson, D.A. şi Morris, L., </w:t>
      </w:r>
      <w:r>
        <w:rPr>
          <w:i/>
        </w:rPr>
        <w:t xml:space="preserve">Introducere în Noul Testament</w:t>
      </w:r>
      <w:r>
        <w:t xml:space="preserve">, Dinu Moga (trad.), Oradea: Făclia, 2007 (</w:t>
      </w:r>
      <w:r>
        <w:rPr>
          <w:i/>
        </w:rPr>
        <w:t xml:space="preserve">An Introduction to the New Testament</w:t>
      </w:r>
      <w:r>
        <w:t xml:space="preserve">, Grand Rapids:  Zondervan, 1992).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Cassidy R.J., şi Scharper, P.J., (eds), </w:t>
      </w:r>
      <w:r>
        <w:rPr>
          <w:i/>
        </w:rPr>
        <w:t xml:space="preserve">Political Issues in Luke-Acts</w:t>
      </w:r>
      <w:r>
        <w:t xml:space="preserve"> (Maryknoll: Orbis, 1983) </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Casson, L., </w:t>
      </w:r>
      <w:r>
        <w:rPr>
          <w:i/>
        </w:rPr>
        <w:t xml:space="preserve">Travel in the Ancient World</w:t>
      </w:r>
      <w:r>
        <w:t xml:space="preserve"> (Baltimore, London: John Hopkins University Press, 1994)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Creţia P., şi Bădiliţă, C. (eds) </w:t>
      </w:r>
      <w:r>
        <w:rPr>
          <w:i/>
        </w:rPr>
        <w:t xml:space="preserve">Apocalipsa Lui Ioan în Tradiţia Iudeo-Creştină</w:t>
      </w:r>
      <w:r>
        <w:t xml:space="preserve">, C. Bădiliţă and P. Creţia (trad.), studiu introductiv de C. Bădiliţă (Bucureşti: Humanitas, 1998)</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Dunn, J. D. G., </w:t>
      </w:r>
      <w:r>
        <w:rPr>
          <w:i/>
        </w:rPr>
        <w:t xml:space="preserve">The Theology of Paul the Apostle</w:t>
      </w:r>
      <w:r>
        <w:t xml:space="preserve"> (Grand Rapids, MI: Eerdmans, 1998) </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Evans, C.A. şi Porter, S.E., </w:t>
      </w:r>
      <w:r>
        <w:rPr>
          <w:i/>
        </w:rPr>
        <w:t xml:space="preserve">Dictionary of NT Background. A Compendium of Contemporary Biblical Scholarship</w:t>
      </w:r>
      <w:r>
        <w:t xml:space="preserve"> (Downers Grove, IL: InterVarsity, 2000)</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Esler, P.F. </w:t>
      </w:r>
      <w:r>
        <w:rPr>
          <w:i/>
        </w:rPr>
        <w:t xml:space="preserve">Community and Gospel in Luke-Acts: The Social and Political Motivations of Lucan Theology</w:t>
      </w:r>
      <w:r>
        <w:t xml:space="preserve"> (Cambridge: CUP, 1987)</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Freyne, S., “The Geography, Politics, and Economics of Galilee and the Quest for the Historical Jesus,” in </w:t>
      </w:r>
      <w:r>
        <w:rPr>
          <w:i/>
        </w:rPr>
        <w:t xml:space="preserve">Studying the Historical Jesus</w:t>
      </w:r>
      <w:r>
        <w:t xml:space="preserve">, Bruce Chilton and Craig A. (eds) Evans (Leiden: Brill, 1994), 75–121.</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Gill, D.W.J., “Acts and the Urban Élites,” în D.W.J. Gill şi C. (eds) Gempf, </w:t>
      </w:r>
      <w:r>
        <w:rPr>
          <w:i/>
        </w:rPr>
        <w:t xml:space="preserve">The Book of Acts in Its Graeco-Roman Setting</w:t>
      </w:r>
      <w:r>
        <w:t xml:space="preserve"> (Carlisle: Paternoster, 1994), 105–18</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_______,  “Acts and Roman Policy in Judaea,” în R. Bauckham (ed), </w:t>
      </w:r>
      <w:r>
        <w:rPr>
          <w:i/>
        </w:rPr>
        <w:t xml:space="preserve">The Book of Acts in Its Palestinian Setting</w:t>
      </w:r>
      <w:r>
        <w:t xml:space="preserve"> (Carlisle: Paternoster, 1995), 15–26 </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Godo, E. (ed), </w:t>
      </w:r>
      <w:r>
        <w:rPr>
          <w:i/>
        </w:rPr>
        <w:t xml:space="preserve">Convertirea religioasă</w:t>
      </w:r>
      <w:r>
        <w:t xml:space="preserve">, trad. E. Petuhov (Bucureşti: Anastasia, 2002)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Goppelt, L., </w:t>
      </w:r>
      <w:r>
        <w:rPr>
          <w:i/>
        </w:rPr>
        <w:t xml:space="preserve">A Commentary on 1 Peter</w:t>
      </w:r>
      <w:r>
        <w:t xml:space="preserve"> (Grand Rapids, MI: W. B. Eerdmans, 1993)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Green, J.B. şi McKnight, S.(eds) </w:t>
      </w:r>
      <w:r>
        <w:rPr>
          <w:i/>
        </w:rPr>
        <w:t xml:space="preserve">Dictionary of Jesus and the Gospels</w:t>
      </w:r>
      <w:r>
        <w:t xml:space="preserve"> (Leicester: IVP, 1992)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Hansen, W., (ed), </w:t>
      </w:r>
      <w:r>
        <w:rPr>
          <w:i/>
        </w:rPr>
        <w:t xml:space="preserve">Anthology of Ancient Greek Popular Literature</w:t>
      </w:r>
      <w:r>
        <w:t xml:space="preserve"> (Bloomington, IN: Indiana University Press, 1998)</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Hawthorne, G.F., Martin, R.P., şi Reid, D.G. (eds), </w:t>
      </w:r>
      <w:r>
        <w:rPr>
          <w:i/>
        </w:rPr>
        <w:t xml:space="preserve">Dictionary of Paul and His Letters. A Compendium of Contemporary Biblical Scholarship</w:t>
      </w:r>
      <w:r>
        <w:t xml:space="preserve"> (Leicester: IVP, 1993)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Hengel, M. </w:t>
      </w:r>
      <w:r>
        <w:rPr>
          <w:i/>
        </w:rPr>
        <w:t xml:space="preserve">Judaism and Hellenism</w:t>
      </w:r>
      <w:r>
        <w:t xml:space="preserve"> (London: SCM, 1974)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Herschel, Sh., (ed.) </w:t>
      </w:r>
      <w:r>
        <w:rPr>
          <w:i/>
        </w:rPr>
        <w:t xml:space="preserve">Christianity and Rabbinic Judaism. A Parallel History of Their Origins and Early Development</w:t>
      </w:r>
      <w:r>
        <w:t xml:space="preserve"> (London: SPCK, 1993)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Howard, C.K., şi Young, F.W., </w:t>
      </w:r>
      <w:r>
        <w:rPr>
          <w:i/>
        </w:rPr>
        <w:t xml:space="preserve">The Living World of the New Testament</w:t>
      </w:r>
      <w:r>
        <w:t xml:space="preserve"> (London: Darton, Longman &amp; Todd, 1966)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Hurtado, L., </w:t>
      </w:r>
      <w:r>
        <w:rPr>
          <w:i/>
          <w:iCs/>
        </w:rPr>
        <w:t xml:space="preserve">Lord Jesus Christ. Devotion to Jesus in Earliest Christianity </w:t>
      </w:r>
      <w:r>
        <w:t xml:space="preserve">(Grand Rapids, MI: Eerdmans, 2003).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Mason, S., “Chief Priests, Saducees, Pharisees and Sanhedrin in Acts,” în R. Bauckham (ed), </w:t>
      </w:r>
      <w:r>
        <w:rPr>
          <w:i/>
        </w:rPr>
        <w:t xml:space="preserve">The Book of Acts in Its Palestinian Setting</w:t>
      </w:r>
      <w:r>
        <w:t xml:space="preserve"> (Carlisle: Paternoster, 1995), 115–77,</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Morgan, R., şi Stoneman J. R. (eds), </w:t>
      </w:r>
      <w:r>
        <w:rPr>
          <w:i/>
        </w:rPr>
        <w:t xml:space="preserve">Greek Fiction. The Greek Novel in Context</w:t>
      </w:r>
      <w:r>
        <w:t xml:space="preserve"> (London: Routledge, 1994)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Nicolet, C., </w:t>
      </w:r>
      <w:r>
        <w:rPr>
          <w:i/>
        </w:rPr>
        <w:t xml:space="preserve">Space, Geography and Politics in the Early Roman Empire</w:t>
      </w:r>
      <w:r>
        <w:t xml:space="preserve"> (Michigan: Ann Arbor, 1990)</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firstLine="0"/>
        <w:jc w:val="left"/>
        <w:rPr/>
      </w:pPr>
      <w:r>
        <w:t xml:space="preserve">Peter, S., şi Cavanaugh, W.T. (eds), </w:t>
      </w:r>
      <w:r>
        <w:rPr>
          <w:i/>
        </w:rPr>
        <w:t xml:space="preserve">The Blackwell Companion to Political Theology</w:t>
      </w:r>
      <w:r>
        <w:t xml:space="preserve"> (Blackwell Publishing, 2003)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Petercă, V., </w:t>
      </w:r>
      <w:r>
        <w:rPr>
          <w:i/>
        </w:rPr>
        <w:t xml:space="preserve">Mesianismul în Biblie</w:t>
      </w:r>
      <w:r>
        <w:t xml:space="preserve"> (Iaşi: Polirom, 2003)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Popescu, I. M., </w:t>
      </w:r>
      <w:r>
        <w:rPr>
          <w:i/>
        </w:rPr>
        <w:t xml:space="preserve">Istoria şi sociologia religiilor: Creştinismul</w:t>
      </w:r>
      <w:r>
        <w:t xml:space="preserve">, Bucureşti: România de Mâine, 1996.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Ralph, P.M. şi Davids, P.H., </w:t>
      </w:r>
      <w:r>
        <w:rPr>
          <w:i/>
        </w:rPr>
        <w:t xml:space="preserve">Dictionary of the Later New Testament &amp; Its Development. A Compendium of Biblical Scholarship</w:t>
      </w:r>
      <w:r>
        <w:t xml:space="preserve"> (Leicester: InterVarsity Press, 1997)</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Rajak, T., “The Location of Cultures in Second Temple Palestine: The Evidence of Josephus,” in R. Bauckham (ed) </w:t>
      </w:r>
      <w:r>
        <w:rPr>
          <w:i/>
        </w:rPr>
        <w:t xml:space="preserve">The Book of Acts in Its Palestinian Setting</w:t>
      </w:r>
      <w:r>
        <w:t xml:space="preserve"> (Carlisle: Paternoster, 1995), 1–14</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Robbins, V.K., </w:t>
      </w:r>
      <w:r>
        <w:rPr>
          <w:i/>
        </w:rPr>
        <w:t xml:space="preserve">The Tapestry of Early Christian Discourse. Rhetoric, Society and Ideology.</w:t>
      </w:r>
      <w:r>
        <w:t xml:space="preserve"> (London: Routlege, 1996)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Romm, J.S, </w:t>
      </w:r>
      <w:r>
        <w:rPr>
          <w:i/>
        </w:rPr>
        <w:t xml:space="preserve">The Edges of the Earth in Ancient Thought. Geography, Exploration, and Fiction</w:t>
      </w:r>
      <w:r>
        <w:t xml:space="preserve"> (Princeton, New Jersey: Princeton University Press, 1992)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Romanato, G. Lombardo, M.G., Culianu, I.P., </w:t>
      </w:r>
      <w:r>
        <w:rPr>
          <w:i/>
        </w:rPr>
        <w:t xml:space="preserve">Religie şi putere,</w:t>
      </w:r>
      <w:r>
        <w:t xml:space="preserve"> M.-M. Anghelescu şi Ş. Anghelescu (trad), Iaşi: Polirom, 2005</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Rowland, C., </w:t>
      </w:r>
      <w:r>
        <w:rPr>
          <w:i/>
        </w:rPr>
        <w:t xml:space="preserve">Christian Origins. An Account of the Setting and Characer of the Most Important Messianic Sect of Judaism</w:t>
      </w:r>
      <w:r>
        <w:t xml:space="preserve"> (London: SPCK, 1985)</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Sanders, E.P., </w:t>
      </w:r>
      <w:r>
        <w:rPr>
          <w:i/>
        </w:rPr>
        <w:t xml:space="preserve">Judaism. Practice and Belief. 63BCE – 66 CE</w:t>
      </w:r>
      <w:r>
        <w:t xml:space="preserve"> (London: SCM, 1992)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_______, </w:t>
      </w:r>
      <w:r>
        <w:rPr>
          <w:i/>
        </w:rPr>
        <w:t xml:space="preserve">Jesus and Judaism</w:t>
      </w:r>
      <w:r>
        <w:t xml:space="preserve"> (London: SCM, 1985)</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Scott, P., şi Cavanaugh, W.T. (eds), </w:t>
      </w:r>
      <w:r>
        <w:rPr>
          <w:i/>
        </w:rPr>
        <w:t xml:space="preserve">The Blackwell Companion to Political Theology</w:t>
      </w:r>
      <w:r>
        <w:t xml:space="preserve"> (Blackwell Publishing, 2003)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Tenney, M.C., </w:t>
      </w:r>
      <w:r>
        <w:rPr>
          <w:i/>
        </w:rPr>
        <w:t xml:space="preserve">Studiu al Noului Testament</w:t>
      </w:r>
      <w:r>
        <w:t xml:space="preserve"> (Oradea: Cartea Creştină, 1986)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Theissen G., şi Merz, A., </w:t>
      </w:r>
      <w:r>
        <w:rPr>
          <w:i/>
        </w:rPr>
        <w:t xml:space="preserve">The Historical Jesus. A Comprehensive Guide.</w:t>
      </w:r>
      <w:r>
        <w:t xml:space="preserve"> (London: SCM Press, 1998)</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Tiede, D.L., “Acts 1:6–8 and the Theo-Political Claims of Christian Witness,” </w:t>
      </w:r>
      <w:r>
        <w:rPr>
          <w:i/>
        </w:rPr>
        <w:t xml:space="preserve">Word and World</w:t>
      </w:r>
      <w:r>
        <w:t xml:space="preserve"> 1 (1981): 41–51 </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Velasco, J.M., </w:t>
      </w:r>
      <w:r>
        <w:rPr>
          <w:i/>
        </w:rPr>
        <w:t xml:space="preserve">Introducere în fenomenologia religiei,</w:t>
      </w:r>
      <w:r>
        <w:t xml:space="preserve"> trad. C. Bădiliţă (Iaşi: Polirom, 1997)</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Walaskay, P.W., </w:t>
      </w:r>
      <w:r>
        <w:rPr>
          <w:i/>
        </w:rPr>
        <w:t xml:space="preserve">“And So We Came To Rome”: The Political Perspective of St. Luke</w:t>
      </w:r>
      <w:r>
        <w:t xml:space="preserve"> (Cambridge: CUP, 1983)</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Wilson, B., </w:t>
      </w:r>
      <w:r>
        <w:rPr>
          <w:i/>
        </w:rPr>
        <w:t xml:space="preserve">Religia din perspectivă sociologică</w:t>
      </w:r>
      <w:r>
        <w:t xml:space="preserve">, trad. D.M. Străinu (Bucureşti: Editura 3, 2000)</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t xml:space="preserve">Wright, N.T., </w:t>
      </w:r>
      <w:r>
        <w:rPr>
          <w:i/>
        </w:rPr>
        <w:t xml:space="preserve">The New Testament and the People of God</w:t>
      </w:r>
      <w:r>
        <w:t xml:space="preserve">, Christian Origins and the Question of God: Part I. (London: SPCK, 1992)</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Pr>
          <w:i/>
        </w:rPr>
        <w:t xml:space="preserve">_______,Jesus and the Victory of God, he New Testament and the People of God</w:t>
      </w:r>
      <w:r>
        <w:t xml:space="preserve">, Christian Origins and the Question of God: Part II, (London: SPCK, 1996)</w:t>
      </w:r>
      <w:r/>
    </w:p>
    <w:p>
      <w:pPr>
        <w:pStyle w:val="2227"/>
        <w:pBdr/>
        <w:tabs>
          <w:tab w:val="left" w:leader="none" w:pos="720"/>
          <w:tab w:val="left" w:leader="none" w:pos="1440"/>
          <w:tab w:val="left" w:leader="none" w:pos="2160"/>
          <w:tab w:val="left" w:leader="none" w:pos="2880"/>
          <w:tab w:val="left" w:leader="none" w:pos="4320"/>
          <w:tab w:val="left" w:leader="none" w:pos="5760"/>
          <w:tab w:val="left" w:leader="none" w:pos="7200"/>
          <w:tab w:val="left" w:leader="none" w:pos="8640"/>
          <w:tab w:val="left" w:leader="none" w:pos="10080"/>
          <w:tab w:val="left" w:leader="none" w:pos="11520"/>
          <w:tab w:val="left" w:leader="none" w:pos="12960"/>
          <w:tab w:val="left" w:leader="none" w:pos="14400"/>
        </w:tabs>
        <w:spacing/>
        <w:ind/>
        <w:jc w:val="left"/>
        <w:rPr/>
      </w:pPr>
      <w:r/>
      <w:r/>
    </w:p>
    <w:p>
      <w:pPr>
        <w:pStyle w:val="2227"/>
        <w:pBdr/>
        <w:spacing/>
        <w:ind w:firstLine="0"/>
        <w:rPr>
          <w:lang w:eastAsia="en-US" w:bidi="he-IL"/>
        </w:rPr>
      </w:pPr>
      <w:r>
        <w:rPr>
          <w:lang w:eastAsia="en-US" w:bidi="he-IL"/>
        </w:rPr>
      </w:r>
      <w:r>
        <w:rPr>
          <w:lang w:eastAsia="en-US" w:bidi="he-IL"/>
        </w:rPr>
      </w:r>
    </w:p>
    <w:p>
      <w:pPr>
        <w:pStyle w:val="2227"/>
        <w:pBdr/>
        <w:spacing/>
        <w:ind w:firstLine="0"/>
        <w:rPr>
          <w:lang w:eastAsia="en-US" w:bidi="he-IL"/>
        </w:rPr>
      </w:pPr>
      <w:r>
        <w:rPr>
          <w:lang w:eastAsia="en-US" w:bidi="he-IL"/>
        </w:rPr>
        <w:t xml:space="preserve">C</w:t>
      </w:r>
      <w:r>
        <w:rPr>
          <w:lang w:eastAsia="en-US" w:bidi="he-IL"/>
        </w:rPr>
        <w:t xml:space="preserve">âteva din lucrările citate de studenţii la masterat TP, anul I:</w:t>
      </w:r>
      <w:r>
        <w:rPr>
          <w:lang w:eastAsia="en-US" w:bidi="he-IL"/>
        </w:rPr>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Bracher Dietrich Karl,</w:t>
      </w:r>
      <w:r>
        <w:rPr>
          <w:i/>
          <w:iCs/>
          <w:lang w:eastAsia="en-US" w:bidi="he-IL"/>
        </w:rPr>
        <w:t xml:space="preserve"> </w:t>
      </w:r>
      <w:r>
        <w:rPr>
          <w:i/>
          <w:iCs/>
          <w:lang w:eastAsia="en-US" w:bidi="he-IL"/>
        </w:rPr>
        <w:t xml:space="preserve">‘</w:t>
      </w:r>
      <w:r>
        <w:rPr>
          <w:lang w:eastAsia="en-US" w:bidi="he-IL"/>
        </w:rPr>
        <w:t xml:space="preserve">National Socialism, Fascism and authoritarian regimes</w:t>
      </w:r>
      <w:r>
        <w:rPr>
          <w:lang w:eastAsia="en-US" w:bidi="he-IL"/>
        </w:rPr>
        <w:t xml:space="preserve">’</w:t>
      </w:r>
      <w:r>
        <w:rPr>
          <w:lang w:eastAsia="en-US" w:bidi="he-IL"/>
        </w:rPr>
        <w:t xml:space="preserve"> in Hans Maie</w:t>
      </w:r>
      <w:r>
        <w:rPr>
          <w:lang w:eastAsia="en-US" w:bidi="he-IL"/>
        </w:rPr>
        <w:t xml:space="preserve">r</w:t>
      </w:r>
      <w:r>
        <w:rPr>
          <w:lang w:eastAsia="en-US" w:bidi="he-IL"/>
        </w:rPr>
        <w:t xml:space="preserve"> (ed.)</w:t>
      </w:r>
      <w:r>
        <w:rPr>
          <w:lang w:eastAsia="en-US" w:bidi="he-IL"/>
        </w:rPr>
        <w:t xml:space="preserve">, </w:t>
      </w:r>
      <w:r>
        <w:rPr>
          <w:lang w:eastAsia="en-US" w:bidi="he-IL"/>
        </w:rPr>
        <w:t xml:space="preserve">Totalitarianism and Political Religions</w:t>
      </w:r>
      <w:r>
        <w:rPr>
          <w:lang w:eastAsia="en-US" w:bidi="he-IL"/>
        </w:rPr>
        <w:t xml:space="preserve">,</w:t>
      </w:r>
      <w:r>
        <w:rPr>
          <w:lang w:eastAsia="en-US" w:bidi="he-IL"/>
        </w:rPr>
        <w:t xml:space="preserve"> </w:t>
      </w:r>
      <w:r>
        <w:rPr>
          <w:lang w:eastAsia="en-US" w:bidi="he-IL"/>
        </w:rPr>
        <w:t xml:space="preserve">v</w:t>
      </w:r>
      <w:r>
        <w:rPr>
          <w:lang w:eastAsia="en-US" w:bidi="he-IL"/>
        </w:rPr>
        <w:t xml:space="preserve">olume I: </w:t>
      </w:r>
      <w:r>
        <w:rPr>
          <w:lang w:eastAsia="en-US" w:bidi="he-IL"/>
        </w:rPr>
        <w:t xml:space="preserve">C</w:t>
      </w:r>
      <w:r>
        <w:rPr>
          <w:lang w:eastAsia="en-US" w:bidi="he-IL"/>
        </w:rPr>
        <w:t xml:space="preserve">oncepts for the comparison of dictatorships</w:t>
      </w:r>
      <w:r>
        <w:rPr>
          <w:lang w:eastAsia="en-US" w:bidi="he-IL"/>
        </w:rPr>
        <w:t xml:space="preserve">, t</w:t>
      </w:r>
      <w:r>
        <w:rPr>
          <w:lang w:eastAsia="en-US" w:bidi="he-IL"/>
        </w:rPr>
        <w:t xml:space="preserve">ranslated by Jodi Bruhn pp. 295- 317 Routledge Taylor &amp; Francis Group, London and New-York, 1996</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Osiander Andreas, </w:t>
      </w:r>
      <w:r>
        <w:rPr>
          <w:lang w:eastAsia="en-US" w:bidi="he-IL"/>
        </w:rPr>
        <w:t xml:space="preserve">‘</w:t>
      </w:r>
      <w:r>
        <w:rPr>
          <w:lang w:eastAsia="en-US" w:bidi="he-IL"/>
        </w:rPr>
        <w:t xml:space="preserve">Religion and Politics in Western Civilisation: The Ancient World as Matrix and Mirror of the Modern, in Millennium</w:t>
      </w:r>
      <w:r>
        <w:rPr>
          <w:lang w:eastAsia="en-US" w:bidi="he-IL"/>
        </w:rPr>
        <w:t xml:space="preserve">’, </w:t>
      </w:r>
      <w:r>
        <w:rPr>
          <w:lang w:eastAsia="en-US" w:bidi="he-IL"/>
        </w:rPr>
        <w:t xml:space="preserve">Journal of International Studies</w:t>
      </w:r>
      <w:r>
        <w:rPr>
          <w:lang w:eastAsia="en-US" w:bidi="he-IL"/>
        </w:rPr>
        <w:t xml:space="preserve"> </w:t>
      </w:r>
      <w:r>
        <w:rPr>
          <w:lang w:eastAsia="en-US" w:bidi="he-IL"/>
        </w:rPr>
        <w:t xml:space="preserve">2000; 29; pp. 761-790</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Scorpan Constantin, </w:t>
      </w:r>
      <w:r>
        <w:rPr>
          <w:i/>
          <w:iCs/>
          <w:lang w:eastAsia="en-US" w:bidi="he-IL"/>
        </w:rPr>
        <w:t xml:space="preserve">Istoria României. Enciclopedia comparată a istoriei politice a românilor</w:t>
      </w:r>
      <w:r>
        <w:rPr>
          <w:lang w:eastAsia="en-US" w:bidi="he-IL"/>
        </w:rPr>
        <w:t xml:space="preserve">, Ed. Nemira, Bucureşti, 1997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Stout Daniel A., </w:t>
      </w:r>
      <w:r>
        <w:rPr>
          <w:lang w:eastAsia="en-US" w:bidi="he-IL"/>
        </w:rPr>
        <w:t xml:space="preserve">ed.</w:t>
      </w:r>
      <w:r>
        <w:rPr>
          <w:lang w:eastAsia="en-US" w:bidi="he-IL"/>
        </w:rPr>
        <w:t xml:space="preserve"> </w:t>
      </w:r>
      <w:r>
        <w:rPr>
          <w:i/>
          <w:iCs/>
          <w:lang w:eastAsia="en-US" w:bidi="he-IL"/>
        </w:rPr>
        <w:t xml:space="preserve">Religion and Society, A Berkshire Reference Work</w:t>
      </w:r>
      <w:r>
        <w:rPr>
          <w:lang w:eastAsia="en-US" w:bidi="he-IL"/>
        </w:rPr>
        <w:t xml:space="preserve">,</w:t>
      </w:r>
      <w:r>
        <w:rPr>
          <w:lang w:eastAsia="en-US" w:bidi="he-IL"/>
        </w:rPr>
        <w:t xml:space="preserve"> Routledge New York, London 2006</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Vondung Klaus, ‘Religious faith’ in National Socialism, in Totalitarianism and Political Religions</w:t>
      </w:r>
      <w:r>
        <w:rPr>
          <w:lang w:eastAsia="en-US" w:bidi="he-IL"/>
        </w:rPr>
        <w:t xml:space="preserve">, v</w:t>
      </w:r>
      <w:r>
        <w:rPr>
          <w:lang w:eastAsia="en-US" w:bidi="he-IL"/>
        </w:rPr>
        <w:t xml:space="preserve">olume II</w:t>
      </w:r>
      <w:r>
        <w:rPr>
          <w:lang w:eastAsia="en-US" w:bidi="he-IL"/>
        </w:rPr>
        <w:t xml:space="preserve">:</w:t>
      </w:r>
      <w:r>
        <w:rPr>
          <w:lang w:eastAsia="en-US" w:bidi="he-IL"/>
        </w:rPr>
        <w:t xml:space="preserve"> Concepts for th</w:t>
      </w:r>
      <w:r>
        <w:rPr>
          <w:lang w:eastAsia="en-US" w:bidi="he-IL"/>
        </w:rPr>
        <w:t xml:space="preserve">e comparison of dictatorships, e</w:t>
      </w:r>
      <w:r>
        <w:rPr>
          <w:lang w:eastAsia="en-US" w:bidi="he-IL"/>
        </w:rPr>
        <w:t xml:space="preserve">dited by Hans Maier and Michael Schaefer, translated by Jodi Bruhn, pp. 5 -18</w:t>
      </w:r>
      <w:r>
        <w:rPr>
          <w:lang w:eastAsia="en-US" w:bidi="he-IL"/>
        </w:rPr>
      </w:r>
    </w:p>
    <w:p>
      <w:pPr>
        <w:pStyle w:val="2227"/>
        <w:pBdr/>
        <w:spacing/>
        <w:ind/>
        <w:rPr/>
      </w:pPr>
      <w:r/>
      <w:r/>
    </w:p>
    <w:p>
      <w:pPr>
        <w:pStyle w:val="2227"/>
        <w:pBdr/>
        <w:spacing/>
        <w:ind/>
        <w:rPr/>
      </w:pPr>
      <w:r>
        <w:t xml:space="preserve">Berdiaev, Nicolai, </w:t>
      </w:r>
      <w:r>
        <w:rPr>
          <w:i/>
          <w:iCs/>
        </w:rPr>
        <w:t xml:space="preserve">Împ</w:t>
      </w:r>
      <w:r>
        <w:rPr>
          <w:i/>
          <w:iCs/>
          <w:lang w:bidi="he-IL"/>
        </w:rPr>
        <w:t xml:space="preserve">ărăţia lui </w:t>
      </w:r>
      <w:r>
        <w:rPr>
          <w:i/>
          <w:iCs/>
        </w:rPr>
        <w:t xml:space="preserve">Dumnezeu </w:t>
      </w:r>
      <w:r>
        <w:rPr>
          <w:i/>
          <w:iCs/>
        </w:rPr>
        <w:t xml:space="preserve">şi Împărăţia</w:t>
      </w:r>
      <w:r>
        <w:rPr>
          <w:i/>
          <w:iCs/>
        </w:rPr>
        <w:t xml:space="preserve"> Cezarului</w:t>
      </w:r>
      <w:r>
        <w:t xml:space="preserve">, trad. Nina Nicolaeva, Humanitas, Bucuresti, 1998; </w:t>
      </w:r>
      <w:r/>
    </w:p>
    <w:p>
      <w:pPr>
        <w:pStyle w:val="2227"/>
        <w:pBdr/>
        <w:spacing/>
        <w:ind/>
        <w:rPr/>
      </w:pPr>
      <w:r/>
      <w:r/>
    </w:p>
    <w:p>
      <w:pPr>
        <w:pStyle w:val="2227"/>
        <w:pBdr/>
        <w:spacing/>
        <w:ind/>
        <w:rPr/>
      </w:pPr>
      <w:r>
        <w:t xml:space="preserve">Bossuet, Jacques-Bénigne, “Discours sur l’histoire universelle”,</w:t>
      </w:r>
      <w:r>
        <w:fldChar w:fldCharType="begin"/>
      </w:r>
      <w:r>
        <w:instrText xml:space="preserve"> HYPERLINK "http://www.samizdat.qc.ca/cosmos/sc_soc/histoire/" </w:instrText>
      </w:r>
      <w:r>
        <w:fldChar w:fldCharType="separate"/>
      </w:r>
      <w:r>
        <w:rPr>
          <w:rStyle w:val="2300"/>
        </w:rPr>
        <w:t xml:space="preserve">http://www.samizdat.qc.ca/cosmos/sc_soc/histoire/</w:t>
      </w:r>
      <w:r>
        <w:fldChar w:fldCharType="end"/>
      </w:r>
      <w:r>
        <w:t xml:space="preserve"> hist_med/hist_universel.pdf, 23.10.2008; </w:t>
      </w:r>
      <w:r/>
    </w:p>
    <w:p>
      <w:pPr>
        <w:pStyle w:val="2227"/>
        <w:pBdr/>
        <w:spacing/>
        <w:ind/>
        <w:rPr/>
      </w:pPr>
      <w:r/>
      <w:r/>
    </w:p>
    <w:p>
      <w:pPr>
        <w:pStyle w:val="2227"/>
        <w:pBdr/>
        <w:spacing/>
        <w:ind/>
        <w:rPr/>
      </w:pPr>
      <w:r>
        <w:t xml:space="preserve">Eslin, Jean-Claude, </w:t>
      </w:r>
      <w:r>
        <w:rPr>
          <w:i/>
          <w:iCs/>
        </w:rPr>
        <w:t xml:space="preserve">Dumnezeu </w:t>
      </w:r>
      <w:r>
        <w:rPr>
          <w:i/>
          <w:iCs/>
        </w:rPr>
        <w:t xml:space="preserve">şi puterea</w:t>
      </w:r>
      <w:r>
        <w:t xml:space="preserve">,</w:t>
      </w:r>
      <w:r>
        <w:t xml:space="preserve"> traducere de Tatiana Petrache </w:t>
      </w:r>
      <w:r>
        <w:t xml:space="preserve">şi</w:t>
      </w:r>
      <w:r>
        <w:t xml:space="preserve"> Irina Floa</w:t>
      </w:r>
      <w:r>
        <w:t xml:space="preserve">re, Anastasia, Bucuresti, 2001</w:t>
      </w:r>
      <w:r/>
    </w:p>
    <w:p>
      <w:pPr>
        <w:pStyle w:val="2227"/>
        <w:pBdr/>
        <w:spacing/>
        <w:ind/>
        <w:rPr/>
      </w:pPr>
      <w:r/>
      <w:r/>
    </w:p>
    <w:p>
      <w:pPr>
        <w:pStyle w:val="2227"/>
        <w:pBdr/>
        <w:spacing/>
        <w:ind/>
        <w:rPr/>
      </w:pPr>
      <w:r>
        <w:t xml:space="preserve">Gauchet, Marcel, </w:t>
      </w:r>
      <w:r>
        <w:rPr>
          <w:i/>
          <w:iCs/>
        </w:rPr>
        <w:t xml:space="preserve">Dezvr</w:t>
      </w:r>
      <w:r>
        <w:rPr>
          <w:i/>
          <w:iCs/>
        </w:rPr>
        <w:t xml:space="preserve">ă</w:t>
      </w:r>
      <w:r>
        <w:rPr>
          <w:i/>
          <w:iCs/>
        </w:rPr>
        <w:t xml:space="preserve">jirea lumii</w:t>
      </w:r>
      <w:r>
        <w:t xml:space="preserve">, trad. Vasile Tonoiu, Editura </w:t>
      </w:r>
      <w:r>
        <w:t xml:space="preserve">Ştiinţifică</w:t>
      </w:r>
      <w:r>
        <w:t xml:space="preserve">, Bucuresti, 1995; </w:t>
      </w:r>
      <w:r/>
    </w:p>
    <w:p>
      <w:pPr>
        <w:pStyle w:val="2227"/>
        <w:pBdr/>
        <w:spacing/>
        <w:ind/>
        <w:rPr/>
      </w:pPr>
      <w:r/>
      <w:r/>
    </w:p>
    <w:p>
      <w:pPr>
        <w:pStyle w:val="2227"/>
        <w:pBdr/>
        <w:spacing/>
        <w:ind/>
        <w:rPr/>
      </w:pPr>
      <w:r>
        <w:t xml:space="preserve">Mannent, Pierre, </w:t>
      </w:r>
      <w:r>
        <w:rPr>
          <w:i/>
          <w:iCs/>
        </w:rPr>
        <w:t xml:space="preserve">O filozofie politic</w:t>
      </w:r>
      <w:r>
        <w:rPr>
          <w:i/>
          <w:iCs/>
        </w:rPr>
        <w:t xml:space="preserve">ă pentru </w:t>
      </w:r>
      <w:r>
        <w:rPr>
          <w:i/>
          <w:iCs/>
        </w:rPr>
        <w:t xml:space="preserve">cet</w:t>
      </w:r>
      <w:r>
        <w:rPr>
          <w:i/>
          <w:iCs/>
        </w:rPr>
        <w:t xml:space="preserve">ăţean</w:t>
      </w:r>
      <w:r>
        <w:t xml:space="preserve">, traducere de Mona Antohi, Humanitas,Bucuresti, 2003; </w:t>
      </w:r>
      <w:r/>
    </w:p>
    <w:p>
      <w:pPr>
        <w:pStyle w:val="2227"/>
        <w:pBdr/>
        <w:spacing/>
        <w:ind/>
        <w:rPr/>
      </w:pPr>
      <w:r/>
      <w:r/>
    </w:p>
    <w:p>
      <w:pPr>
        <w:pStyle w:val="2227"/>
        <w:pBdr/>
        <w:spacing/>
        <w:ind/>
        <w:rPr/>
      </w:pPr>
      <w:r>
        <w:t xml:space="preserve">Plant, Raymond, </w:t>
      </w:r>
      <w:r>
        <w:rPr>
          <w:i/>
          <w:iCs/>
        </w:rPr>
        <w:t xml:space="preserve">Politics, Theology and History</w:t>
      </w:r>
      <w:r>
        <w:t xml:space="preserve">, Cambridge University Press, 2001; </w:t>
      </w:r>
      <w:r/>
    </w:p>
    <w:p>
      <w:pPr>
        <w:pStyle w:val="2227"/>
        <w:pBdr/>
        <w:spacing/>
        <w:ind/>
        <w:rPr/>
      </w:pPr>
      <w:r/>
      <w:r/>
    </w:p>
    <w:p>
      <w:pPr>
        <w:pStyle w:val="2227"/>
        <w:pBdr/>
        <w:spacing/>
        <w:ind/>
        <w:rPr/>
      </w:pPr>
      <w:r>
        <w:t xml:space="preserve">Sab</w:t>
      </w:r>
      <w:r>
        <w:t xml:space="preserve">ă</w:t>
      </w:r>
      <w:r>
        <w:t xml:space="preserve">u, Gelu, </w:t>
      </w:r>
      <w:r>
        <w:t xml:space="preserve">‚</w:t>
      </w:r>
      <w:r>
        <w:t xml:space="preserve">Ie</w:t>
      </w:r>
      <w:r>
        <w:t xml:space="preserve">ş</w:t>
      </w:r>
      <w:r>
        <w:t xml:space="preserve">irea din religie</w:t>
      </w:r>
      <w:r>
        <w:t xml:space="preserve">’</w:t>
      </w:r>
      <w:r>
        <w:t xml:space="preserve">, în Idei în Dialog, nr. 3(30)-martie 2007, </w:t>
      </w:r>
      <w:r>
        <w:fldChar w:fldCharType="begin"/>
      </w:r>
      <w:r>
        <w:instrText xml:space="preserve"> HYPERLINK "http://www.ideiindialog.ro/" </w:instrText>
      </w:r>
      <w:r>
        <w:fldChar w:fldCharType="separate"/>
      </w:r>
      <w:r>
        <w:rPr>
          <w:rStyle w:val="2300"/>
        </w:rPr>
        <w:t xml:space="preserve">http://www.ideiindialog.ro/</w:t>
      </w:r>
      <w:r>
        <w:fldChar w:fldCharType="end"/>
      </w:r>
      <w:r>
        <w:t xml:space="preserve">files/</w:t>
      </w:r>
      <w:r>
        <w:t xml:space="preserve"> </w:t>
      </w:r>
      <w:r>
        <w:t xml:space="preserve">Martie_2007.pdf, 04.01.2009; </w:t>
      </w:r>
      <w:r/>
    </w:p>
    <w:p>
      <w:pPr>
        <w:pStyle w:val="2227"/>
        <w:pBdr/>
        <w:spacing/>
        <w:ind/>
        <w:rPr/>
      </w:pPr>
      <w:r/>
      <w:r/>
    </w:p>
    <w:p>
      <w:pPr>
        <w:pStyle w:val="2227"/>
        <w:pBdr/>
        <w:spacing/>
        <w:ind/>
        <w:rPr/>
      </w:pPr>
      <w:r>
        <w:t xml:space="preserve">Staniloae, Dumitru, </w:t>
      </w:r>
      <w:r>
        <w:rPr>
          <w:i/>
          <w:iCs/>
        </w:rPr>
        <w:t xml:space="preserve">Ortodoxie </w:t>
      </w:r>
      <w:r>
        <w:rPr>
          <w:i/>
          <w:iCs/>
        </w:rPr>
        <w:t xml:space="preserve">ş</w:t>
      </w:r>
      <w:r>
        <w:rPr>
          <w:i/>
          <w:iCs/>
        </w:rPr>
        <w:t xml:space="preserve">i românism</w:t>
      </w:r>
      <w:r>
        <w:t xml:space="preserve">, editia a II-a, Editura  </w:t>
      </w:r>
      <w:r>
        <w:t xml:space="preserve">Albatros, Bucuresti, 1998</w:t>
      </w:r>
      <w:r/>
    </w:p>
    <w:p>
      <w:pPr>
        <w:pStyle w:val="2227"/>
        <w:pBdr/>
        <w:spacing/>
        <w:ind/>
        <w:rPr/>
      </w:pPr>
      <w:r/>
      <w:r/>
    </w:p>
    <w:p>
      <w:pPr>
        <w:pStyle w:val="2227"/>
        <w:pBdr/>
        <w:spacing/>
        <w:ind/>
        <w:rPr/>
      </w:pPr>
      <w:r/>
      <w:r/>
    </w:p>
    <w:p>
      <w:pPr>
        <w:pStyle w:val="2227"/>
        <w:pBdr/>
        <w:spacing/>
        <w:ind w:firstLine="0"/>
        <w:rPr>
          <w:lang w:eastAsia="en-US" w:bidi="he-IL"/>
        </w:rPr>
      </w:pPr>
      <w:r>
        <w:rPr>
          <w:lang w:eastAsia="en-US" w:bidi="he-IL"/>
        </w:rPr>
        <w:t xml:space="preserve">BACONSKI, Theodor, ‘</w:t>
      </w:r>
      <w:r>
        <w:rPr>
          <w:lang w:eastAsia="en-US" w:bidi="he-IL"/>
        </w:rPr>
        <w:t xml:space="preserve">Ortodoxismul politic. Pericol sau fantasm</w:t>
      </w:r>
      <w:r>
        <w:rPr>
          <w:lang w:eastAsia="en-US" w:bidi="he-IL"/>
        </w:rPr>
        <w:t xml:space="preserve">ă</w:t>
      </w:r>
      <w:r>
        <w:rPr>
          <w:lang w:eastAsia="en-US" w:bidi="he-IL"/>
        </w:rPr>
        <w:t xml:space="preserve">?’</w:t>
      </w:r>
      <w:r>
        <w:rPr>
          <w:lang w:eastAsia="en-US" w:bidi="he-IL"/>
        </w:rPr>
        <w:t xml:space="preserve"> în Alina MUNGIU PIPPIDI, Doctrine politice. Concepte universale </w:t>
      </w:r>
      <w:r>
        <w:rPr>
          <w:lang w:eastAsia="en-US" w:bidi="he-IL"/>
        </w:rPr>
        <w:t xml:space="preserve">şi realităţi româneşti</w:t>
      </w:r>
      <w:r>
        <w:rPr>
          <w:lang w:eastAsia="en-US" w:bidi="he-IL"/>
        </w:rPr>
        <w:t xml:space="preserve">, Editura Polirom, Ia</w:t>
      </w:r>
      <w:r>
        <w:rPr>
          <w:lang w:eastAsia="en-US" w:bidi="he-IL"/>
        </w:rPr>
        <w:t xml:space="preserve">ş</w:t>
      </w:r>
      <w:r>
        <w:rPr>
          <w:lang w:eastAsia="en-US" w:bidi="he-IL"/>
        </w:rPr>
        <w:t xml:space="preserve">i,1998</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CARAGOUNIS, C.C., ‘</w:t>
      </w:r>
      <w:r>
        <w:rPr>
          <w:lang w:eastAsia="en-US" w:bidi="he-IL"/>
        </w:rPr>
        <w:t xml:space="preserve">Ki</w:t>
      </w:r>
      <w:r>
        <w:rPr>
          <w:lang w:eastAsia="en-US" w:bidi="he-IL"/>
        </w:rPr>
        <w:t xml:space="preserve">ngdom of God, Kingdom of Heaven’</w:t>
      </w:r>
      <w:r>
        <w:rPr>
          <w:lang w:eastAsia="en-US" w:bidi="he-IL"/>
        </w:rPr>
        <w:t xml:space="preserve"> în J.B. GREEN, S.McKNIGHT </w:t>
      </w:r>
      <w:r>
        <w:rPr>
          <w:rFonts w:ascii="TT12AC5o00" w:hAnsi="TT12AC5o00" w:cs="TT12AC5o00"/>
          <w:lang w:eastAsia="en-US" w:bidi="he-IL"/>
        </w:rPr>
        <w:t xml:space="preserve">s</w:t>
      </w:r>
      <w:r>
        <w:rPr>
          <w:lang w:eastAsia="en-US" w:bidi="he-IL"/>
        </w:rPr>
        <w:t xml:space="preserve">i I.H. MARSHALL, Dictionary of Jesus and the Gospels, Downers Grove, Intervarsity Press, 1992</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CLOWNEY, E.P., ‘The Politics of the Kingdom’</w:t>
      </w:r>
      <w:r>
        <w:rPr>
          <w:lang w:eastAsia="en-US" w:bidi="he-IL"/>
        </w:rPr>
        <w:t xml:space="preserve"> în Westminster Theological Journal, Spring, 1979</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KIM, S., ‘Kingdom of God’</w:t>
      </w:r>
      <w:r>
        <w:rPr>
          <w:lang w:eastAsia="en-US" w:bidi="he-IL"/>
        </w:rPr>
        <w:t xml:space="preserve"> în Ralph. P. MARTIN, Peter H. DAVIDS, Dictionary of the later New Testament and its developments (electronic edition), Downers Grove, 1997, Intervarsity Press</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MAIER, Hans, ‘</w:t>
      </w:r>
      <w:r>
        <w:rPr>
          <w:lang w:eastAsia="en-US" w:bidi="he-IL"/>
        </w:rPr>
        <w:t xml:space="preserve">Political religion – state religion – civil religio</w:t>
      </w:r>
      <w:r>
        <w:rPr>
          <w:lang w:eastAsia="en-US" w:bidi="he-IL"/>
        </w:rPr>
        <w:t xml:space="preserve">n</w:t>
      </w:r>
      <w:r>
        <w:rPr>
          <w:lang w:eastAsia="en-US" w:bidi="he-IL"/>
        </w:rPr>
        <w:t xml:space="preserve"> – political theology’</w:t>
      </w:r>
      <w:r>
        <w:rPr>
          <w:lang w:eastAsia="en-US" w:bidi="he-IL"/>
        </w:rPr>
        <w:t xml:space="preserve"> în Hans MAIER</w:t>
      </w:r>
      <w:r>
        <w:rPr>
          <w:lang w:eastAsia="en-US" w:bidi="he-IL"/>
        </w:rPr>
        <w:t xml:space="preserve"> (ed)</w:t>
      </w:r>
      <w:r>
        <w:rPr>
          <w:lang w:eastAsia="en-US" w:bidi="he-IL"/>
        </w:rPr>
        <w:t xml:space="preserve">, Totalitarianism and political religion, Vol. III. Concepts for the comparison of dictatorships: theory and history of interpretation, Routledge, New York, 2007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ROPKE, Wilhelm, ‘Liberalism and Christianity’</w:t>
      </w:r>
      <w:r>
        <w:rPr>
          <w:lang w:eastAsia="en-US" w:bidi="he-IL"/>
        </w:rPr>
        <w:t xml:space="preserve"> în Modern Age, Fall 1957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BESANCON, Alain, Nenorocirea secolului. Despre comunism, nazism </w:t>
      </w:r>
      <w:r>
        <w:rPr>
          <w:lang w:eastAsia="en-US" w:bidi="he-IL"/>
        </w:rPr>
        <w:t xml:space="preserve">ş</w:t>
      </w:r>
      <w:r>
        <w:rPr>
          <w:lang w:eastAsia="en-US" w:bidi="he-IL"/>
        </w:rPr>
        <w:t xml:space="preserve">i unicitatea “</w:t>
      </w:r>
      <w:r>
        <w:rPr>
          <w:rFonts w:ascii="TT12ACAo00" w:hAnsi="TT12ACAo00" w:cs="TT12ACAo00"/>
          <w:lang w:eastAsia="en-US" w:bidi="he-IL"/>
        </w:rPr>
        <w:t xml:space="preserve">Ş</w:t>
      </w:r>
      <w:r>
        <w:rPr>
          <w:lang w:eastAsia="en-US" w:bidi="he-IL"/>
        </w:rPr>
        <w:t xml:space="preserve">oah”-ului, Editura Humanitas, Bucureşti, 2007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BESANCON, Alain, </w:t>
      </w:r>
      <w:r>
        <w:rPr>
          <w:i/>
          <w:iCs/>
          <w:lang w:eastAsia="en-US" w:bidi="he-IL"/>
        </w:rPr>
        <w:t xml:space="preserve">Originile intelectuale ale leninismului</w:t>
      </w:r>
      <w:r>
        <w:rPr>
          <w:lang w:eastAsia="en-US" w:bidi="he-IL"/>
        </w:rPr>
        <w:t xml:space="preserve">, Editura Humanitas, Bucure</w:t>
      </w:r>
      <w:r>
        <w:rPr>
          <w:rFonts w:ascii="TT12AC5o00" w:hAnsi="TT12AC5o00" w:cs="TT12AC5o00"/>
          <w:lang w:eastAsia="en-US" w:bidi="he-IL"/>
        </w:rPr>
        <w:t xml:space="preserve">ş</w:t>
      </w:r>
      <w:r>
        <w:rPr>
          <w:lang w:eastAsia="en-US" w:bidi="he-IL"/>
        </w:rPr>
        <w:t xml:space="preserve">ti, 2007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PUIG, Armand, </w:t>
      </w:r>
      <w:r>
        <w:rPr>
          <w:i/>
          <w:iCs/>
          <w:lang w:eastAsia="en-US" w:bidi="he-IL"/>
        </w:rPr>
        <w:t xml:space="preserve">Isus. O biografie</w:t>
      </w:r>
      <w:r>
        <w:rPr>
          <w:lang w:eastAsia="en-US" w:bidi="he-IL"/>
        </w:rPr>
        <w:t xml:space="preserve">, Editura Meronia, Bucure</w:t>
      </w:r>
      <w:r>
        <w:rPr>
          <w:lang w:eastAsia="en-US" w:bidi="he-IL"/>
        </w:rPr>
        <w:t xml:space="preserve">ş</w:t>
      </w:r>
      <w:r>
        <w:rPr>
          <w:lang w:eastAsia="en-US" w:bidi="he-IL"/>
        </w:rPr>
        <w:t xml:space="preserve">ti, 2007</w:t>
      </w:r>
      <w:r>
        <w:rPr>
          <w:lang w:eastAsia="en-US" w:bidi="he-IL"/>
        </w:rPr>
      </w:r>
    </w:p>
    <w:p>
      <w:pPr>
        <w:pStyle w:val="2227"/>
        <w:pBdr/>
        <w:spacing/>
        <w:ind/>
        <w:rPr>
          <w:lang w:eastAsia="en-US" w:bidi="he-IL"/>
        </w:rPr>
      </w:pPr>
      <w:r>
        <w:rPr>
          <w:lang w:eastAsia="en-US" w:bidi="he-IL"/>
        </w:rPr>
      </w:r>
      <w:r>
        <w:rPr>
          <w:lang w:eastAsia="en-US" w:bidi="he-IL"/>
        </w:rPr>
      </w:r>
    </w:p>
    <w:p>
      <w:pPr>
        <w:pStyle w:val="2227"/>
        <w:pBdr/>
        <w:spacing/>
        <w:ind/>
        <w:rPr>
          <w:lang w:eastAsia="en-US" w:bidi="he-IL"/>
        </w:rPr>
      </w:pPr>
      <w:r>
        <w:rPr>
          <w:lang w:eastAsia="en-US" w:bidi="he-IL"/>
        </w:rPr>
        <w:t xml:space="preserve">PREDA, Cristian, </w:t>
      </w:r>
      <w:r>
        <w:rPr>
          <w:i/>
          <w:iCs/>
          <w:lang w:eastAsia="en-US" w:bidi="he-IL"/>
        </w:rPr>
        <w:t xml:space="preserve">Mic dic</w:t>
      </w:r>
      <w:r>
        <w:rPr>
          <w:i/>
          <w:iCs/>
          <w:lang w:eastAsia="en-US" w:bidi="he-IL"/>
        </w:rPr>
        <w:t xml:space="preserve">ţionar</w:t>
      </w:r>
      <w:r>
        <w:rPr>
          <w:i/>
          <w:iCs/>
          <w:lang w:eastAsia="en-US" w:bidi="he-IL"/>
        </w:rPr>
        <w:t xml:space="preserve"> de gîndire politic</w:t>
      </w:r>
      <w:r>
        <w:rPr>
          <w:i/>
          <w:iCs/>
          <w:lang w:eastAsia="en-US" w:bidi="he-IL"/>
        </w:rPr>
        <w:t xml:space="preserve">ă</w:t>
      </w:r>
      <w:r>
        <w:rPr>
          <w:rFonts w:ascii="TT12ACAo00" w:hAnsi="TT12ACAo00" w:cs="TT12ACAo00"/>
          <w:i/>
          <w:iCs/>
          <w:lang w:eastAsia="en-US" w:bidi="he-IL"/>
        </w:rPr>
        <w:t xml:space="preserve"> </w:t>
      </w:r>
      <w:r>
        <w:rPr>
          <w:i/>
          <w:iCs/>
          <w:lang w:eastAsia="en-US" w:bidi="he-IL"/>
        </w:rPr>
        <w:t xml:space="preserve">liberal</w:t>
      </w:r>
      <w:r>
        <w:rPr>
          <w:i/>
          <w:iCs/>
          <w:lang w:eastAsia="en-US" w:bidi="he-IL"/>
        </w:rPr>
        <w:t xml:space="preserve">ă</w:t>
      </w:r>
      <w:r>
        <w:rPr>
          <w:lang w:eastAsia="en-US" w:bidi="he-IL"/>
        </w:rPr>
        <w:t xml:space="preserve">, Editura Humanitas, Bucureşti, 2004</w:t>
      </w:r>
      <w:r>
        <w:rPr>
          <w:lang w:eastAsia="en-US" w:bidi="he-IL"/>
        </w:rPr>
      </w:r>
    </w:p>
    <w:sectPr>
      <w:headerReference w:type="default" r:id="rId9"/>
      <w:headerReference w:type="even" r:id="rId10"/>
      <w:headerReference w:type="first" r:id="rId11"/>
      <w:footnotePr>
        <w:numRestart w:val="continuous"/>
      </w:footnotePr>
      <w:endnotePr>
        <w:numFmt w:val="decimal"/>
      </w:endnotePr>
      <w:type w:val="continuous"/>
      <w:pgSz w:h="12984" w:orient="portrait" w:w="8618"/>
      <w:pgMar w:top="510" w:right="1134" w:bottom="510" w:left="1077" w:header="737" w:footer="1191" w:gutter="0"/>
      <w:pgNumType w:start="5"/>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font>
  <w:font w:name="MinionPro-BoldIt">
    <w:panose1 w:val="05040102010807070707"/>
  </w:font>
  <w:font w:name="Palatino">
    <w:panose1 w:val="02040502050505030304"/>
  </w:font>
  <w:font w:name="Times-BoldItalic">
    <w:panose1 w:val="05040102010807070707"/>
  </w:font>
  <w:font w:name="TT12AC5o00">
    <w:panose1 w:val="05040102010807070707"/>
  </w:font>
  <w:font w:name="MinionPro-Bold">
    <w:panose1 w:val="05040102010807070707"/>
  </w:font>
  <w:font w:name="TimesNewRoman,Italic">
    <w:panose1 w:val="02020603050405020304"/>
  </w:font>
  <w:font w:name="TimesNewRoman">
    <w:panose1 w:val="02020603050405020304"/>
  </w:font>
  <w:font w:name="TT12ACAo00">
    <w:panose1 w:val="05040102010807070707"/>
  </w:font>
  <w:font w:name="SPIonic">
    <w:panose1 w:val="05040102010807070707"/>
  </w:font>
  <w:font w:name="Symbol">
    <w:panose1 w:val="05050102010706020507"/>
  </w:font>
  <w:font w:name="Wingdings">
    <w:panose1 w:val="05000000000000000000"/>
  </w:font>
  <w:font w:name="Times-Bold">
    <w:panose1 w:val="05040102010807070707"/>
  </w:font>
  <w:font w:name="Courier New">
    <w:panose1 w:val="02070309020205020404"/>
  </w:font>
  <w:font w:name="Cambria">
    <w:panose1 w:val="02040503050406030204"/>
  </w:font>
  <w:font w:name="Times-Roman">
    <w:panose1 w:val="05040102010807070707"/>
  </w:font>
  <w:font w:name="Calibri">
    <w:panose1 w:val="020F0502020204030204"/>
  </w:font>
  <w:font w:name="Times New Roman">
    <w:panose1 w:val="02020603050405020304"/>
  </w:font>
  <w:font w:name="EJIFGH+TimesNewRoman">
    <w:panose1 w:val="05040102010807070707"/>
  </w:font>
  <w:font w:name="Palatino Linotype">
    <w:panose1 w:val="02040502050505030304"/>
  </w:font>
  <w:font w:name="EJIFLJ+TimesNewRoman,Italic">
    <w:panose1 w:val="05040102010807070707"/>
  </w:font>
  <w:font w:name="New Century Schoolbook">
    <w:panose1 w:val="02040603050705020304"/>
  </w:font>
  <w:font w:name="Tahoma">
    <w:panose1 w:val="020B0604030504040204"/>
  </w:font>
  <w:font w:name="MinionPro-Regular">
    <w:panose1 w:val="05040102010807070707"/>
  </w:font>
  <w:font w:name="Arial">
    <w:panose1 w:val="020B060402020202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2365"/>
        <w:pBdr/>
        <w:spacing/>
        <w:ind/>
        <w:rPr/>
      </w:pPr>
      <w:r>
        <w:rPr>
          <w:rStyle w:val="2248"/>
        </w:rPr>
        <w:footnoteRef/>
      </w:r>
      <w:r>
        <w:t xml:space="preserve"> </w:t>
      </w:r>
      <w:r>
        <w:rPr>
          <w:rStyle w:val="2372"/>
        </w:rPr>
        <w:t xml:space="preserve">M</w:t>
      </w:r>
      <w:r>
        <w:t xml:space="preserve">.A. Hewitt, „Critical Theory”, în P. Scott and W.T. Cavanaugh (eds), </w:t>
      </w:r>
      <w:r>
        <w:rPr>
          <w:i/>
          <w:iCs/>
        </w:rPr>
        <w:t xml:space="preserve">The Blackwell Companion to Political Theology,</w:t>
      </w:r>
      <w:r>
        <w:t xml:space="preserve"> Blackwell Publishing, 2003. Unii autori au negat posibilitatea </w:t>
      </w:r>
      <w:r>
        <w:t xml:space="preserve">unei teologii politice (cf. E.</w:t>
      </w:r>
      <w:r>
        <w:t xml:space="preserve"> Peterson, </w:t>
      </w:r>
      <w:r>
        <w:rPr>
          <w:i/>
          <w:iCs/>
        </w:rPr>
        <w:t xml:space="preserve">Der Monotheismus als politisches Problem; ein Beitrag zur Geschichte der politschen Theologie im Imperium Romanum</w:t>
      </w:r>
      <w:r>
        <w:t xml:space="preserve">, Leipzig: Jakob Hegner, 1935, ca răspuns la C. Schmitt, </w:t>
      </w:r>
      <w:r>
        <w:rPr>
          <w:i/>
          <w:iCs/>
        </w:rPr>
        <w:t xml:space="preserve">Political Theology: Four Chapters on the Concept of Sovereignity</w:t>
      </w:r>
      <w:r>
        <w:t xml:space="preserve">, trans. C. Schmitt şi C. Schwab, Cambridge, MA, MIT Press, 1985 (1922); vezi, ediţia în lb. română, C. Schmitt, </w:t>
      </w:r>
      <w:r>
        <w:rPr>
          <w:i/>
          <w:iCs/>
        </w:rPr>
        <w:t xml:space="preserve">Teologia politică</w:t>
      </w:r>
      <w:r>
        <w:t xml:space="preserve">, trad. şi note L. Stan şi L. Turcescu, Bucureşti,  Universal Dalsi, 1996. Vezi şi articolul lui </w:t>
      </w:r>
      <w:r>
        <w:rPr>
          <w:lang w:eastAsia="en-GB"/>
        </w:rPr>
        <w:t xml:space="preserve">G. Geréby, </w:t>
      </w:r>
      <w:r>
        <w:rPr>
          <w:lang w:eastAsia="en-GB"/>
        </w:rPr>
        <w:t xml:space="preserve">„</w:t>
      </w:r>
      <w:r>
        <w:rPr>
          <w:lang w:eastAsia="en-GB"/>
        </w:rPr>
        <w:t xml:space="preserve">Political Theology versus Theological Politics: Erik Peterson and Carl Schmitt</w:t>
      </w:r>
      <w:r>
        <w:rPr>
          <w:lang w:eastAsia="en-GB"/>
        </w:rPr>
        <w:t xml:space="preserve">”</w:t>
      </w:r>
      <w:r>
        <w:rPr>
          <w:lang w:eastAsia="en-GB"/>
        </w:rPr>
        <w:t xml:space="preserve">, </w:t>
      </w:r>
      <w:r>
        <w:rPr>
          <w:i/>
          <w:iCs/>
          <w:lang w:eastAsia="en-GB"/>
        </w:rPr>
        <w:t xml:space="preserve">New German Critique</w:t>
      </w:r>
      <w:r>
        <w:rPr>
          <w:lang w:eastAsia="en-GB"/>
        </w:rPr>
        <w:t xml:space="preserve">, 105 (2008), 7-33.</w:t>
      </w:r>
      <w:r/>
    </w:p>
  </w:footnote>
  <w:footnote w:id="3">
    <w:p>
      <w:pPr>
        <w:pStyle w:val="2365"/>
        <w:pBdr/>
        <w:spacing/>
        <w:ind/>
        <w:rPr/>
      </w:pPr>
      <w:r>
        <w:rPr>
          <w:rStyle w:val="2248"/>
        </w:rPr>
        <w:footnoteRef/>
      </w:r>
      <w:r>
        <w:t xml:space="preserve">  C. Schmitt, </w:t>
      </w:r>
      <w:r>
        <w:rPr>
          <w:i/>
          <w:iCs/>
        </w:rPr>
        <w:t xml:space="preserve">On the Concept of the Political</w:t>
      </w:r>
      <w:r>
        <w:t xml:space="preserve">, "The affirmation of the political is the affirmation of the Nature state." ?? Dacă aşa stau lucrurile, dacă divizarea şi asocierea sta la baza politicului atunci, desigur, că politicul este o expres</w:t>
      </w:r>
      <w:r>
        <w:t xml:space="preserve">ie a relei decizii de a lua din copacul cunoaşterii binelui şi răului (Gen.2-3). Dumnezeu este definit ca duşman al destinului uman, iar şarpele ca prieten, iar mai târziu distincţia greşită continuă la Cain şi Abel, la Lamech şi tânărul ucis de el, etc.  </w:t>
      </w:r>
      <w:r/>
    </w:p>
  </w:footnote>
  <w:footnote w:id="4">
    <w:p>
      <w:pPr>
        <w:pStyle w:val="2365"/>
        <w:pBdr/>
        <w:spacing/>
        <w:ind/>
        <w:rPr/>
      </w:pPr>
      <w:r>
        <w:rPr>
          <w:rStyle w:val="2248"/>
        </w:rPr>
        <w:footnoteRef/>
      </w:r>
      <w:r>
        <w:t xml:space="preserve"> C. Schmitt, </w:t>
      </w:r>
      <w:r>
        <w:rPr>
          <w:i/>
          <w:iCs/>
        </w:rPr>
        <w:t xml:space="preserve">Teoria partizanului</w:t>
      </w:r>
      <w:r>
        <w:t xml:space="preserve">. Orice om este născut să se lupte, lupta pentru un scop este inerentă naturii umane.</w:t>
      </w:r>
      <w:r/>
    </w:p>
  </w:footnote>
  <w:footnote w:id="5">
    <w:p>
      <w:pPr>
        <w:pStyle w:val="2365"/>
        <w:pBdr/>
        <w:spacing/>
        <w:ind/>
        <w:rPr/>
      </w:pPr>
      <w:r>
        <w:rPr>
          <w:rStyle w:val="2248"/>
        </w:rPr>
        <w:footnoteRef/>
      </w:r>
      <w:r>
        <w:t xml:space="preserve"> Pentru E. Peterson, acesta ar fi  şi singurul, sau unul dintre puţinele cazuri în care teologia politică are sens în cultura creştină. Conceptul de trinitate, conform lui Peterson, ar face imposibilă discuţia de</w:t>
      </w:r>
      <w:r>
        <w:t xml:space="preserve">spre teologie politică. Cu toate acestea, idealul mesianic, întruparea Fiului veşnic în Isus Hristos, legare de acesta a conceptelor de împărat şi împărăţie a lui Dumnezeu, ar conduce la ideea că se poate vorbi despre o teologie politică în Noul Testament.</w:t>
      </w:r>
      <w:r/>
    </w:p>
  </w:footnote>
  <w:footnote w:id="6">
    <w:p>
      <w:pPr>
        <w:pStyle w:val="2365"/>
        <w:pBdr/>
        <w:spacing/>
        <w:ind/>
        <w:rPr/>
      </w:pPr>
      <w:r>
        <w:rPr>
          <w:rStyle w:val="2248"/>
        </w:rPr>
        <w:footnoteRef/>
      </w:r>
      <w:r>
        <w:t xml:space="preserve">  Secularizarea, deci, ca încercare de coexistenţă a celor credincioşi împreună cu cei necredincioşi, până la venirea lui Hristos, şi fără dominaţia Bisericii asupra celorlalţi – dar cu slujirea şi misiunea Bisericii în</w:t>
      </w:r>
      <w:r>
        <w:t xml:space="preserve"> prim-pla</w:t>
      </w:r>
      <w:r>
        <w:t xml:space="preserve">n, poate fi privită c</w:t>
      </w:r>
      <w:r>
        <w:t xml:space="preserve">a un concept cu baze biblice. Cf. Matei 13:30, „Lăsaţi-le să crească amîndouă împreună pînă la seceriş şi, la vremea secerişului, voi spune secerătorilor: Smulgeţi întîi neghina, şi legaţi-o în snopi, ca s-o ardem, iar grîul strîngeţi-l în grînarul meu.”  </w:t>
      </w:r>
      <w:r/>
    </w:p>
  </w:footnote>
  <w:footnote w:id="7">
    <w:p>
      <w:pPr>
        <w:pStyle w:val="2365"/>
        <w:pBdr/>
        <w:spacing/>
        <w:ind/>
        <w:rPr/>
      </w:pPr>
      <w:r>
        <w:rPr>
          <w:rStyle w:val="2248"/>
        </w:rPr>
        <w:footnoteRef/>
      </w:r>
      <w:r>
        <w:t xml:space="preserve"> În timpul domniei împăratului bizantin Iustinian (482-565), Bisericile Ortodoxiei răsăritene au dezvoltat o concepţie particulară despre relaţia stat – Biserică, o colaborare cunoscută sub numele de „simfonie”. Deşi se afirmă</w:t>
      </w:r>
      <w:r>
        <w:t xml:space="preserve"> că această concepţie nu este caracteristic ortodoxă, deoarece la acel moment reprezenta o opţiune mai largă, vestică şi estică deopotrivă, în timp, aceasta a devenit o poziţie caracteristică Bisericilor ortodoxe răsăritene. Iustinian, un legislator remarc</w:t>
      </w:r>
      <w:r>
        <w:t xml:space="preserve">abil, a publicat mai multe colectii de legi, Corpus Juris Civilis, în 529 (în trei părţi: Digesta, Institutiones, şi Codex) şi legile Novellae. Una din expresiile faimoase din Corpus se referă exact la relaţia stat – Biserică: „ecclesia vivit lege romana”.</w:t>
      </w:r>
      <w:r/>
    </w:p>
  </w:footnote>
  <w:footnote w:id="8">
    <w:p>
      <w:pPr>
        <w:pStyle w:val="2365"/>
        <w:pBdr/>
        <w:spacing/>
        <w:ind/>
        <w:rPr/>
      </w:pPr>
      <w:r>
        <w:rPr>
          <w:rStyle w:val="2248"/>
        </w:rPr>
        <w:footnoteRef/>
      </w:r>
      <w:r>
        <w:t xml:space="preserve"> L.</w:t>
      </w:r>
      <w:r>
        <w:t xml:space="preserve"> Bretherton, </w:t>
      </w:r>
      <w:r>
        <w:rPr>
          <w:i/>
        </w:rPr>
        <w:t xml:space="preserve">Christianity &amp; Contemporary Politics. The Conditions and Possibilites of Faithful Witness</w:t>
      </w:r>
      <w:r>
        <w:t xml:space="preserve">, Malden, MA: Wiley-Blackwell, 2010, 3-4, 82-83.</w:t>
      </w:r>
      <w:r/>
    </w:p>
  </w:footnote>
  <w:footnote w:id="9">
    <w:p>
      <w:pPr>
        <w:pStyle w:val="2365"/>
        <w:pBdr/>
        <w:spacing/>
        <w:ind/>
        <w:rPr/>
      </w:pPr>
      <w:r>
        <w:rPr>
          <w:rStyle w:val="2248"/>
        </w:rPr>
        <w:footnoteRef/>
      </w:r>
      <w:r>
        <w:t xml:space="preserve"> Pentru Aristotel, politica este o ştiinţă (</w:t>
      </w:r>
      <w:r>
        <w:rPr>
          <w:i/>
          <w:iCs/>
        </w:rPr>
        <w:t xml:space="preserve">politike episteme</w:t>
      </w:r>
      <w:r>
        <w:t xml:space="preserve">) şi, ca atare, este o ştiinţă practică, o disciplină normativă, mai mult decât o cunoaştere teoretică, şi se ocupă cu acţiunea de asigurare</w:t>
      </w:r>
      <w:r>
        <w:t xml:space="preserve"> a conducerii cetăţii spre binele comunităţii, în contextul aplicarii legilor existente (legi şi constituţie). Statul începe să existe pentru a pentru a facilita viaţa socială şi continuă să existe pentru a asigura forma optimă a vieţii sociale în cetate (</w:t>
      </w:r>
      <w:r>
        <w:rPr>
          <w:i/>
          <w:iCs/>
        </w:rPr>
        <w:t xml:space="preserve">Politica</w:t>
      </w:r>
      <w:r>
        <w:t xml:space="preserve"> I.2.1252b29-30; III.6.1278b17-24, 9.1280b39; VII.2.1325a</w:t>
      </w:r>
      <w:r>
        <w:t xml:space="preserve">7-10). El se bazează pe un teritoriu, pe cetăţeni (comunitate, koinonia) – cauza materială; pe existenţa unui corpus legislativ (legi; constituţie) – cauza formală; pe existenţa unor conducători – cauza eficientă; pe optimizarea conducerii – cauza finală (</w:t>
      </w:r>
      <w:r>
        <w:rPr>
          <w:i/>
          <w:iCs/>
        </w:rPr>
        <w:t xml:space="preserve">Politica</w:t>
      </w:r>
      <w:r>
        <w:t xml:space="preserve"> IV.1.1289a17-18). Despre discuţia referitoare la concepţia augustiniană şi gândirea lui Aristotel, cf. Bretherton, </w:t>
      </w:r>
      <w:r>
        <w:rPr>
          <w:i/>
          <w:iCs/>
        </w:rPr>
        <w:t xml:space="preserve">Christianity and Contemporary Politics,</w:t>
      </w:r>
      <w:r>
        <w:t xml:space="preserve"> 83.</w:t>
      </w:r>
      <w:r/>
    </w:p>
  </w:footnote>
  <w:footnote w:id="10">
    <w:p>
      <w:pPr>
        <w:pStyle w:val="2365"/>
        <w:pBdr/>
        <w:spacing/>
        <w:ind/>
        <w:rPr/>
      </w:pPr>
      <w:r>
        <w:rPr>
          <w:rStyle w:val="2248"/>
        </w:rPr>
        <w:footnoteRef/>
      </w:r>
      <w:r>
        <w:t xml:space="preserve"> Cf. Bretherton, </w:t>
      </w:r>
      <w:r>
        <w:rPr>
          <w:i/>
          <w:iCs/>
        </w:rPr>
        <w:t xml:space="preserve">Christianity and Contemporary Politics, </w:t>
      </w:r>
      <w:r>
        <w:t xml:space="preserve">19.</w:t>
      </w:r>
      <w:r/>
    </w:p>
  </w:footnote>
  <w:footnote w:id="11">
    <w:p>
      <w:pPr>
        <w:pStyle w:val="2365"/>
        <w:pBdr/>
        <w:spacing/>
        <w:ind/>
        <w:rPr/>
      </w:pPr>
      <w:r>
        <w:rPr>
          <w:rStyle w:val="2248"/>
        </w:rPr>
        <w:footnoteRef/>
      </w:r>
      <w:r>
        <w:t xml:space="preserve"> C. Schmitt, </w:t>
      </w:r>
      <w:r>
        <w:rPr>
          <w:i/>
          <w:iCs/>
        </w:rPr>
        <w:t xml:space="preserve">Political Theology: Four Chapters on the Concept of Sovereignity</w:t>
      </w:r>
      <w:r>
        <w:t xml:space="preserve"> , trans. C. Schmitt şi C. Schwab, Cambridge, MA, MIT Press, 1985 (1922); vezi, ediţia în lb. română, Carl Schmitt, </w:t>
      </w:r>
      <w:r>
        <w:rPr>
          <w:i/>
          <w:iCs/>
        </w:rPr>
        <w:t xml:space="preserve">Teologia politică</w:t>
      </w:r>
      <w:r>
        <w:t xml:space="preserve">, trad. şi note Lavinia Stan şi Lucian Turcescu, Universal Dalsi Publ. House, Bucureşti, 1996; idem, </w:t>
      </w:r>
      <w:r>
        <w:rPr>
          <w:i/>
        </w:rPr>
        <w:t xml:space="preserve">Political Theology II. The Myth of the Closure of any Political Theology</w:t>
      </w:r>
      <w:r>
        <w:t xml:space="preserve">, Michael Hoelzl and Graham Ward (trad), Malden, MA: Polity Press, 2008.</w:t>
      </w:r>
      <w:r/>
    </w:p>
  </w:footnote>
  <w:footnote w:id="12">
    <w:p>
      <w:pPr>
        <w:pStyle w:val="2365"/>
        <w:pBdr/>
        <w:spacing/>
        <w:ind/>
        <w:rPr>
          <w:iCs/>
        </w:rPr>
      </w:pPr>
      <w:r>
        <w:rPr>
          <w:rStyle w:val="2248"/>
        </w:rPr>
        <w:footnoteRef/>
      </w:r>
      <w:r>
        <w:t xml:space="preserve"> E.</w:t>
      </w:r>
      <w:r>
        <w:t xml:space="preserve"> Peterson, </w:t>
      </w:r>
      <w:r>
        <w:rPr>
          <w:i/>
          <w:iCs/>
        </w:rPr>
        <w:t xml:space="preserve">Was ist Theologie?</w:t>
      </w:r>
      <w:r>
        <w:t xml:space="preserve">, Bonn: Friedrich Cohen, 1925. El scrie că teologia aparţine saeculum-ului, perioadei dintre întrupare şi a doua venire a lui Hristos, şi că poate fi făcută doar de creştini (</w:t>
      </w:r>
      <w:r>
        <w:t xml:space="preserve">cuvânt despre Dumnezeu, </w:t>
      </w:r>
      <w:r>
        <w:t xml:space="preserve">teos-logos), ca prelungire, prin meditaţie, a cugetării despre revelaţia despre Dumnezeu dată prin Hristos (conform lui Peterson, păgânii au doar mituri şi metafizică, iar iudeii pot avea doar </w:t>
      </w:r>
      <w:r>
        <w:t xml:space="preserve">exegeză). Din acest motiv teologia are ceva sacru în ea, fiind legată de Logos, de Theos, nu de lumea curentă. Conform lui Peterson, teologia politică e imposibilă, e o contradicţie în termeni, chiar o blasfemie (cf. dezbaterea dintre Peterson şi Schmitt, </w:t>
      </w:r>
      <w:r>
        <w:rPr>
          <w:i/>
        </w:rPr>
        <w:t xml:space="preserve">Political Theology II,</w:t>
      </w:r>
      <w:r>
        <w:rPr>
          <w:iCs/>
        </w:rPr>
        <w:t xml:space="preserve"> 34-59).</w:t>
      </w:r>
      <w:r>
        <w:rPr>
          <w:iCs/>
        </w:rPr>
      </w:r>
    </w:p>
  </w:footnote>
  <w:footnote w:id="13">
    <w:p>
      <w:pPr>
        <w:pStyle w:val="2365"/>
        <w:pBdr/>
        <w:spacing/>
        <w:ind/>
        <w:rPr/>
      </w:pPr>
      <w:r>
        <w:rPr>
          <w:rStyle w:val="2248"/>
        </w:rPr>
        <w:footnoteRef/>
      </w:r>
      <w:r>
        <w:t xml:space="preserve"> J.B. Metz, </w:t>
      </w:r>
      <w:r>
        <w:rPr>
          <w:i/>
          <w:iCs/>
        </w:rPr>
        <w:t xml:space="preserve">Theology of the World</w:t>
      </w:r>
      <w:r>
        <w:t xml:space="preserve">, trad William Glen-Doepel. New York: Herder &amp; Herder, 1969; </w:t>
      </w:r>
      <w:r>
        <w:rPr>
          <w:i/>
          <w:iCs/>
        </w:rPr>
        <w:t xml:space="preserve">idem</w:t>
      </w:r>
      <w:r>
        <w:t xml:space="preserve"> „Political Theology”, în </w:t>
      </w:r>
      <w:r>
        <w:rPr>
          <w:i/>
          <w:iCs/>
        </w:rPr>
        <w:t xml:space="preserve">Sacramentum Mundi: An Encyclopedia of Theology,</w:t>
      </w:r>
      <w:r>
        <w:t xml:space="preserve"> volume V. London: Burns Gates, 1970; </w:t>
      </w:r>
      <w:r>
        <w:rPr>
          <w:i/>
          <w:iCs/>
        </w:rPr>
        <w:t xml:space="preserve">idem, Faith in History and Society</w:t>
      </w:r>
      <w:r>
        <w:t xml:space="preserve">, New York, NY: Seabury, 1980; J. Moltmann, </w:t>
      </w:r>
      <w:r>
        <w:rPr>
          <w:i/>
          <w:iCs/>
        </w:rPr>
        <w:t xml:space="preserve">Theology of Hope,</w:t>
      </w:r>
      <w:r>
        <w:t xml:space="preserve"> trad. James W Leitch, New York, NY: Harper &amp; Row, 1967; </w:t>
      </w:r>
      <w:r>
        <w:rPr>
          <w:i/>
          <w:iCs/>
        </w:rPr>
        <w:t xml:space="preserve">idem</w:t>
      </w:r>
      <w:r>
        <w:t xml:space="preserve">, </w:t>
      </w:r>
      <w:r>
        <w:rPr>
          <w:i/>
          <w:iCs/>
        </w:rPr>
        <w:t xml:space="preserve">Religion, Revolution and the Future</w:t>
      </w:r>
      <w:r>
        <w:t xml:space="preserve">, New York: Charles Scribner's Sons, 1969; </w:t>
      </w:r>
      <w:r>
        <w:rPr>
          <w:i/>
          <w:iCs/>
        </w:rPr>
        <w:t xml:space="preserve">idem, God for a Secular Society</w:t>
      </w:r>
      <w:r>
        <w:t xml:space="preserve">, Minneapolis, MN: Fortress Press, 1999; J.B. Metz, and J. Moltmann, </w:t>
      </w:r>
      <w:r>
        <w:rPr>
          <w:i/>
          <w:iCs/>
        </w:rPr>
        <w:t xml:space="preserve">Faith and the Future</w:t>
      </w:r>
      <w:r>
        <w:t xml:space="preserve">, Maryknoll, NY: Orbis, 1995.</w:t>
      </w:r>
      <w:r/>
    </w:p>
  </w:footnote>
  <w:footnote w:id="14">
    <w:p>
      <w:pPr>
        <w:pStyle w:val="2365"/>
        <w:pBdr/>
        <w:spacing/>
        <w:ind/>
        <w:rPr/>
      </w:pPr>
      <w:r>
        <w:rPr>
          <w:rStyle w:val="2248"/>
        </w:rPr>
        <w:footnoteRef/>
      </w:r>
      <w:r>
        <w:t xml:space="preserve"> Metz, „Political Theology”, 35; Moltmann, </w:t>
      </w:r>
      <w:r>
        <w:rPr>
          <w:i/>
          <w:iCs/>
        </w:rPr>
        <w:t xml:space="preserve">Theology of Hope, </w:t>
      </w:r>
      <w:r>
        <w:t xml:space="preserve">21.</w:t>
      </w:r>
      <w:r/>
    </w:p>
  </w:footnote>
  <w:footnote w:id="15">
    <w:p>
      <w:pPr>
        <w:pStyle w:val="2365"/>
        <w:pBdr/>
        <w:spacing/>
        <w:ind/>
        <w:rPr/>
      </w:pPr>
      <w:r>
        <w:rPr>
          <w:rStyle w:val="2248"/>
        </w:rPr>
        <w:footnoteRef/>
      </w:r>
      <w:r>
        <w:t xml:space="preserve"> </w:t>
      </w:r>
      <w:r>
        <w:rPr>
          <w:rFonts w:cs="TimesNewRoman"/>
        </w:rPr>
        <w:t xml:space="preserve">H.C. Thiessen, </w:t>
      </w:r>
      <w:r>
        <w:rPr>
          <w:rFonts w:cs="TimesNewRoman,Italic"/>
          <w:i/>
          <w:iCs/>
        </w:rPr>
        <w:t xml:space="preserve">Prelegeri de Teologie Sistematică</w:t>
      </w:r>
      <w:r>
        <w:rPr>
          <w:rFonts w:cs="TimesNewRoman"/>
        </w:rPr>
        <w:t xml:space="preserve">, rev. V.D. Doerksen, SMR: 1986 (</w:t>
      </w:r>
      <w:r>
        <w:rPr>
          <w:rFonts w:cs="TimesNewRoman,Italic"/>
          <w:i/>
          <w:iCs/>
        </w:rPr>
        <w:t xml:space="preserve">Lectures in Systematic Theology</w:t>
      </w:r>
      <w:r>
        <w:rPr>
          <w:rFonts w:cs="TimesNewRoman"/>
        </w:rPr>
        <w:t xml:space="preserve">, Grand Rapids, MI: Eerdmans, 1979). M. J. Erickson, </w:t>
      </w:r>
      <w:r>
        <w:rPr>
          <w:rFonts w:cs="TimesNewRoman,Italic"/>
          <w:i/>
          <w:iCs/>
        </w:rPr>
        <w:t xml:space="preserve">Teologie Crestină</w:t>
      </w:r>
      <w:r>
        <w:rPr>
          <w:rFonts w:cs="TimesNewRoman"/>
        </w:rPr>
        <w:t xml:space="preserve">, vols. 1-3, E. Jorj (trad.), Oradea: Cartea Crestină, 1998; W. Grudem, </w:t>
      </w:r>
      <w:r>
        <w:rPr>
          <w:rFonts w:cs="TimesNewRoman,Italic"/>
          <w:i/>
          <w:iCs/>
        </w:rPr>
        <w:t xml:space="preserve">Teologie sistematică. Introducere în doctrinele biblice</w:t>
      </w:r>
      <w:r>
        <w:rPr>
          <w:rFonts w:cs="TimesNewRoman"/>
        </w:rPr>
        <w:t xml:space="preserve">, trad. Dinu Moga, Paul Negruţ (ed.), Oradea: Făclia, 2004 (W. Grudem, </w:t>
      </w:r>
      <w:r>
        <w:rPr>
          <w:rFonts w:cs="TimesNewRoman,Italic"/>
          <w:i/>
          <w:iCs/>
        </w:rPr>
        <w:t xml:space="preserve">Systematic Theology. An Introduction to Biblical Doctrine</w:t>
      </w:r>
      <w:r>
        <w:rPr>
          <w:rFonts w:cs="TimesNewRoman"/>
        </w:rPr>
        <w:t xml:space="preserve">, Leicester, UK: InterVarsity Press, 1994).</w:t>
      </w:r>
      <w:r/>
    </w:p>
  </w:footnote>
  <w:footnote w:id="16">
    <w:p>
      <w:pPr>
        <w:pStyle w:val="2365"/>
        <w:pBdr/>
        <w:spacing/>
        <w:ind/>
        <w:rPr/>
      </w:pPr>
      <w:r>
        <w:rPr>
          <w:rStyle w:val="2248"/>
        </w:rPr>
        <w:footnoteRef/>
      </w:r>
      <w:r>
        <w:t xml:space="preserve"> Legătura dintre viaţa politică şi istoria ştiinţelor juridice este expusă pe larg în </w:t>
      </w:r>
      <w:r>
        <w:rPr>
          <w:rFonts w:cs="EJIFGH+TimesNewRoman"/>
          <w:color w:val="000000"/>
        </w:rPr>
        <w:t xml:space="preserve">H.J. Berman, </w:t>
      </w:r>
      <w:r>
        <w:rPr>
          <w:rFonts w:cs="EJIFLJ+TimesNewRoman,Italic"/>
          <w:i/>
          <w:iCs/>
          <w:color w:val="000000"/>
        </w:rPr>
        <w:t xml:space="preserve">Law and revolution. The Western Legal tradition</w:t>
      </w:r>
      <w:r>
        <w:rPr>
          <w:rFonts w:cs="EJIFLJ+TimesNewRoman,Italic"/>
          <w:color w:val="000000"/>
        </w:rPr>
        <w:t xml:space="preserve">, </w:t>
      </w:r>
      <w:r>
        <w:rPr>
          <w:rFonts w:cs="EJIFGH+TimesNewRoman"/>
          <w:color w:val="000000"/>
        </w:rPr>
        <w:t xml:space="preserve">Cambridge, MA: London 1983.</w:t>
      </w:r>
      <w:r>
        <w:t xml:space="preserve"> </w:t>
      </w:r>
      <w:r/>
    </w:p>
  </w:footnote>
  <w:footnote w:id="17">
    <w:p>
      <w:pPr>
        <w:pStyle w:val="2365"/>
        <w:pBdr/>
        <w:spacing/>
        <w:ind/>
        <w:rPr/>
      </w:pPr>
      <w:r>
        <w:rPr>
          <w:rStyle w:val="2248"/>
        </w:rPr>
        <w:footnoteRef/>
      </w:r>
      <w:r>
        <w:t xml:space="preserve"> G. Leibniz, </w:t>
      </w:r>
      <w:r>
        <w:rPr>
          <w:i/>
        </w:rPr>
        <w:t xml:space="preserve">Nova Methodus</w:t>
      </w:r>
      <w:r>
        <w:t xml:space="preserve">, par. 4, 5, citat de C. Schmitt. Titlul întreg al aceste prime lucrări de matematică a lui Leibniz, apărute în </w:t>
      </w:r>
      <w:r>
        <w:rPr>
          <w:i/>
        </w:rPr>
        <w:t xml:space="preserve">Acta Eruditorum</w:t>
      </w:r>
      <w:r>
        <w:t xml:space="preserve">, este ‘Nova methodus pro maximis et minimis, itemque tangentibus, quae nec </w:t>
      </w:r>
      <w:r>
        <w:t xml:space="preserve">fractas nec irrationales quantitates moratur, et singulare pro illis calculi genus’ (O nouă metodă pentru maxime şi minime, şi pentru tangente, care nu este împiedicată de numere fracţionale sau iraţionale, precum şi o maniera remarcabilă de a le calcula).</w:t>
      </w:r>
      <w:r/>
    </w:p>
  </w:footnote>
  <w:footnote w:id="18">
    <w:p>
      <w:pPr>
        <w:pStyle w:val="2365"/>
        <w:pBdr/>
        <w:spacing/>
        <w:ind/>
        <w:rPr/>
      </w:pPr>
      <w:r>
        <w:rPr>
          <w:rStyle w:val="2248"/>
        </w:rPr>
        <w:footnoteRef/>
      </w:r>
      <w:r>
        <w:t xml:space="preserve"> Câteva lucrări majore subliniază dilemele de tip politic şi teologic născute pe teritoriul care în mod tradiţional s-a aflat sub autoritatea papală, cf. </w:t>
      </w:r>
      <w:r>
        <w:rPr>
          <w:rFonts w:cs="EJIFGH+TimesNewRoman"/>
          <w:color w:val="000000"/>
        </w:rPr>
        <w:t xml:space="preserve">P. Prodi, </w:t>
      </w:r>
      <w:r>
        <w:rPr>
          <w:rFonts w:cs="EJIFLJ+TimesNewRoman,Italic"/>
          <w:i/>
          <w:iCs/>
          <w:color w:val="000000"/>
        </w:rPr>
        <w:t xml:space="preserve">Il sovrano pontefice. Un corpo e due anime: la monarchia papale nella prima età moderna</w:t>
      </w:r>
      <w:r>
        <w:rPr>
          <w:rFonts w:cs="EJIFLJ+TimesNewRoman,Italic"/>
          <w:color w:val="000000"/>
        </w:rPr>
        <w:t xml:space="preserve">, </w:t>
      </w:r>
      <w:r>
        <w:rPr>
          <w:rFonts w:cs="EJIFGH+TimesNewRoman"/>
          <w:color w:val="000000"/>
        </w:rPr>
        <w:t xml:space="preserve">Bologna 2006, D.K. Van Kley, </w:t>
      </w:r>
      <w:r>
        <w:rPr>
          <w:rFonts w:cs="EJIFLJ+TimesNewRoman,Italic"/>
          <w:i/>
          <w:iCs/>
          <w:color w:val="000000"/>
        </w:rPr>
        <w:t xml:space="preserve">The Religious Origins of the French Revolution. From Calvin to the Civil Constitution, 1560-1791</w:t>
      </w:r>
      <w:r>
        <w:rPr>
          <w:rFonts w:cs="EJIFLJ+TimesNewRoman,Italic"/>
          <w:color w:val="000000"/>
        </w:rPr>
        <w:t xml:space="preserve">, </w:t>
      </w:r>
      <w:r>
        <w:rPr>
          <w:rFonts w:cs="EJIFGH+TimesNewRoman"/>
          <w:color w:val="000000"/>
        </w:rPr>
        <w:t xml:space="preserve">Yale Univ. Press, New Haven-London 1996; C. Maire, </w:t>
      </w:r>
      <w:r>
        <w:rPr>
          <w:rFonts w:cs="EJIFLJ+TimesNewRoman,Italic"/>
          <w:i/>
          <w:iCs/>
          <w:color w:val="000000"/>
        </w:rPr>
        <w:t xml:space="preserve">De la cause de Dieu à la cause de la nation. Le jansénisme au XVIIIe siècle</w:t>
      </w:r>
      <w:r>
        <w:rPr>
          <w:rFonts w:cs="EJIFLJ+TimesNewRoman,Italic"/>
          <w:color w:val="000000"/>
        </w:rPr>
        <w:t xml:space="preserve">, </w:t>
      </w:r>
      <w:r>
        <w:rPr>
          <w:rFonts w:cs="EJIFGH+TimesNewRoman"/>
          <w:color w:val="000000"/>
        </w:rPr>
        <w:t xml:space="preserve">Paris 1998. </w:t>
      </w:r>
      <w:r>
        <w:t xml:space="preserve"> </w:t>
      </w:r>
      <w:r/>
    </w:p>
  </w:footnote>
  <w:footnote w:id="19">
    <w:p>
      <w:pPr>
        <w:pStyle w:val="2365"/>
        <w:pBdr/>
        <w:spacing/>
        <w:ind/>
        <w:rPr/>
      </w:pPr>
      <w:r>
        <w:rPr>
          <w:rStyle w:val="2248"/>
        </w:rPr>
        <w:footnoteRef/>
      </w:r>
      <w:r>
        <w:t xml:space="preserve"> C. Schmitt, „Political Theology”, în C. Schmitt, </w:t>
      </w:r>
      <w:r>
        <w:rPr>
          <w:i/>
          <w:iCs/>
        </w:rPr>
        <w:t xml:space="preserve">Political Theology: Four Chapters on the Concept of Sovereignity</w:t>
      </w:r>
      <w:r>
        <w:t xml:space="preserve"> , trans. C. Schmitt şi C. Schwab, Cambridge, MA, MIT Press</w:t>
      </w:r>
      <w:r>
        <w:t xml:space="preserve">, 1985 (1922), 36-52, 36. E.</w:t>
      </w:r>
      <w:r>
        <w:t xml:space="preserve"> Peterson (1890-1960) a fost cel ce a obiectat, </w:t>
      </w:r>
      <w:r>
        <w:t xml:space="preserve">în mod major, faţă de această concepţie asupra teologiei politice. El considera, de fapt, că este imposibil să se vorbească despre o teologie politică de felul acesta, deoarece Dumnezeu este transcendent şi categoriile existenţei sale nu se pot reflecta bi</w:t>
      </w:r>
      <w:r>
        <w:t xml:space="preserve">ne în societatea omenească (E.</w:t>
      </w:r>
      <w:r>
        <w:t xml:space="preserve"> Peterson, „Göttliche Monarchie”, </w:t>
      </w:r>
      <w:r>
        <w:rPr>
          <w:i/>
          <w:iCs/>
        </w:rPr>
        <w:t xml:space="preserve">Theologischen Quartalsschrift</w:t>
      </w:r>
      <w:r>
        <w:t xml:space="preserve">, Heft LV (1931), 537-64; idem, </w:t>
      </w:r>
      <w:r>
        <w:rPr>
          <w:i/>
          <w:iCs/>
        </w:rPr>
        <w:t xml:space="preserve">Der Monotheismus als politisches Problem; ein Beitrag zur Geschichte der politischen Theologie im Imperium Romanum</w:t>
      </w:r>
      <w:r>
        <w:t xml:space="preserve">, Leipzig: Jakob Hegner, 1935; idem, </w:t>
      </w:r>
      <w:r>
        <w:rPr>
          <w:i/>
          <w:iCs/>
        </w:rPr>
        <w:t xml:space="preserve">Theologische Traktate</w:t>
      </w:r>
      <w:r>
        <w:t xml:space="preserve">, Munich: Kösel Verlag, 1950, 147.</w:t>
      </w:r>
      <w:r/>
    </w:p>
  </w:footnote>
  <w:footnote w:id="20">
    <w:p>
      <w:pPr>
        <w:pStyle w:val="2365"/>
        <w:pBdr/>
        <w:spacing/>
        <w:ind/>
        <w:rPr/>
      </w:pPr>
      <w:r>
        <w:rPr>
          <w:rStyle w:val="2248"/>
        </w:rPr>
        <w:footnoteRef/>
      </w:r>
      <w:r>
        <w:t xml:space="preserve"> C. Schmitt; Hans Eger, </w:t>
      </w:r>
      <w:r>
        <w:rPr>
          <w:i/>
          <w:iCs/>
        </w:rPr>
        <w:t xml:space="preserve">Die ersten Ansätze zu einer politischen Theologie in der christlichen Kirche</w:t>
      </w:r>
      <w:r>
        <w:t xml:space="preserve">, în „Deutsche Theologie. Monatschrift für die deutsche evangelische Kirche”, nr. 2, Stuttgart, 1935, pp. 272-281; </w:t>
      </w:r>
      <w:r>
        <w:rPr>
          <w:rFonts w:cs="EJIFGH+TimesNewRoman"/>
          <w:color w:val="000000"/>
        </w:rPr>
        <w:t xml:space="preserve">G. Agamben, </w:t>
      </w:r>
      <w:r>
        <w:rPr>
          <w:rFonts w:cs="EJIFGH+TimesNewRoman"/>
          <w:i/>
          <w:iCs/>
          <w:color w:val="000000"/>
        </w:rPr>
        <w:t xml:space="preserve">Il</w:t>
      </w:r>
      <w:r>
        <w:rPr>
          <w:rFonts w:cs="EJIFLJ+TimesNewRoman,Italic"/>
          <w:i/>
          <w:iCs/>
          <w:color w:val="000000"/>
        </w:rPr>
        <w:t xml:space="preserve"> Regno e la Gloria. Per una genealogia teologica dell’economia e del governo</w:t>
      </w:r>
      <w:r>
        <w:rPr>
          <w:rFonts w:cs="EJIFLJ+TimesNewRoman,Italic"/>
          <w:color w:val="000000"/>
        </w:rPr>
        <w:t xml:space="preserve">, </w:t>
      </w:r>
      <w:r>
        <w:rPr>
          <w:rFonts w:cs="EJIFGH+TimesNewRoman"/>
          <w:color w:val="000000"/>
        </w:rPr>
        <w:t xml:space="preserve">Bollati Boringhieri, Torino 2009 ( Ia ed. 2007); idem, </w:t>
      </w:r>
      <w:r>
        <w:rPr>
          <w:rFonts w:cs="EJIFLJ+TimesNewRoman,Italic"/>
          <w:i/>
          <w:iCs/>
          <w:color w:val="000000"/>
        </w:rPr>
        <w:t xml:space="preserve">Il sacramento del potere. Il giuramento politico nella storia costituzionale dell’Occidente</w:t>
      </w:r>
      <w:r>
        <w:rPr>
          <w:rFonts w:cs="EJIFLJ+TimesNewRoman,Italic"/>
          <w:color w:val="000000"/>
        </w:rPr>
        <w:t xml:space="preserve">, </w:t>
      </w:r>
      <w:r>
        <w:rPr>
          <w:rFonts w:cs="EJIFGH+TimesNewRoman"/>
          <w:color w:val="000000"/>
        </w:rPr>
        <w:t xml:space="preserve">Il Mulino, Bologna 1992. </w:t>
      </w:r>
      <w:r>
        <w:t xml:space="preserve"> </w:t>
      </w:r>
      <w:r/>
    </w:p>
  </w:footnote>
  <w:footnote w:id="21">
    <w:p>
      <w:pPr>
        <w:pStyle w:val="2365"/>
        <w:pBdr/>
        <w:spacing/>
        <w:ind/>
        <w:rPr/>
      </w:pPr>
      <w:r>
        <w:rPr>
          <w:rStyle w:val="2248"/>
        </w:rPr>
        <w:footnoteRef/>
      </w:r>
      <w:r>
        <w:t xml:space="preserve"> Cf. E.</w:t>
      </w:r>
      <w:r>
        <w:t xml:space="preserve"> Peterson, </w:t>
      </w:r>
      <w:r>
        <w:rPr>
          <w:i/>
          <w:iCs/>
        </w:rPr>
        <w:t xml:space="preserve">Kaiser Augustus im Urteil des antiken Christentums. Ein Beitrag zur Geschichte der politischenTheologie</w:t>
      </w:r>
      <w:r>
        <w:t xml:space="preserve">, Kempten-München, 1933, pp. 289-299.</w:t>
      </w:r>
      <w:r/>
    </w:p>
  </w:footnote>
  <w:footnote w:id="22">
    <w:p>
      <w:pPr>
        <w:pStyle w:val="2365"/>
        <w:pBdr/>
        <w:spacing/>
        <w:ind/>
        <w:rPr/>
      </w:pPr>
      <w:r>
        <w:rPr>
          <w:rStyle w:val="2248"/>
        </w:rPr>
        <w:footnoteRef/>
      </w:r>
      <w:r>
        <w:t xml:space="preserve"> J. B. Metz, </w:t>
      </w:r>
      <w:r>
        <w:rPr>
          <w:i/>
        </w:rPr>
        <w:t xml:space="preserve">A Passion for God: The Mystical-Political Dimension of Christianity, </w:t>
      </w:r>
      <w:r>
        <w:t xml:space="preserve">edited and translated, with an introduction by J. Matthew Ashley, New York: Paulist Press, 1998, 23—25; apro</w:t>
      </w:r>
      <w:r>
        <w:t xml:space="preserve">piat de observaţiile lui Metz,</w:t>
      </w:r>
      <w:r>
        <w:t xml:space="preserve"> Moltmann a explorat şi el noile sensuri ale teologiei politice notând că  “Political theology, in our opinion, no longer implies only theology and politics, church and state. Rather, responsible theology must bec</w:t>
      </w:r>
      <w:r>
        <w:t xml:space="preserve">ome aware of an inherent political dimension in itself and in church life. On the other hand, political theology does not reduce everything to politics (C. Schmitt) nor does it submit theology and the church to the terms and requirements of state policy.” </w:t>
      </w:r>
      <w:r>
        <w:t xml:space="preserve">J.</w:t>
      </w:r>
      <w:r>
        <w:t xml:space="preserve"> Moltmann, “The Cross and Civil Religion”, în </w:t>
      </w:r>
      <w:r>
        <w:rPr>
          <w:i/>
          <w:iCs/>
        </w:rPr>
        <w:t xml:space="preserve">Religion and Political Society </w:t>
      </w:r>
      <w:r>
        <w:t xml:space="preserve">(New York: Harper &amp; Row, 1972), 18–19. The original article, “Political Theology,” appears in </w:t>
      </w:r>
      <w:r>
        <w:rPr>
          <w:i/>
          <w:iCs/>
        </w:rPr>
        <w:t xml:space="preserve">Theology Today </w:t>
      </w:r>
      <w:r>
        <w:t xml:space="preserve">28 no. 1 (April 1971) 6–23; cf. Arne Rasmussen, </w:t>
      </w:r>
      <w:r>
        <w:rPr>
          <w:i/>
          <w:iCs/>
        </w:rPr>
        <w:t xml:space="preserve">The Church as Polis: From Political Theology to Theological Politics as Exemplified by Jürgen Moltmann and Stanley Hauerwas </w:t>
      </w:r>
      <w:r>
        <w:t xml:space="preserve">(Notre Dame: University of Notre Dame Press, 1995); Kuno Füssel, </w:t>
      </w:r>
      <w:r>
        <w:rPr>
          <w:i/>
          <w:iCs/>
        </w:rPr>
        <w:t xml:space="preserve">Teologia politica</w:t>
      </w:r>
      <w:r>
        <w:t xml:space="preserve">, în </w:t>
      </w:r>
      <w:r>
        <w:rPr>
          <w:i/>
          <w:iCs/>
        </w:rPr>
        <w:t xml:space="preserve">Die Heissen Eisen von A bis Z</w:t>
      </w:r>
      <w:r>
        <w:t xml:space="preserve">, Johannes Bauer, Verlag, Graz, Austria, it.transl. </w:t>
      </w:r>
      <w:r>
        <w:rPr>
          <w:i/>
          <w:iCs/>
        </w:rPr>
        <w:t xml:space="preserve">Dizionario Teologico</w:t>
      </w:r>
      <w:r>
        <w:t xml:space="preserve">, Cittadela Editrice, Rome, 1974, pp. 736-743.</w:t>
      </w:r>
      <w:r/>
    </w:p>
  </w:footnote>
  <w:footnote w:id="23">
    <w:p>
      <w:pPr>
        <w:pStyle w:val="2365"/>
        <w:pBdr/>
        <w:spacing/>
        <w:ind/>
        <w:rPr/>
      </w:pPr>
      <w:r>
        <w:rPr>
          <w:rStyle w:val="2248"/>
        </w:rPr>
        <w:footnoteRef/>
      </w:r>
      <w:r>
        <w:t xml:space="preserve"> Andreas Marxen, </w:t>
      </w:r>
      <w:r>
        <w:rPr>
          <w:i/>
        </w:rPr>
        <w:t xml:space="preserve">Das Problem der Analogie zwischen den Seinsstrukturen der grossen Gemeinschaften, dargestellt im engeren Anschluss an die Schriften von Karl Schmitt und Erik Peterson</w:t>
      </w:r>
      <w:r>
        <w:t xml:space="preserve">, Würtzburg, 1938. Conform lui Marxen termenul „metapolitică” ar fi mai potrivit decât termenul „teologie politică”.</w:t>
      </w:r>
      <w:r/>
    </w:p>
  </w:footnote>
  <w:footnote w:id="24">
    <w:p>
      <w:pPr>
        <w:pStyle w:val="2365"/>
        <w:pBdr/>
        <w:spacing/>
        <w:ind/>
        <w:rPr/>
      </w:pPr>
      <w:r>
        <w:rPr>
          <w:rStyle w:val="2248"/>
        </w:rPr>
        <w:footnoteRef/>
      </w:r>
      <w:r>
        <w:t xml:space="preserve"> Teologia eliberării sociale este un termen folosit de Gustavo Guttierez, </w:t>
      </w:r>
      <w:r>
        <w:t xml:space="preserve">un preot catolic din Peru, în 1973, prin care înţelegea că Biserica trebuie să se concentreze asupra eliberării oamenilor din sărăcie şi de sub exploatare. Teologia eliberării a fost parţial inspirată de Conciliul Vatican 2 şi de enciclica papală din 1967,</w:t>
      </w:r>
      <w:r>
        <w:rPr>
          <w:i/>
        </w:rPr>
        <w:t xml:space="preserve"> Populorum progressio</w:t>
      </w:r>
      <w:r>
        <w:t xml:space="preserve">, având multe semne că este o preocupare „de sus în jos” în inte</w:t>
      </w:r>
      <w:r>
        <w:t xml:space="preserve">riorul Bisericii Romano-catolice (în acelaşi timp, ele aduceau o interesantă instabilitate politică în apropierea Americii de Nord). Vizavi de teologia politică şi valorile ei (structuri, principii, etc.), se poate observa că aceste ţări ale Americii Latin</w:t>
      </w:r>
      <w:r>
        <w:t xml:space="preserve">e în care s-a dezvoltat teologia eliberării sociale sunt preponderent catolice (Peru, Brazilia, Uruguay, Argentina, Bolivia, etc.). Printre conducătorii cunoscuţi ai acestei mişcări teologice s-au numărat Gutierrez, Leonardo Boff (Brazilia), şi Juan L. Seg</w:t>
      </w:r>
      <w:r>
        <w:t xml:space="preserve">undo (Uruguay). Amploarea mişcării şi pierderea controlului asupra ei au făcut ca Vaticanul să îl cenzureze pe Boff în 1985 şi să accepte doar o formă moderată a mişcării. De fapt, odată cu această teologie mai apăruse şi un alt fenomen secundar: neoprotes</w:t>
      </w:r>
      <w:r>
        <w:t xml:space="preserve">tantismul care încurajează descentralizarea Bisericii începuse să ia avânt considerabil în America Latină (îndeosebi Bisericile baptiste şi penticostale). Vezi Crowley Michael, „Spiritual Winds over a Cultural Sea: Grass-roots Patterns in Latin America”,  </w:t>
      </w:r>
      <w:r>
        <w:rPr>
          <w:i/>
        </w:rPr>
        <w:t xml:space="preserve">Religion</w:t>
      </w:r>
      <w:r>
        <w:t xml:space="preserve">, vol. 28/3 1998, 257-270. Vezi şi David Stoll, </w:t>
      </w:r>
      <w:r>
        <w:rPr>
          <w:i/>
          <w:iCs/>
        </w:rPr>
        <w:t xml:space="preserve">Is Latin America Turning Protestant? </w:t>
      </w:r>
      <w:r>
        <w:t xml:space="preserve">Berkeley, CA: University of California Press, 1990; J. Sépulveda, „El Crecimiento del movimiento Pentecostal en America Latina”, in Carmelo Alvarez (ed.), </w:t>
      </w:r>
      <w:r>
        <w:rPr>
          <w:i/>
          <w:iCs/>
        </w:rPr>
        <w:t xml:space="preserve">Pentecostalismo y Liberacion: Una Experiencia Latino-americano</w:t>
      </w:r>
      <w:r>
        <w:t xml:space="preserve">, San Jose: Costa Rica, 1992, 77.</w:t>
      </w:r>
      <w:r/>
    </w:p>
  </w:footnote>
  <w:footnote w:id="25">
    <w:p>
      <w:pPr>
        <w:pStyle w:val="2365"/>
        <w:pBdr/>
        <w:spacing/>
        <w:ind/>
        <w:rPr/>
      </w:pPr>
      <w:r>
        <w:rPr>
          <w:rStyle w:val="2248"/>
        </w:rPr>
        <w:footnoteRef/>
      </w:r>
      <w:r>
        <w:t xml:space="preserve"> Conform papei Ioan Paul II, temelia învăţăturii sociale catolice se sprijină pe pietrele de temelie ale demnităţii umane, solidarităţii şi subsidiarităţii (</w:t>
      </w:r>
      <w:r>
        <w:rPr>
          <w:i/>
          <w:iCs/>
        </w:rPr>
        <w:t xml:space="preserve">Apostolic Exhortation, Ecclesia in America</w:t>
      </w:r>
      <w:r>
        <w:t xml:space="preserve">, 1999, 55).</w:t>
      </w:r>
      <w:r/>
    </w:p>
  </w:footnote>
  <w:footnote w:id="26">
    <w:p>
      <w:pPr>
        <w:pStyle w:val="2365"/>
        <w:pBdr/>
        <w:spacing/>
        <w:ind/>
        <w:rPr/>
      </w:pPr>
      <w:r>
        <w:rPr>
          <w:rStyle w:val="2248"/>
        </w:rPr>
        <w:footnoteRef/>
      </w:r>
      <w:r>
        <w:t xml:space="preserve"> Adrian Gabor, </w:t>
      </w:r>
      <w:r>
        <w:rPr>
          <w:i/>
          <w:iCs/>
        </w:rPr>
        <w:t xml:space="preserve">Biserică şi Stat în timpul lui Teodosie cel Mare</w:t>
      </w:r>
      <w:r>
        <w:t xml:space="preserve">, Bucureşti: Ed. Bizantină, 2003; idem, </w:t>
      </w:r>
      <w:r>
        <w:rPr>
          <w:i/>
          <w:iCs/>
        </w:rPr>
        <w:t xml:space="preserve">Biserica şi Statul în primele patru secole</w:t>
      </w:r>
      <w:r>
        <w:t xml:space="preserve">, Ed. Sofia, Bucureşti: 2003; Costion Nicolescu, </w:t>
      </w:r>
      <w:r>
        <w:rPr>
          <w:i/>
          <w:iCs/>
        </w:rPr>
        <w:t xml:space="preserve">Teologul în cetate, Părintele Stăniloae în aria politicii</w:t>
      </w:r>
      <w:r>
        <w:t xml:space="preserve">, Bucureşti: Christiana, 2003; Ovidiu Panaite, „</w:t>
      </w:r>
      <w:r>
        <w:rPr>
          <w:bCs/>
        </w:rPr>
        <w:t xml:space="preserve">The political theology during the Constantine dynasty. Criteria </w:t>
      </w:r>
      <w:r>
        <w:rPr>
          <w:bCs/>
        </w:rPr>
        <w:t xml:space="preserve">concerning the church-state relationship for a pluralist society”, teza doctorat, Universitatea „Lucian Blaga” – Sibiu, Facultatea de teologie ortodoxă, 2009. Vezi un rezumat în limba engleză, http://doctorate.ulbsibiu.ro/obj/documents/rez-eng-panaite.pdf.</w:t>
      </w:r>
      <w:r/>
    </w:p>
  </w:footnote>
  <w:footnote w:id="27">
    <w:p>
      <w:pPr>
        <w:pStyle w:val="2365"/>
        <w:pBdr/>
        <w:spacing/>
        <w:ind/>
        <w:rPr/>
      </w:pPr>
      <w:r>
        <w:rPr>
          <w:rStyle w:val="2248"/>
        </w:rPr>
        <w:footnoteRef/>
      </w:r>
      <w:r>
        <w:t xml:space="preserve"> Liviu Stan, </w:t>
      </w:r>
      <w:r>
        <w:rPr>
          <w:i/>
          <w:iCs/>
        </w:rPr>
        <w:t xml:space="preserve">Relaţiile dintre Biserică şi Stat-studiu istorico-juridic</w:t>
      </w:r>
      <w:r>
        <w:t xml:space="preserve">, in „Ortodoxia”, an IV, 1952, nr. 3-4, iulie - decembrie, pp. 353-461; Ioan Vasile Leb, </w:t>
      </w:r>
      <w:r>
        <w:rPr>
          <w:i/>
          <w:iCs/>
        </w:rPr>
        <w:t xml:space="preserve">Biserică şi implicare</w:t>
      </w:r>
      <w:r>
        <w:t xml:space="preserve">, Limes Publ. House , Cluj, 2000; Idem, </w:t>
      </w:r>
      <w:r>
        <w:rPr>
          <w:i/>
          <w:iCs/>
        </w:rPr>
        <w:t xml:space="preserve">Biserica în acţiune</w:t>
      </w:r>
      <w:r>
        <w:t xml:space="preserve">, Limes Publ. House, Cluj, 2001; Daniel Barbu: „Subsidiaritate, democraţie creştină şi ortodoxie”, </w:t>
      </w:r>
      <w:r>
        <w:rPr>
          <w:i/>
        </w:rPr>
        <w:t xml:space="preserve">Provincia I</w:t>
      </w:r>
      <w:r>
        <w:t xml:space="preserve">, nr. 5, septembrie 2000, pp. 3-4; reprodus în </w:t>
      </w:r>
      <w:r>
        <w:rPr>
          <w:i/>
        </w:rPr>
        <w:t xml:space="preserve">Provincia 2000</w:t>
      </w:r>
      <w:r>
        <w:t xml:space="preserve">. Antologie, Editura Pro Europa, Târgu Mureş, 2001, pp. 158-166;  </w:t>
      </w:r>
      <w:r>
        <w:rPr>
          <w:i/>
          <w:iCs/>
        </w:rPr>
        <w:t xml:space="preserve">Teologie şi politică de la Sfinţii Părinţi la Europa Unită</w:t>
      </w:r>
      <w:r>
        <w:t xml:space="preserve">, vol. coord. de Miruna Tătaru Căzăban, Anastasia, Bucureşti, 2004; </w:t>
      </w:r>
      <w:r>
        <w:rPr>
          <w:i/>
          <w:iCs/>
        </w:rPr>
        <w:t xml:space="preserve">Un suflet pentru Europa. Dimensiunea religioasă a unui proiect politic</w:t>
      </w:r>
      <w:r>
        <w:t xml:space="preserve">, volume coordinated by Radu Carp, Anastasia Publ. House, Bucureşti, 2005; </w:t>
      </w:r>
      <w:r>
        <w:rPr>
          <w:i/>
          <w:iCs/>
        </w:rPr>
        <w:t xml:space="preserve">Gândirea socială a Bisericii</w:t>
      </w:r>
      <w:r>
        <w:t xml:space="preserve">, volume realized and prezented by Ioan I. Ică jr. and Germano Marani, Deisis, Sibiu, 2000; Teodor Baconsky, </w:t>
      </w:r>
      <w:r>
        <w:rPr>
          <w:i/>
          <w:iCs/>
        </w:rPr>
        <w:t xml:space="preserve">Puterea schismei</w:t>
      </w:r>
      <w:r>
        <w:t xml:space="preserve">, Anastasia, Bucureşti, 2001; Radu Preda, </w:t>
      </w:r>
      <w:r>
        <w:rPr>
          <w:i/>
          <w:iCs/>
        </w:rPr>
        <w:t xml:space="preserve">Biserica în Stat, o invitaţie la dezbatere</w:t>
      </w:r>
      <w:r>
        <w:t xml:space="preserve">, Scripta, Cluj, 1999; </w:t>
      </w:r>
      <w:r>
        <w:rPr>
          <w:i/>
          <w:iCs/>
        </w:rPr>
        <w:t xml:space="preserve">Biserică – Stat - Societate - documentaţia conferinţei Academiei Evanghelice Transilvania (AET) în colaborare cu AIDRom</w:t>
      </w:r>
      <w:r>
        <w:t xml:space="preserve">, seria Academia, vol. 1, Sibiu, 2003. Lavinia Stan şi Lucian Turcescu, </w:t>
      </w:r>
      <w:r>
        <w:rPr>
          <w:i/>
        </w:rPr>
        <w:t xml:space="preserve">Religion and Politics in Post-Comunist Romania</w:t>
      </w:r>
      <w:r>
        <w:t xml:space="preserve">, New York, NY: Oxford University Press, 2007; </w:t>
      </w:r>
      <w:r/>
    </w:p>
  </w:footnote>
  <w:footnote w:id="28">
    <w:p>
      <w:pPr>
        <w:pStyle w:val="2365"/>
        <w:pBdr/>
        <w:spacing/>
        <w:ind/>
        <w:rPr/>
      </w:pPr>
      <w:r>
        <w:rPr>
          <w:rStyle w:val="2248"/>
        </w:rPr>
        <w:footnoteRef/>
      </w:r>
      <w:r>
        <w:t xml:space="preserve"> Daniel Barbu: „Subsidiaritate, democraţie creştină şi ortodoxie”, </w:t>
      </w:r>
      <w:r>
        <w:rPr>
          <w:i/>
        </w:rPr>
        <w:t xml:space="preserve">Provincia I</w:t>
      </w:r>
      <w:r>
        <w:t xml:space="preserve">, nr. 5, septembrie 2000, pp. 3-4; reprodus in </w:t>
      </w:r>
      <w:r>
        <w:rPr>
          <w:i/>
        </w:rPr>
        <w:t xml:space="preserve">Provincia 2000</w:t>
      </w:r>
      <w:r>
        <w:t xml:space="preserve">.</w:t>
      </w:r>
      <w:r>
        <w:rPr>
          <w:i/>
        </w:rPr>
        <w:t xml:space="preserve"> Antologie</w:t>
      </w:r>
      <w:r>
        <w:t xml:space="preserve">, Editura Pro Europa, Târgu Mureş, 2001, 158-166.</w:t>
      </w:r>
      <w:r/>
    </w:p>
  </w:footnote>
  <w:footnote w:id="29">
    <w:p>
      <w:pPr>
        <w:pStyle w:val="2365"/>
        <w:pBdr/>
        <w:spacing/>
        <w:ind/>
        <w:rPr/>
      </w:pPr>
      <w:r>
        <w:rPr>
          <w:rStyle w:val="2248"/>
        </w:rPr>
        <w:footnoteRef/>
      </w:r>
      <w:r>
        <w:t xml:space="preserve"> Barbu: „Subsidiaritate”, 3-4.</w:t>
      </w:r>
      <w:r/>
    </w:p>
  </w:footnote>
  <w:footnote w:id="30">
    <w:p>
      <w:pPr>
        <w:pStyle w:val="2365"/>
        <w:pBdr/>
        <w:spacing/>
        <w:ind/>
        <w:rPr/>
      </w:pPr>
      <w:r>
        <w:rPr>
          <w:rStyle w:val="2248"/>
        </w:rPr>
        <w:footnoteRef/>
      </w:r>
      <w:r>
        <w:t xml:space="preserve"> </w:t>
      </w:r>
      <w:r>
        <w:rPr>
          <w:rFonts w:cs="Times-Bold"/>
        </w:rPr>
        <w:t xml:space="preserve">T.R. Sarbin, „The Narrative as a Root Metaphor for Psychology”, in  T.R. Sarbin (ed.) </w:t>
      </w:r>
      <w:r>
        <w:rPr>
          <w:rFonts w:cs="Times-BoldItalic"/>
          <w:i/>
          <w:iCs/>
        </w:rPr>
        <w:t xml:space="preserve">Narrative Psychology: The Storied Nature of Human Conduct, </w:t>
      </w:r>
      <w:r>
        <w:rPr>
          <w:rFonts w:cs="Times-Bold"/>
        </w:rPr>
        <w:t xml:space="preserve">New York: Praeger, 1986; Cf. şi Sarbin, „The Narrative Quality of Action”, comunicare ţinută la </w:t>
      </w:r>
      <w:r>
        <w:rPr>
          <w:rFonts w:cs="Times-Roman"/>
        </w:rPr>
        <w:t xml:space="preserve">Western Psychological Association Convention, Reno, Nevada, April 29, 1989.</w:t>
      </w:r>
      <w:r/>
    </w:p>
  </w:footnote>
  <w:footnote w:id="31">
    <w:p>
      <w:pPr>
        <w:pStyle w:val="2365"/>
        <w:pBdr/>
        <w:spacing/>
        <w:ind/>
        <w:rPr/>
      </w:pPr>
      <w:r>
        <w:rPr>
          <w:rStyle w:val="2248"/>
        </w:rPr>
        <w:footnoteRef/>
      </w:r>
      <w:r>
        <w:t xml:space="preserve">  P. Oborne, </w:t>
      </w:r>
      <w:r>
        <w:rPr>
          <w:i/>
        </w:rPr>
        <w:t xml:space="preserve">The Rise of Political Lying</w:t>
      </w:r>
      <w:r>
        <w:t xml:space="preserve">, London: Free Press, 2005.</w:t>
      </w:r>
      <w:r/>
    </w:p>
    <w:p>
      <w:pPr>
        <w:pStyle w:val="2365"/>
        <w:pBdr/>
        <w:spacing/>
        <w:ind/>
        <w:rPr/>
      </w:pPr>
      <w:r/>
      <w:r/>
    </w:p>
  </w:footnote>
  <w:footnote w:id="32">
    <w:p>
      <w:pPr>
        <w:pStyle w:val="2365"/>
        <w:pBdr/>
        <w:spacing/>
        <w:ind/>
        <w:rPr/>
      </w:pPr>
      <w:r>
        <w:rPr>
          <w:rStyle w:val="2248"/>
        </w:rPr>
        <w:footnoteRef/>
      </w:r>
      <w:r>
        <w:t xml:space="preserve"> Corin Braga, </w:t>
      </w:r>
      <w:r>
        <w:rPr>
          <w:i/>
        </w:rPr>
        <w:t xml:space="preserve">De la arhetip la anarhetip</w:t>
      </w:r>
      <w:r>
        <w:t xml:space="preserve">, Polirom: Iaşi, 2009.</w:t>
      </w:r>
      <w:r/>
    </w:p>
    <w:p>
      <w:pPr>
        <w:pStyle w:val="2365"/>
        <w:pBdr/>
        <w:spacing/>
        <w:ind/>
        <w:rPr/>
      </w:pPr>
      <w:r/>
      <w:r/>
    </w:p>
  </w:footnote>
  <w:footnote w:id="33">
    <w:p>
      <w:pPr>
        <w:pStyle w:val="2365"/>
        <w:pBdr/>
        <w:spacing/>
        <w:ind/>
        <w:rPr/>
      </w:pPr>
      <w:r>
        <w:rPr>
          <w:rStyle w:val="2248"/>
        </w:rPr>
        <w:footnoteRef/>
      </w:r>
      <w:r>
        <w:t xml:space="preserve"> Metz, „Political Theology”, 36.</w:t>
      </w:r>
      <w:r/>
    </w:p>
  </w:footnote>
  <w:footnote w:id="34">
    <w:p>
      <w:pPr>
        <w:pStyle w:val="2365"/>
        <w:pBdr/>
        <w:spacing/>
        <w:ind/>
        <w:rPr/>
      </w:pPr>
      <w:r>
        <w:rPr>
          <w:rStyle w:val="2248"/>
        </w:rPr>
        <w:footnoteRef/>
      </w:r>
      <w:r>
        <w:t xml:space="preserve"> Bernd Wannenwetsch, „The Political Worship of the Church. A Critical and Empowering Practice”, </w:t>
      </w:r>
      <w:r>
        <w:rPr>
          <w:i/>
          <w:iCs/>
        </w:rPr>
        <w:t xml:space="preserve">Modern Theology</w:t>
      </w:r>
      <w:r>
        <w:t xml:space="preserve"> 12 (1996) 269-299.</w:t>
      </w:r>
      <w:r/>
    </w:p>
  </w:footnote>
  <w:footnote w:id="35">
    <w:p>
      <w:pPr>
        <w:pStyle w:val="2365"/>
        <w:pBdr/>
        <w:spacing/>
        <w:ind/>
        <w:rPr>
          <w:iCs/>
        </w:rPr>
      </w:pPr>
      <w:r>
        <w:rPr>
          <w:rStyle w:val="2248"/>
        </w:rPr>
        <w:footnoteRef/>
      </w:r>
      <w:r>
        <w:t xml:space="preserve"> Bretherton, </w:t>
      </w:r>
      <w:r>
        <w:rPr>
          <w:i/>
        </w:rPr>
        <w:t xml:space="preserve">Christianity &amp; Contemporary Politics,</w:t>
      </w:r>
      <w:r>
        <w:rPr>
          <w:iCs/>
        </w:rPr>
        <w:t xml:space="preserve">1.</w:t>
      </w:r>
      <w:r>
        <w:rPr>
          <w:iCs/>
        </w:rPr>
      </w:r>
    </w:p>
  </w:footnote>
  <w:footnote w:id="36">
    <w:p>
      <w:pPr>
        <w:pStyle w:val="2365"/>
        <w:pBdr/>
        <w:spacing/>
        <w:ind/>
        <w:rPr>
          <w:iCs/>
        </w:rPr>
      </w:pPr>
      <w:r>
        <w:rPr>
          <w:rStyle w:val="2248"/>
        </w:rPr>
        <w:footnoteRef/>
      </w:r>
      <w:r>
        <w:t xml:space="preserve"> Bretherton, </w:t>
      </w:r>
      <w:r>
        <w:rPr>
          <w:i/>
        </w:rPr>
        <w:t xml:space="preserve">Christianity &amp; Contemporary Politics,</w:t>
      </w:r>
      <w:r>
        <w:rPr>
          <w:iCs/>
        </w:rPr>
        <w:t xml:space="preserve">17.</w:t>
      </w:r>
      <w:r>
        <w:rPr>
          <w:iCs/>
        </w:rPr>
      </w:r>
    </w:p>
  </w:footnote>
  <w:footnote w:id="37">
    <w:p>
      <w:pPr>
        <w:pStyle w:val="2365"/>
        <w:pBdr/>
        <w:spacing/>
        <w:ind/>
        <w:rPr>
          <w:iCs/>
        </w:rPr>
      </w:pPr>
      <w:r>
        <w:rPr>
          <w:rStyle w:val="2248"/>
        </w:rPr>
        <w:footnoteRef/>
      </w:r>
      <w:r>
        <w:t xml:space="preserve"> Bretherton, </w:t>
      </w:r>
      <w:r>
        <w:rPr>
          <w:i/>
        </w:rPr>
        <w:t xml:space="preserve">Christianity &amp; Contemporary Politics,</w:t>
      </w:r>
      <w:r>
        <w:rPr>
          <w:iCs/>
        </w:rPr>
        <w:t xml:space="preserve">16-17.</w:t>
      </w:r>
      <w:r>
        <w:rPr>
          <w:iCs/>
        </w:rPr>
      </w:r>
    </w:p>
  </w:footnote>
  <w:footnote w:id="38">
    <w:p>
      <w:pPr>
        <w:pStyle w:val="2365"/>
        <w:pBdr/>
        <w:spacing/>
        <w:ind/>
        <w:rPr/>
      </w:pPr>
      <w:r>
        <w:rPr>
          <w:rStyle w:val="2248"/>
        </w:rPr>
        <w:footnoteRef/>
      </w:r>
      <w:r>
        <w:t xml:space="preserve"> </w:t>
      </w:r>
      <w:r>
        <w:rPr>
          <w:iCs/>
        </w:rPr>
        <w:t xml:space="preserve">P.L. Berger (ed), </w:t>
      </w:r>
      <w:r>
        <w:rPr>
          <w:i/>
        </w:rPr>
        <w:t xml:space="preserve">The Desecularization of the World:Resurgent Religion and World Politics</w:t>
      </w:r>
      <w:r>
        <w:t xml:space="preserve">, Grand Rapids, MI: William B. Eerdmans Publishing Co., 1999; R. Star, „Secularization, RIP”, </w:t>
      </w:r>
      <w:r>
        <w:rPr>
          <w:i/>
        </w:rPr>
        <w:t xml:space="preserve">Sociology of Religion</w:t>
      </w:r>
      <w:r>
        <w:t xml:space="preserve">, 1999, 60.3, 249-273 (Secularizarea? – odihnească-se în pace... RIP, Rest In Peace).</w:t>
      </w:r>
      <w:r/>
    </w:p>
  </w:footnote>
  <w:footnote w:id="39">
    <w:p>
      <w:pPr>
        <w:pStyle w:val="2365"/>
        <w:pBdr/>
        <w:spacing/>
        <w:ind/>
        <w:rPr/>
      </w:pPr>
      <w:r>
        <w:rPr>
          <w:rStyle w:val="2248"/>
        </w:rPr>
        <w:footnoteRef/>
      </w:r>
      <w:r>
        <w:t xml:space="preserve"> De exemplu, conform P.O. Espejo, în ciuda observării unui anume paralelism între ştiinţele juridice şi politice şi </w:t>
      </w:r>
      <w:r>
        <w:t xml:space="preserve">cele teologice, din punct de vedere istoric şi structural (ceea ce s-ar putea numi structuralism politic; theological structuralism), acest paralelism nu este esenţial, ci mai degrabă unul funcţional. În al doilea rând, paralelismul dintre cele două s-ar d</w:t>
      </w:r>
      <w:r>
        <w:t xml:space="preserve">atora presupoziţiilor comune, adică folosirii, în aria de civilizaţie de tip european, iudeo-creştin, a unui concept de „ordine” similar celui folosit în teologie (theological ordering). Cu alte cuvinte, dacă s-ar adopta alte convenţii despre ordinea socia</w:t>
      </w:r>
      <w:r>
        <w:t xml:space="preserve">lă, ideologică, economică, s-ar ajunge la alte teorii politice, care nu mai sunt la fel de teologice ca cele actuale, prezente. Astfel de afirmaţii nu probează însă decât că teologia politică merită studiată din punct de vedere al fundamentelor gândirii te</w:t>
      </w:r>
      <w:r>
        <w:t xml:space="preserve">ologice europene, ca parte din moştenirea acestei civilizaţii şi poate fi mai puţin clară, sau diferită, pentru teoriile politice născute în contextul altui tip de gândire. Cf. P. O. Espejo, „Does Political Theology Entail Decisionism? On the Relation of t</w:t>
      </w:r>
      <w:r>
        <w:t xml:space="preserve">he concept of Sovereignty to different conceptions of God in Christianity”, Paper presented at the annual meeting of the American Political Science Association, Hyatt Regency Chicago and the Sheraton Chicago Hotel and Towers, Chicago, IL; 30 August, 2007; </w:t>
      </w:r>
      <w:r>
        <w:fldChar w:fldCharType="begin"/>
      </w:r>
      <w:r>
        <w:instrText xml:space="preserve"> HYPERLINK "http://www.allacademic.com" </w:instrText>
      </w:r>
      <w:r>
        <w:fldChar w:fldCharType="separate"/>
      </w:r>
      <w:r>
        <w:rPr>
          <w:rStyle w:val="2300"/>
        </w:rPr>
        <w:t xml:space="preserve">http://www.allacademic.com</w:t>
      </w:r>
      <w:r>
        <w:fldChar w:fldCharType="end"/>
      </w:r>
      <w:r>
        <w:t xml:space="preserve">, 24.01.2010.</w:t>
      </w:r>
      <w:r/>
    </w:p>
  </w:footnote>
  <w:footnote w:id="40">
    <w:p>
      <w:pPr>
        <w:pStyle w:val="2365"/>
        <w:pBdr/>
        <w:spacing/>
        <w:ind/>
        <w:rPr/>
      </w:pPr>
      <w:r>
        <w:rPr>
          <w:rStyle w:val="2248"/>
        </w:rPr>
        <w:footnoteRef/>
      </w:r>
      <w:r>
        <w:t xml:space="preserve"> Studiile lui M.G. Kline (1922-2007) au fost hotărâtoare în această privinţă, cf. Kline, </w:t>
      </w:r>
      <w:r>
        <w:rPr>
          <w:i/>
          <w:iCs/>
        </w:rPr>
        <w:t xml:space="preserve">The Structure of Biblical Authority</w:t>
      </w:r>
      <w:r>
        <w:t xml:space="preserve">, Grand Rapids, MI: Eerdmans, 1972, 2nd ed., rev. 1975, 1989; idem, </w:t>
      </w:r>
      <w:r>
        <w:rPr>
          <w:i/>
          <w:iCs/>
        </w:rPr>
        <w:t xml:space="preserve">Kingdom Prologue. Genesis Foundations for a Covenantal Worldview,</w:t>
      </w:r>
      <w:r>
        <w:t xml:space="preserve"> South Hamilton, MA: Wipf and Stock; vol.1; 1981; vol.2: 1983; vol.3, 1986; J. Bright, </w:t>
      </w:r>
      <w:r>
        <w:rPr>
          <w:i/>
          <w:iCs/>
        </w:rPr>
        <w:t xml:space="preserve">A History of Israel</w:t>
      </w:r>
      <w:r>
        <w:t xml:space="preserve"> (London: SCM, 1991), 148-162; J. Gilbert si R. Girard, „Legământ”, în X. Leon-Dufour et al (eds), </w:t>
      </w:r>
      <w:r>
        <w:rPr>
          <w:i/>
          <w:iCs/>
        </w:rPr>
        <w:t xml:space="preserve">Vocabular de teologie biblica</w:t>
      </w:r>
      <w:r>
        <w:t xml:space="preserve"> (Bucuresti: Ed. Arh. R-C, 2001), 356-362; Vezi şi „covenant”, în L. Ryken et al (eds), </w:t>
      </w:r>
      <w:r>
        <w:rPr>
          <w:i/>
          <w:iCs/>
        </w:rPr>
        <w:t xml:space="preserve">Dictionary of Biblical Imagery</w:t>
      </w:r>
      <w:r>
        <w:t xml:space="preserve">, Leicester: IVP, 1998, 176-178.</w:t>
      </w:r>
      <w:r/>
    </w:p>
  </w:footnote>
  <w:footnote w:id="41">
    <w:p>
      <w:pPr>
        <w:pStyle w:val="2365"/>
        <w:pBdr/>
        <w:spacing/>
        <w:ind/>
        <w:rPr/>
      </w:pPr>
      <w:r>
        <w:rPr>
          <w:rStyle w:val="2248"/>
        </w:rPr>
        <w:footnoteRef/>
      </w:r>
      <w:r>
        <w:t xml:space="preserve"> Bright, </w:t>
      </w:r>
      <w:r>
        <w:rPr>
          <w:i/>
          <w:iCs/>
        </w:rPr>
        <w:t xml:space="preserve">History</w:t>
      </w:r>
      <w:r>
        <w:t xml:space="preserve">, 150-151.</w:t>
      </w:r>
      <w:r/>
    </w:p>
  </w:footnote>
  <w:footnote w:id="42">
    <w:p>
      <w:pPr>
        <w:pStyle w:val="2365"/>
        <w:pBdr/>
        <w:spacing/>
        <w:ind/>
        <w:rPr/>
      </w:pPr>
      <w:r>
        <w:rPr>
          <w:rStyle w:val="2248"/>
        </w:rPr>
        <w:footnoteRef/>
      </w:r>
      <w:r>
        <w:t xml:space="preserve"> Listele de zeităţi – </w:t>
      </w:r>
      <w:r>
        <w:t xml:space="preserve">martor lipsesc din toate legămintele din Biblie. Totuşi, sunt invocate ca martori cerul şi pământul (Deut. 4:26, 30:19); Dumnezeu este luat ca martor la legământul dintre Ionatan şi David (1 Samuel 20.12), sau de Pavel, înaintea corintenilor (2 Cor. 1:23).</w:t>
      </w:r>
      <w:r/>
    </w:p>
  </w:footnote>
  <w:footnote w:id="43">
    <w:p>
      <w:pPr>
        <w:pStyle w:val="2365"/>
        <w:pBdr/>
        <w:spacing/>
        <w:ind/>
        <w:rPr/>
      </w:pPr>
      <w:r>
        <w:rPr>
          <w:rStyle w:val="2248"/>
        </w:rPr>
        <w:footnoteRef/>
      </w:r>
      <w:r>
        <w:t xml:space="preserve"> Teologia </w:t>
      </w:r>
      <w:r>
        <w:t xml:space="preserve">covenantală este o teologie complexă, dezvoltată de mulţi teologi protestanţi, mai cu seamă din cadrul Bisericii Reformate, Prezbiteriene, Metodiste, şi o parte din Bisericile Baptiste, cf. Cornelius Van Til „Covenant Theology”,  în L. A. Loetscher (ed.), </w:t>
      </w:r>
      <w:r>
        <w:rPr>
          <w:i/>
          <w:iCs/>
        </w:rPr>
        <w:t xml:space="preserve">The New Schaff-Herzog Twentieth Century Encyclopedia of Religious Knowledge</w:t>
      </w:r>
      <w:r>
        <w:t xml:space="preserve">,  Grand Rapids, MI: Baker, 1955; Mark V. Karlberg, </w:t>
      </w:r>
      <w:r>
        <w:rPr>
          <w:i/>
          <w:iCs/>
        </w:rPr>
        <w:t xml:space="preserve">Covenant Theology in Reformed Perspective. </w:t>
      </w:r>
      <w:r>
        <w:rPr>
          <w:rFonts w:cs="Palatino"/>
          <w:i/>
          <w:iCs/>
        </w:rPr>
        <w:t xml:space="preserve">Collected essays and book reviews in historical, biblical, and systematic theology</w:t>
      </w:r>
      <w:r>
        <w:rPr>
          <w:rFonts w:cs="Palatino"/>
        </w:rPr>
        <w:t xml:space="preserve">, Wipf &amp; Stock Publishers, 2000, etc.</w:t>
      </w:r>
      <w:r/>
    </w:p>
  </w:footnote>
  <w:footnote w:id="44">
    <w:p>
      <w:pPr>
        <w:pStyle w:val="2365"/>
        <w:pBdr/>
        <w:spacing/>
        <w:ind/>
        <w:rPr/>
      </w:pPr>
      <w:r>
        <w:rPr>
          <w:rStyle w:val="2248"/>
        </w:rPr>
        <w:footnoteRef/>
      </w:r>
      <w:r>
        <w:t xml:space="preserve"> M. Weinfeld, „The Covenant of Grant in the Old Testament and in the Ancient near East”, </w:t>
      </w:r>
      <w:r>
        <w:rPr>
          <w:i/>
          <w:iCs/>
        </w:rPr>
        <w:t xml:space="preserve">Journal of the American Oriental Society</w:t>
      </w:r>
      <w:r>
        <w:t xml:space="preserve">, Vol. 90.2, (1970), 184-203. Pentru Weinfeld, legământul cu David, aparţine clasei legămintelor bazate pe făgăduinţe, sub-clasa legămintelor de donaţie regală (donaţie de titlu, proprietate, etc.).</w:t>
      </w:r>
      <w:r/>
    </w:p>
  </w:footnote>
  <w:footnote w:id="45">
    <w:p>
      <w:pPr>
        <w:pStyle w:val="2365"/>
        <w:pBdr/>
        <w:spacing/>
        <w:ind/>
        <w:rPr/>
      </w:pPr>
      <w:r>
        <w:rPr>
          <w:rStyle w:val="2248"/>
        </w:rPr>
        <w:footnoteRef/>
      </w:r>
      <w:r>
        <w:t xml:space="preserve"> Teologia covenantală este contrapusă, adesea, teologiei dispensanţionaliste, atunci când se discută felul în care Biserica devin</w:t>
      </w:r>
      <w:r>
        <w:t xml:space="preserve">e, după Israel şi în locul poporului Israel, noul popor al lui Dumnezeu, în care de fapt, prin generalizare, respectiv, particularizare, se cuprinde însuşi Israel. Dar tratareacestei probleme iese din cadrul strict al teologiei politice a Noului Testament.</w:t>
      </w:r>
      <w:r/>
    </w:p>
  </w:footnote>
  <w:footnote w:id="46">
    <w:p>
      <w:pPr>
        <w:pStyle w:val="2365"/>
        <w:pBdr/>
        <w:spacing/>
        <w:ind/>
        <w:rPr/>
      </w:pPr>
      <w:r>
        <w:rPr>
          <w:rStyle w:val="2248"/>
        </w:rPr>
        <w:footnoteRef/>
      </w:r>
      <w:r>
        <w:t xml:space="preserve"> Cf. seria de 4 volume a lui D. J. Elazar, </w:t>
      </w:r>
      <w:r>
        <w:rPr>
          <w:i/>
          <w:iCs/>
        </w:rPr>
        <w:t xml:space="preserve">The Covenant Tradition in Politics</w:t>
      </w:r>
      <w:r>
        <w:t xml:space="preserve">. Volum 1: </w:t>
      </w:r>
      <w:r>
        <w:rPr>
          <w:i/>
          <w:iCs/>
        </w:rPr>
        <w:t xml:space="preserve">Covenant and Polity in Biblical Israel: Biblical Foundations and Jewish Expressions</w:t>
      </w:r>
      <w:r>
        <w:t xml:space="preserve"> (1995); Volum 2: </w:t>
      </w:r>
      <w:r>
        <w:rPr>
          <w:i/>
          <w:iCs/>
        </w:rPr>
        <w:t xml:space="preserve">Covenant and Commonwealth: From Christian Separation through the Protestant Reformation</w:t>
      </w:r>
      <w:r>
        <w:t xml:space="preserve"> (1996). Volum 3: </w:t>
      </w:r>
      <w:r>
        <w:rPr>
          <w:i/>
          <w:iCs/>
        </w:rPr>
        <w:t xml:space="preserve">Covenant and Constitutionalism: The Great Frontier and the Matrix of Federal Democracy</w:t>
      </w:r>
      <w:r>
        <w:t xml:space="preserve"> (1998); Volum 4: </w:t>
      </w:r>
      <w:r>
        <w:rPr>
          <w:i/>
          <w:iCs/>
        </w:rPr>
        <w:t xml:space="preserve">Covenant and Civil Society: The Constitutional Matrix of Modern Democracy</w:t>
      </w:r>
      <w:r>
        <w:t xml:space="preserve"> (1999), publicate în Piscataway, NJ: Transaction Publishers, Rutgers University.</w:t>
      </w:r>
      <w:r/>
    </w:p>
  </w:footnote>
  <w:footnote w:id="47">
    <w:p>
      <w:pPr>
        <w:pStyle w:val="2365"/>
        <w:pBdr/>
        <w:spacing/>
        <w:ind/>
        <w:rPr/>
      </w:pPr>
      <w:r>
        <w:rPr>
          <w:rStyle w:val="2248"/>
        </w:rPr>
        <w:footnoteRef/>
      </w:r>
      <w:r>
        <w:t xml:space="preserve"> E.P. Sanders, </w:t>
      </w:r>
      <w:r>
        <w:rPr>
          <w:i/>
        </w:rPr>
        <w:t xml:space="preserve">Judaism. Practice and Belief 63 BCE - 66 CE</w:t>
      </w:r>
      <w:r>
        <w:t xml:space="preserve">, London: SPCK, 1992, 279-301; M.J. Selman, „Messianic Mysteries”, in P.E. Satterthwaite, R.S. Hess, G.J. Wenham (eds), </w:t>
      </w:r>
      <w:r>
        <w:rPr>
          <w:i/>
        </w:rPr>
        <w:t xml:space="preserve">The Lord's Annointed. Interpretation of Old Testament Messianic Texts</w:t>
      </w:r>
      <w:r>
        <w:t xml:space="preserve">, Carlisle, UK: Paternoster, 1995, 281-302. Wright, </w:t>
      </w:r>
      <w:r>
        <w:rPr>
          <w:i/>
        </w:rPr>
        <w:t xml:space="preserve">NT and the People of God</w:t>
      </w:r>
      <w:r>
        <w:t xml:space="preserve">, 215-243; 280-238; Theissen, </w:t>
      </w:r>
      <w:r>
        <w:rPr>
          <w:i/>
          <w:iCs/>
        </w:rPr>
        <w:t xml:space="preserve">Historical Jesus</w:t>
      </w:r>
      <w:r>
        <w:t xml:space="preserve">, 125-148;  Shanks, </w:t>
      </w:r>
      <w:r>
        <w:rPr>
          <w:i/>
          <w:iCs/>
        </w:rPr>
        <w:t xml:space="preserve">Christianity and Rabbinic Judaism</w:t>
      </w:r>
      <w:r>
        <w:t xml:space="preserve">, 1-40; Sanders, </w:t>
      </w:r>
      <w:r>
        <w:rPr>
          <w:i/>
        </w:rPr>
        <w:t xml:space="preserve">Judaism</w:t>
      </w:r>
      <w:r>
        <w:t xml:space="preserve">, 315-491.</w:t>
      </w:r>
      <w:r/>
    </w:p>
  </w:footnote>
  <w:footnote w:id="48">
    <w:p>
      <w:pPr>
        <w:pStyle w:val="2365"/>
        <w:pBdr/>
        <w:spacing/>
        <w:ind/>
        <w:rPr/>
      </w:pPr>
      <w:r>
        <w:rPr>
          <w:rStyle w:val="2248"/>
        </w:rPr>
        <w:footnoteRef/>
      </w:r>
      <w:r>
        <w:t xml:space="preserve"> G.P. Hugenberger, „The Servant of the Lord in The Servant Songs of Isaiah: A Second Moses Figure”, in P.E. Satterthwaite, R.S. Hess, G.J. Wenham (eds), </w:t>
      </w:r>
      <w:r>
        <w:rPr>
          <w:i/>
        </w:rPr>
        <w:t xml:space="preserve">The Lord's Annointed. Interpretation of Old Testament Messianic Texts</w:t>
      </w:r>
      <w:r>
        <w:t xml:space="preserve">, Carlisle, UK: Paternoster, 1995, 105-139. J. Duguid, „Messianic Themes in Zechariah 9-14”, in P.E. Satterthwaite, R.S.Hess, G.J. Wenham (eds), </w:t>
      </w:r>
      <w:r>
        <w:rPr>
          <w:i/>
        </w:rPr>
        <w:t xml:space="preserve">The Lord's Annointed. Interpretation of Old Testament Messianic Texts</w:t>
      </w:r>
      <w:r>
        <w:t xml:space="preserve">, Carlisle, UK: Paternoster, 1995, 265-280; L.H. Schiffman, </w:t>
      </w:r>
      <w:r>
        <w:rPr>
          <w:i/>
        </w:rPr>
        <w:t xml:space="preserve">Reclaiming the Dead Sea Scrolls</w:t>
      </w:r>
      <w:r>
        <w:t xml:space="preserve">, Jerusalem: </w:t>
      </w:r>
      <w:r>
        <w:rPr>
          <w:i/>
          <w:iCs/>
        </w:rPr>
        <w:t xml:space="preserve">JPS </w:t>
      </w:r>
      <w:r>
        <w:t xml:space="preserve">(1994) 317-327, 341-350 (cf. Mesia care suferă; care este ucis). D. Schibler, „Messianism and Messianic Prophecy in Isaiah 1-12 and 28-33”, în P.E. Satterthwaite, R.S. Hess, G.J. Wenham (eds), </w:t>
      </w:r>
      <w:r>
        <w:rPr>
          <w:i/>
        </w:rPr>
        <w:t xml:space="preserve">The Lord's Annointed. Interpretation of Old Testament Messianic Texts</w:t>
      </w:r>
      <w:r>
        <w:t xml:space="preserve">, Carlisle, UK: Paternoster, 1995, 87-104; L.H. Schiffman, </w:t>
      </w:r>
      <w:r>
        <w:rPr>
          <w:i/>
        </w:rPr>
        <w:t xml:space="preserve">Reclaiming the Dead Sea Scrolls</w:t>
      </w:r>
      <w:r>
        <w:t xml:space="preserve">, Jerusalem: JPS, 1994,317-327, 341-350.</w:t>
      </w:r>
      <w:r/>
    </w:p>
  </w:footnote>
  <w:footnote w:id="49">
    <w:p>
      <w:pPr>
        <w:pStyle w:val="2365"/>
        <w:pBdr/>
        <w:spacing/>
        <w:ind/>
        <w:rPr/>
      </w:pPr>
      <w:r>
        <w:rPr>
          <w:rStyle w:val="2248"/>
        </w:rPr>
        <w:footnoteRef/>
      </w:r>
      <w:r>
        <w:t xml:space="preserve"> G. Vermes, </w:t>
      </w:r>
      <w:r>
        <w:rPr>
          <w:i/>
        </w:rPr>
        <w:t xml:space="preserve">The Dead Sea Scrolls in English</w:t>
      </w:r>
      <w:r>
        <w:t xml:space="preserve">, revised and extended 4th ed., New York, NY: Penguin, 1995, 354-361. R. Eisenman si M. Wise, </w:t>
      </w:r>
      <w:r>
        <w:rPr>
          <w:i/>
          <w:iCs/>
        </w:rPr>
        <w:t xml:space="preserve">The Dead Sea Scrolls Uncovered, The First Complete Translation and Interpretation of 50 Key Documents Witheld for Over 35 Years</w:t>
      </w:r>
      <w:r>
        <w:t xml:space="preserve">, New York, NY: Penguin, 1993, 17-50.</w:t>
      </w:r>
      <w:r/>
    </w:p>
  </w:footnote>
  <w:footnote w:id="50">
    <w:p>
      <w:pPr>
        <w:pStyle w:val="2365"/>
        <w:pBdr/>
        <w:spacing/>
        <w:ind/>
        <w:rPr/>
      </w:pPr>
      <w:r>
        <w:rPr>
          <w:rStyle w:val="2248"/>
        </w:rPr>
        <w:footnoteRef/>
      </w:r>
      <w:r>
        <w:t xml:space="preserve"> D.C. Mitchel, „Firstborn </w:t>
      </w:r>
      <w:r>
        <w:rPr>
          <w:i/>
          <w:iCs/>
        </w:rPr>
        <w:t xml:space="preserve">Shor </w:t>
      </w:r>
      <w:r>
        <w:t xml:space="preserve">and </w:t>
      </w:r>
      <w:r>
        <w:rPr>
          <w:i/>
          <w:iCs/>
        </w:rPr>
        <w:t xml:space="preserve">Rent: </w:t>
      </w:r>
      <w:r>
        <w:t xml:space="preserve">A Sacrificial Josephite Messiah in </w:t>
      </w:r>
      <w:r>
        <w:rPr>
          <w:i/>
          <w:iCs/>
        </w:rPr>
        <w:t xml:space="preserve">1 Enoch </w:t>
      </w:r>
      <w:r>
        <w:t xml:space="preserve">90.37-38 and Deuteronomy 33.17”, </w:t>
      </w:r>
      <w:r>
        <w:rPr>
          <w:i/>
        </w:rPr>
        <w:t xml:space="preserve">Journal for the Study of the Pseudepigrapha</w:t>
      </w:r>
      <w:r>
        <w:t xml:space="preserve">, Vol 15.3 (2006): 211-228.</w:t>
      </w:r>
      <w:r/>
    </w:p>
  </w:footnote>
  <w:footnote w:id="51">
    <w:p>
      <w:pPr>
        <w:pStyle w:val="2365"/>
        <w:pBdr/>
        <w:spacing/>
        <w:ind/>
        <w:rPr/>
      </w:pPr>
      <w:r>
        <w:rPr>
          <w:rStyle w:val="2248"/>
        </w:rPr>
        <w:footnoteRef/>
      </w:r>
      <w:r>
        <w:t xml:space="preserve"> Targum la Cântarea Cântărilor 4.5, 7.4; D.C. Mitchel, „Messiah bar Efraim in the Targums”,</w:t>
      </w:r>
      <w:r>
        <w:rPr>
          <w:rFonts w:cs="Arial"/>
          <w:b/>
          <w:bCs/>
        </w:rPr>
        <w:t xml:space="preserve"> </w:t>
      </w:r>
      <w:r>
        <w:rPr>
          <w:bCs/>
          <w:i/>
        </w:rPr>
        <w:t xml:space="preserve">Aramaic Studies</w:t>
      </w:r>
      <w:r>
        <w:t xml:space="preserve">. 4.2 (2006): 221-241.</w:t>
      </w:r>
      <w:r/>
    </w:p>
  </w:footnote>
  <w:footnote w:id="52">
    <w:p>
      <w:pPr>
        <w:pStyle w:val="2365"/>
        <w:pBdr/>
        <w:spacing/>
        <w:ind/>
        <w:rPr/>
      </w:pPr>
      <w:r>
        <w:rPr>
          <w:rStyle w:val="2248"/>
        </w:rPr>
        <w:footnoteRef/>
      </w:r>
      <w:r>
        <w:t xml:space="preserve"> D.S. Russell, </w:t>
      </w:r>
      <w:r>
        <w:rPr>
          <w:i/>
        </w:rPr>
        <w:t xml:space="preserve">The Jews from Alexander to Herod</w:t>
      </w:r>
      <w:r>
        <w:t xml:space="preserve">, Oxford: Oxford UP, 1967, 17-59 (iudeii sub ptolemei si seleucizi); 60-81 (iudeii sub dinastia hasmoneilor); 82-102 (iudeii sub romani).</w:t>
      </w:r>
      <w:r/>
    </w:p>
    <w:p>
      <w:pPr>
        <w:pStyle w:val="2365"/>
        <w:pBdr/>
        <w:spacing/>
        <w:ind/>
        <w:rPr/>
      </w:pPr>
      <w:r/>
      <w:r/>
    </w:p>
  </w:footnote>
  <w:footnote w:id="53">
    <w:p>
      <w:pPr>
        <w:pStyle w:val="2365"/>
        <w:pBdr/>
        <w:spacing/>
        <w:ind/>
        <w:rPr/>
      </w:pPr>
      <w:r>
        <w:rPr>
          <w:rStyle w:val="2248"/>
        </w:rPr>
        <w:footnoteRef/>
      </w:r>
      <w:r>
        <w:t xml:space="preserve"> Josephus, </w:t>
      </w:r>
      <w:r>
        <w:rPr>
          <w:i/>
          <w:iCs/>
        </w:rPr>
        <w:t xml:space="preserve">Antiquities of the Jews</w:t>
      </w:r>
      <w:r>
        <w:rPr>
          <w:b/>
          <w:bCs/>
          <w:i/>
          <w:iCs/>
        </w:rPr>
        <w:t xml:space="preserve">,</w:t>
      </w:r>
      <w:r>
        <w:t xml:space="preserve"> 15.10.1-8. </w:t>
      </w:r>
      <w:r/>
    </w:p>
  </w:footnote>
  <w:footnote w:id="54">
    <w:p>
      <w:pPr>
        <w:pStyle w:val="2365"/>
        <w:pBdr/>
        <w:spacing/>
        <w:ind/>
        <w:rPr/>
      </w:pPr>
      <w:r>
        <w:rPr>
          <w:rStyle w:val="2248"/>
        </w:rPr>
        <w:footnoteRef/>
      </w:r>
      <w:r>
        <w:t xml:space="preserve"> </w:t>
      </w:r>
      <w:r>
        <w:rPr>
          <w:i/>
          <w:iCs/>
        </w:rPr>
        <w:t xml:space="preserve">1QpHab</w:t>
      </w:r>
      <w:r>
        <w:t xml:space="preserve"> 6.1-6.</w:t>
      </w:r>
      <w:r/>
    </w:p>
  </w:footnote>
  <w:footnote w:id="55">
    <w:p>
      <w:pPr>
        <w:pStyle w:val="2365"/>
        <w:pBdr/>
        <w:spacing/>
        <w:ind/>
        <w:rPr/>
      </w:pPr>
      <w:r>
        <w:rPr>
          <w:rStyle w:val="2248"/>
        </w:rPr>
        <w:footnoteRef/>
      </w:r>
      <w:r>
        <w:t xml:space="preserve"> Regele Irod cel mare, 37-4 BC; a fost căsătorit cu două Mariamne – Mariamne I, fiica lui Alexandros, nepoata marelui preot Hircanus II, şi alta, Mariamne II, fiica lui marelui preot Simon Boethus; a a</w:t>
      </w:r>
      <w:r>
        <w:t xml:space="preserve">vut şi alte soţii: Doris, Malthace şi Cleopatra etc., în total 10 soţii. Irod a ţinut foarte mult la Mariamne I (căsătoria a avut loc în 37 îH), iar după ce a ucis-o (28-29 îH), a căzut într-o depresie profundă, din care nu şi-a mai revenit până la moarte.</w:t>
      </w:r>
      <w:r/>
    </w:p>
  </w:footnote>
  <w:footnote w:id="56">
    <w:p>
      <w:pPr>
        <w:pStyle w:val="2365"/>
        <w:pBdr/>
        <w:spacing/>
        <w:ind/>
        <w:rPr/>
      </w:pPr>
      <w:r>
        <w:rPr>
          <w:rStyle w:val="2248"/>
        </w:rPr>
        <w:footnoteRef/>
      </w:r>
      <w:r>
        <w:t xml:space="preserve"> Tetrarhie înseamnă a partea parte di</w:t>
      </w:r>
      <w:r>
        <w:t xml:space="preserve">ntr-un teritoriu. În timp, înţelesul s-a modificat, aşa încât tetrarh însemna un conducător al unei părţi dintr-un regat, care nu avea însemnătatea politică a unui rege. Aceasta este şi situaţia celor trei fii ai lui Irod cel Mare care se numesc tetrarhi. </w:t>
      </w:r>
      <w:r/>
    </w:p>
  </w:footnote>
  <w:footnote w:id="57">
    <w:p>
      <w:pPr>
        <w:pStyle w:val="2365"/>
        <w:pBdr/>
        <w:spacing/>
        <w:ind/>
        <w:rPr/>
      </w:pPr>
      <w:r>
        <w:rPr>
          <w:rStyle w:val="2248"/>
        </w:rPr>
        <w:footnoteRef/>
      </w:r>
      <w:r>
        <w:t xml:space="preserve"> C.J.H. Wright, </w:t>
      </w:r>
      <w:r>
        <w:rPr>
          <w:i/>
          <w:iCs/>
        </w:rPr>
        <w:t xml:space="preserve">Living as the People of God. The Relevance of OT Ethics</w:t>
      </w:r>
      <w:r>
        <w:t xml:space="preserve">, Leicester: IVP, 1983, 46-64</w:t>
      </w:r>
      <w:r>
        <w:rPr>
          <w:rFonts w:ascii="Calibri" w:hAnsi="Calibri"/>
        </w:rPr>
        <w:t xml:space="preserve">; </w:t>
      </w:r>
      <w:r>
        <w:t xml:space="preserve">N.T. Wright, </w:t>
      </w:r>
      <w:r>
        <w:rPr>
          <w:i/>
        </w:rPr>
        <w:t xml:space="preserve">The New Testament and the People of God</w:t>
      </w:r>
      <w:r>
        <w:t xml:space="preserve">, London: SPCK, 1992, 216-243 (simboluri); L. Ryken, „covenant”, in L. Ryken et al (eds), </w:t>
      </w:r>
      <w:r>
        <w:rPr>
          <w:i/>
        </w:rPr>
        <w:t xml:space="preserve">Dictionary of Biblical Imagery</w:t>
      </w:r>
      <w:r>
        <w:t xml:space="preserve">, Leicester: IVP, 1998, 176-178; idem, „temple”, </w:t>
      </w:r>
      <w:r>
        <w:rPr>
          <w:i/>
          <w:iCs/>
        </w:rPr>
        <w:t xml:space="preserve">DBI</w:t>
      </w:r>
      <w:r>
        <w:t xml:space="preserve">, 849-851, şi idem, „circumcision”, </w:t>
      </w:r>
      <w:r>
        <w:rPr>
          <w:i/>
          <w:iCs/>
        </w:rPr>
        <w:t xml:space="preserve">DBI</w:t>
      </w:r>
      <w:r>
        <w:t xml:space="preserve">, 148-149; J. Bright, </w:t>
      </w:r>
      <w:r>
        <w:rPr>
          <w:i/>
        </w:rPr>
        <w:t xml:space="preserve">A History of Israel</w:t>
      </w:r>
      <w:r>
        <w:t xml:space="preserve">, London: SCM, 1991, 148-162 (despre legământ); E.W. Nicholson, </w:t>
      </w:r>
      <w:r>
        <w:rPr>
          <w:i/>
          <w:iCs/>
        </w:rPr>
        <w:t xml:space="preserve">God and His People: Covenant and Theology in the Old Testament</w:t>
      </w:r>
      <w:r>
        <w:t xml:space="preserve">, Oxford: Clarendon Press, 1998.</w:t>
      </w:r>
      <w:r/>
    </w:p>
  </w:footnote>
  <w:footnote w:id="58">
    <w:p>
      <w:pPr>
        <w:pStyle w:val="2365"/>
        <w:pBdr/>
        <w:spacing/>
        <w:ind/>
        <w:rPr/>
      </w:pPr>
      <w:r>
        <w:rPr>
          <w:rStyle w:val="2248"/>
        </w:rPr>
        <w:footnoteRef/>
      </w:r>
      <w:r>
        <w:t xml:space="preserve"> Începutul sinagogilor ar putea fi plasat cândva în timpul exilului babilonean. S. Zeitlin, „The Origin of the Synagogue: A Study in the Development of Jewish Institutions”, </w:t>
      </w:r>
      <w:r>
        <w:rPr>
          <w:i/>
          <w:iCs/>
        </w:rPr>
        <w:t xml:space="preserve">Proceedings of the American Academy for Jewish Research</w:t>
      </w:r>
      <w:r>
        <w:t xml:space="preserve">, Vol. 2 (1930 - 1931), pp. 69-81 (American Academy for Jewish Research).</w:t>
      </w:r>
      <w:r/>
    </w:p>
  </w:footnote>
  <w:footnote w:id="59">
    <w:p>
      <w:pPr>
        <w:pStyle w:val="2365"/>
        <w:pBdr/>
        <w:spacing/>
        <w:ind/>
        <w:rPr>
          <w:rFonts w:ascii="Times New Roman" w:hAnsi="Times New Roman"/>
        </w:rPr>
      </w:pPr>
      <w:r>
        <w:rPr>
          <w:rFonts w:ascii="Times New Roman" w:hAnsi="Times New Roman"/>
          <w:vertAlign w:val="superscript"/>
        </w:rPr>
        <w:footnoteRef/>
      </w:r>
      <w:r>
        <w:rPr>
          <w:rFonts w:ascii="Times New Roman" w:hAnsi="Times New Roman"/>
        </w:rPr>
        <w:t xml:space="preserve">Extras din mesajul regelui Irod Agripa 1 către Gaius, în Philo, </w:t>
      </w:r>
      <w:r>
        <w:rPr>
          <w:rFonts w:ascii="Times New Roman" w:hAnsi="Times New Roman"/>
          <w:i/>
        </w:rPr>
        <w:t xml:space="preserve">Delegaţie către  Gaius</w:t>
      </w:r>
      <w:r>
        <w:rPr>
          <w:rFonts w:ascii="Times New Roman" w:hAnsi="Times New Roman"/>
        </w:rPr>
        <w:t xml:space="preserve">, 276–329, </w:t>
      </w:r>
      <w:r>
        <w:rPr>
          <w:rFonts w:ascii="Times New Roman" w:hAnsi="Times New Roman"/>
          <w:i/>
        </w:rPr>
        <w:t xml:space="preserve">cf.</w:t>
      </w:r>
      <w:r>
        <w:rPr>
          <w:rFonts w:ascii="Times New Roman" w:hAnsi="Times New Roman"/>
        </w:rPr>
        <w:t xml:space="preserve"> 281.1-5 (trad. mea, </w:t>
      </w:r>
      <w:r>
        <w:rPr>
          <w:rFonts w:ascii="Times New Roman" w:hAnsi="Times New Roman"/>
          <w:i/>
        </w:rPr>
        <w:t xml:space="preserve">cf.</w:t>
      </w:r>
      <w:r>
        <w:rPr>
          <w:rFonts w:ascii="Times New Roman" w:hAnsi="Times New Roman"/>
        </w:rPr>
        <w:t xml:space="preserve"> Scott, „Horizon”, pp. 489–450).</w:t>
      </w:r>
      <w:r>
        <w:rPr>
          <w:rFonts w:ascii="Times New Roman" w:hAnsi="Times New Roman"/>
        </w:rPr>
      </w:r>
    </w:p>
  </w:footnote>
  <w:footnote w:id="60">
    <w:p>
      <w:pPr>
        <w:pStyle w:val="2365"/>
        <w:pBdr/>
        <w:spacing/>
        <w:ind/>
        <w:rPr>
          <w:rFonts w:ascii="Times New Roman" w:hAnsi="Times New Roman"/>
        </w:rPr>
      </w:pPr>
      <w:r>
        <w:rPr>
          <w:rFonts w:ascii="Times New Roman" w:hAnsi="Times New Roman"/>
          <w:vertAlign w:val="superscript"/>
        </w:rPr>
        <w:footnoteRef/>
      </w:r>
      <w:r>
        <w:rPr>
          <w:rFonts w:ascii="Times New Roman" w:hAnsi="Times New Roman"/>
          <w:i/>
        </w:rPr>
        <w:t xml:space="preserve">Cf</w:t>
      </w:r>
      <w:r>
        <w:rPr>
          <w:rFonts w:ascii="Times New Roman" w:hAnsi="Times New Roman"/>
        </w:rPr>
        <w:t xml:space="preserve">. Isa. 2:2: 2. „Se va întâmpla în scur</w:t>
      </w:r>
      <w:r>
        <w:rPr>
          <w:rFonts w:ascii="Times New Roman" w:hAnsi="Times New Roman"/>
        </w:rPr>
        <w:t xml:space="preserve">gerea vremurilor, că muntele Casei Domnului va fi întemeiat ca cel mai înalt munte; se va înălţa deasupra dealurilor, şi toate neamurile se vor îngrămădi spre el.” Hotarele geografice generale, ale lumii de după potop erau considerate fixe, de neschimbat, </w:t>
      </w:r>
      <w:r>
        <w:rPr>
          <w:rFonts w:ascii="Times New Roman" w:hAnsi="Times New Roman"/>
          <w:i/>
        </w:rPr>
        <w:t xml:space="preserve">cf</w:t>
      </w:r>
      <w:r>
        <w:rPr>
          <w:rFonts w:ascii="Times New Roman" w:hAnsi="Times New Roman"/>
        </w:rPr>
        <w:t xml:space="preserve">. MT Deut. 32:8 şi</w:t>
      </w:r>
      <w:r>
        <w:rPr>
          <w:rFonts w:ascii="Times New Roman" w:hAnsi="Times New Roman"/>
          <w:i/>
        </w:rPr>
        <w:t xml:space="preserve"> Jubilee</w:t>
      </w:r>
      <w:r>
        <w:rPr>
          <w:rFonts w:ascii="Times New Roman" w:hAnsi="Times New Roman"/>
        </w:rPr>
        <w:t xml:space="preserve"> 8:12–21 (Sem primeşte „mijlocul pământului”, cu muntele Sion „în centrul mijlocului pământului”; </w:t>
      </w:r>
      <w:r>
        <w:rPr>
          <w:rFonts w:ascii="Times New Roman" w:hAnsi="Times New Roman"/>
          <w:i/>
        </w:rPr>
        <w:t xml:space="preserve">cf.</w:t>
      </w:r>
      <w:r>
        <w:rPr>
          <w:rFonts w:ascii="Times New Roman" w:hAnsi="Times New Roman"/>
        </w:rPr>
        <w:t xml:space="preserve"> Scott, ‘Horizon’, pp. 507–509)</w:t>
      </w:r>
      <w:r>
        <w:rPr>
          <w:rFonts w:ascii="Times New Roman" w:hAnsi="Times New Roman"/>
        </w:rPr>
      </w:r>
    </w:p>
  </w:footnote>
  <w:footnote w:id="61">
    <w:p>
      <w:pPr>
        <w:pStyle w:val="2365"/>
        <w:pBdr/>
        <w:spacing/>
        <w:ind/>
        <w:rPr>
          <w:rFonts w:ascii="Times New Roman" w:hAnsi="Times New Roman"/>
        </w:rPr>
      </w:pPr>
      <w:r>
        <w:rPr>
          <w:rFonts w:ascii="Times New Roman" w:hAnsi="Times New Roman"/>
          <w:vertAlign w:val="superscript"/>
        </w:rPr>
        <w:footnoteRef/>
      </w:r>
      <w:r>
        <w:rPr>
          <w:rFonts w:ascii="Times New Roman" w:hAnsi="Times New Roman"/>
        </w:rPr>
        <w:t xml:space="preserve">Scott, „Horizon”, pp. 498–450; Hastings, </w:t>
      </w:r>
      <w:r>
        <w:rPr>
          <w:rFonts w:ascii="Times New Roman" w:hAnsi="Times New Roman"/>
          <w:i/>
        </w:rPr>
        <w:t xml:space="preserve">Prophet</w:t>
      </w:r>
      <w:r>
        <w:rPr>
          <w:rFonts w:ascii="Times New Roman" w:hAnsi="Times New Roman"/>
        </w:rPr>
        <w:t xml:space="preserve">, p. 176. Samaritenii acordau o centralitate similară muntelui Garizim.</w:t>
      </w:r>
      <w:r>
        <w:rPr>
          <w:rFonts w:ascii="Times New Roman" w:hAnsi="Times New Roman"/>
        </w:rPr>
      </w:r>
    </w:p>
  </w:footnote>
  <w:footnote w:id="62">
    <w:p>
      <w:pPr>
        <w:pStyle w:val="2365"/>
        <w:pBdr/>
        <w:spacing/>
        <w:ind/>
        <w:rPr/>
      </w:pPr>
      <w:r>
        <w:rPr>
          <w:rStyle w:val="2248"/>
        </w:rPr>
        <w:footnoteRef/>
      </w:r>
      <w:r>
        <w:t xml:space="preserve"> Perseus se crede că vine de la gr. </w:t>
      </w:r>
      <w:r>
        <w:rPr>
          <w:i/>
          <w:iCs/>
        </w:rPr>
        <w:t xml:space="preserve">perthein</w:t>
      </w:r>
      <w:r>
        <w:t xml:space="preserve">, a distruge, a nimici; ar putea veni, în acelaşi timp, şi de la semiticul </w:t>
      </w:r>
      <w:r>
        <w:rPr>
          <w:b/>
          <w:bCs/>
        </w:rPr>
        <w:t xml:space="preserve">prs</w:t>
      </w:r>
      <w:r>
        <w:t xml:space="preserve"> (a tăia; a separa). Nenumărate sculpturi şi picturi, antice sau moderne, îl înfăţisează cu sabia în</w:t>
      </w:r>
      <w:r>
        <w:t xml:space="preserve"> mână şi capul Meduzei în cealaltă mână, un fel de temă paralelă a tânărului victorios, ilustrată în imagologia iudaică şi creştină prin imaginea lui David cu capul lui Goliat, sau a lui Samson cu falca de măgar în mână, alături de trupurile celor învinşi.</w:t>
      </w:r>
      <w:r/>
    </w:p>
  </w:footnote>
  <w:footnote w:id="63">
    <w:p>
      <w:pPr>
        <w:pStyle w:val="2365"/>
        <w:pBdr/>
        <w:spacing/>
        <w:ind/>
        <w:rPr/>
      </w:pPr>
      <w:r>
        <w:rPr>
          <w:rStyle w:val="2248"/>
        </w:rPr>
        <w:footnoteRef/>
      </w:r>
      <w:r>
        <w:t xml:space="preserve"> Hades era şi locul şi zeul morţii. Parţial acopere înţelesul cuvântului şeol, locuinţa morţilor, din ebraică. În greceşte, </w:t>
      </w:r>
      <w:r>
        <w:rPr>
          <w:i/>
          <w:iCs/>
        </w:rPr>
        <w:t xml:space="preserve">Haides</w:t>
      </w:r>
      <w:r>
        <w:t xml:space="preserve"> vine de la </w:t>
      </w:r>
      <w:r>
        <w:rPr>
          <w:i/>
          <w:iCs/>
        </w:rPr>
        <w:t xml:space="preserve">a-ides</w:t>
      </w:r>
      <w:r>
        <w:t xml:space="preserve">, „de nevăzut”, „locul celor nevăzute”. Şi în gândirea ebraică şeolul era locul de adunare al umbrelor, </w:t>
      </w:r>
      <w:r>
        <w:rPr>
          <w:b/>
          <w:bCs/>
        </w:rPr>
        <w:t xml:space="preserve">repaim.</w:t>
      </w:r>
      <w:r/>
    </w:p>
  </w:footnote>
  <w:footnote w:id="64">
    <w:p>
      <w:pPr>
        <w:pStyle w:val="2365"/>
        <w:pBdr/>
        <w:spacing/>
        <w:ind/>
        <w:rPr/>
      </w:pPr>
      <w:r>
        <w:rPr>
          <w:rStyle w:val="2248"/>
        </w:rPr>
        <w:footnoteRef/>
      </w:r>
      <w:r>
        <w:t xml:space="preserve"> B. Berg, „Alcestis and Hercules in the Catacomb of via Latina” </w:t>
      </w:r>
      <w:r>
        <w:rPr>
          <w:i/>
          <w:iCs/>
        </w:rPr>
        <w:t xml:space="preserve">Vigiliae Christianae</w:t>
      </w:r>
      <w:r>
        <w:t xml:space="preserve">, Vol. 48, No. 3 (Sep., 1994), 219-234 (Brill publishing).</w:t>
      </w:r>
      <w:r/>
    </w:p>
  </w:footnote>
  <w:footnote w:id="65">
    <w:p>
      <w:pPr>
        <w:pStyle w:val="2365"/>
        <w:pBdr/>
        <w:spacing/>
        <w:ind/>
        <w:rPr/>
      </w:pPr>
      <w:r>
        <w:rPr>
          <w:rStyle w:val="2248"/>
        </w:rPr>
        <w:footnoteRef/>
      </w:r>
      <w:r>
        <w:t xml:space="preserve"> Aici se include ideea că, deşi era Fiul lui Dumnezeu din eternitate, nenăscut, la întrupare Isus se aşează pe</w:t>
      </w:r>
      <w:r>
        <w:t xml:space="preserve"> plan uman alături de ceilalţi oameni, ca fraţi ai săi, şi nu acţionează decât prin împuternicire şi validare divină a misiunii sale mesianice. Lucrul acesta se vede clarla botez, în momentul transfigurării de pe munte, la cruce, în înviere şi la înălţare.</w:t>
      </w:r>
      <w:r/>
    </w:p>
  </w:footnote>
  <w:footnote w:id="66">
    <w:p>
      <w:pPr>
        <w:pStyle w:val="2365"/>
        <w:pBdr/>
        <w:spacing/>
        <w:ind/>
        <w:rPr/>
      </w:pPr>
      <w:r>
        <w:rPr>
          <w:rStyle w:val="2248"/>
        </w:rPr>
        <w:footnoteRef/>
      </w:r>
      <w:r>
        <w:t xml:space="preserve"> Alexandru Andriţoiu (1929 – 1996), poet şi scriitor cunoscut în perioada regimului comunist, a publicat aceată odă în cinstea preşedintelui N.C. (Partidul, Ceauşescu, România): </w:t>
      </w:r>
      <w:r/>
    </w:p>
    <w:p>
      <w:pPr>
        <w:pStyle w:val="2365"/>
        <w:pBdr/>
        <w:spacing/>
        <w:ind/>
        <w:rPr/>
      </w:pPr>
      <w:r/>
      <w:r/>
    </w:p>
    <w:p>
      <w:pPr>
        <w:pStyle w:val="2365"/>
        <w:pBdr/>
        <w:spacing/>
        <w:ind/>
        <w:rPr/>
      </w:pPr>
      <w:r>
        <w:t xml:space="preserve">„Şi-n fruntea lui cea limpede [a partidului PCR, n.m.] veghează</w:t>
      </w:r>
      <w:r/>
    </w:p>
    <w:p>
      <w:pPr>
        <w:pStyle w:val="2365"/>
        <w:pBdr/>
        <w:spacing/>
        <w:ind/>
        <w:rPr/>
      </w:pPr>
      <w:r>
        <w:t xml:space="preserve">Un înţelept şi ne-nfricat bărbat,</w:t>
      </w:r>
      <w:r/>
    </w:p>
    <w:p>
      <w:pPr>
        <w:pStyle w:val="2365"/>
        <w:pBdr/>
        <w:spacing/>
        <w:ind/>
        <w:rPr/>
      </w:pPr>
      <w:r>
        <w:t xml:space="preserve">Inimă tînără şi minte trează,</w:t>
      </w:r>
      <w:r/>
    </w:p>
    <w:p>
      <w:pPr>
        <w:pStyle w:val="2365"/>
        <w:pBdr/>
        <w:spacing/>
        <w:ind/>
        <w:rPr/>
      </w:pPr>
      <w:r>
        <w:t xml:space="preserve">În care ţara-ntreagă s-a-ntrupat.</w:t>
      </w:r>
      <w:r/>
    </w:p>
    <w:p>
      <w:pPr>
        <w:pStyle w:val="2365"/>
        <w:pBdr/>
        <w:spacing/>
        <w:ind/>
        <w:rPr/>
      </w:pPr>
      <w:r/>
      <w:r/>
    </w:p>
    <w:p>
      <w:pPr>
        <w:pStyle w:val="2365"/>
        <w:pBdr/>
        <w:spacing/>
        <w:ind/>
        <w:rPr/>
      </w:pPr>
      <w:r>
        <w:t xml:space="preserve">E Omul - Ceauşescu Nicolae -</w:t>
      </w:r>
      <w:r/>
    </w:p>
    <w:p>
      <w:pPr>
        <w:pStyle w:val="2365"/>
        <w:pBdr/>
        <w:spacing/>
        <w:ind/>
        <w:rPr/>
      </w:pPr>
      <w:r>
        <w:t xml:space="preserve">Iubit ca steagul nostru tricolor,</w:t>
      </w:r>
      <w:r/>
    </w:p>
    <w:p>
      <w:pPr>
        <w:pStyle w:val="2365"/>
        <w:pBdr/>
        <w:spacing/>
        <w:ind/>
        <w:rPr/>
      </w:pPr>
      <w:r>
        <w:t xml:space="preserve">Ca steagul roşu, limpede văpaie,</w:t>
      </w:r>
      <w:r/>
    </w:p>
    <w:p>
      <w:pPr>
        <w:pStyle w:val="2365"/>
        <w:pBdr/>
        <w:spacing/>
        <w:ind/>
        <w:rPr/>
      </w:pPr>
      <w:r>
        <w:t xml:space="preserve">În zborul liber către viitor.”</w:t>
      </w:r>
      <w:r/>
    </w:p>
    <w:p>
      <w:pPr>
        <w:pStyle w:val="2365"/>
        <w:pBdr/>
        <w:spacing/>
        <w:ind/>
        <w:rPr/>
      </w:pPr>
      <w:r/>
      <w:r/>
    </w:p>
    <w:p>
      <w:pPr>
        <w:pStyle w:val="2365"/>
        <w:pBdr/>
        <w:spacing/>
        <w:ind/>
        <w:rPr/>
      </w:pPr>
      <w:r>
        <w:t xml:space="preserve">În mod evident limbajul este supralicitant idealist, mesianic (se folos</w:t>
      </w:r>
      <w:r>
        <w:t xml:space="preserve">esc termeni cheie cum sunt: omul, libertate, viitor), şi chiar cvasi-deificant, în măsura în care se face apel la noţiuni teologice de tipul întrupării (oricum reprezentativitatea pretinsă pentru preşedinte este, fără discuţie, de expresie voit mesianică).</w:t>
      </w:r>
      <w:r/>
    </w:p>
  </w:footnote>
  <w:footnote w:id="67">
    <w:p>
      <w:pPr>
        <w:pStyle w:val="2365"/>
        <w:pBdr/>
        <w:spacing/>
        <w:ind/>
        <w:rPr/>
      </w:pPr>
      <w:r>
        <w:rPr>
          <w:rStyle w:val="2248"/>
        </w:rPr>
        <w:footnoteRef/>
      </w:r>
      <w:r>
        <w:t xml:space="preserve"> Liderul providenţial are o paradigmă a sa (cf. Isus avea 30 ani; Alexandru Macedon, Cezar, Octavian Augustus, chiar şi Nero au fost lideri tineri cu realizări ieşite din comun; la fel N. Bonaparte, etc.</w:t>
      </w:r>
      <w:r/>
    </w:p>
  </w:footnote>
  <w:footnote w:id="68">
    <w:p>
      <w:pPr>
        <w:pStyle w:val="2365"/>
        <w:pBdr/>
        <w:spacing/>
        <w:ind/>
        <w:rPr/>
      </w:pPr>
      <w:r>
        <w:rPr>
          <w:rStyle w:val="2248"/>
        </w:rPr>
        <w:footnoteRef/>
      </w:r>
      <w:r>
        <w:t xml:space="preserve"> S. Mehedinţi, </w:t>
      </w:r>
      <w:r>
        <w:rPr>
          <w:i/>
          <w:iCs/>
        </w:rPr>
        <w:t xml:space="preserve">Casa Verde</w:t>
      </w:r>
      <w:r>
        <w:t xml:space="preserve">, ianuarie 1937, Bucureşti. Pe lângă această paradigmă, se poate admite şi e</w:t>
      </w:r>
      <w:r>
        <w:t xml:space="preserve">xistenţa liderului providenţial în vârstă, de exemplu, de tip Moise – care avea 80 de ani când şi-a început cariera mesianică, de eliberare a lui Israel din Egipt. E. Cioran este cunoscut şi el pentru limbajul mesianic exaltat cu care îl descria pe C.Z.C. </w:t>
      </w:r>
      <w:r>
        <w:t xml:space="preserve">(1940), în vreme ce, nu cu mult înainte, beneficiar al unei Burse Humboldt, în Germania, se dovedise şi plin de entuziasm pentru păgânismul viril şi creator al naţional-socialismului german (1933-1935). Cf. limbajul mesianic şi politic al lui E. Cioran în </w:t>
      </w:r>
      <w:r>
        <w:rPr>
          <w:i/>
          <w:iCs/>
        </w:rPr>
        <w:t xml:space="preserve">Schimbarea la faţă a României</w:t>
      </w:r>
      <w:r>
        <w:t xml:space="preserve">, Bucureşti: Humanitas, 1990 (1936). E drept, autorul nu se mai recunoaşte, în 1990, în acest text, dar el rămâne o mărturie istorică a unei stări de spirit foarte răspândită în anii 1930, în România.</w:t>
      </w:r>
      <w:r/>
    </w:p>
  </w:footnote>
  <w:footnote w:id="69">
    <w:p>
      <w:pPr>
        <w:pStyle w:val="2365"/>
        <w:pBdr/>
        <w:spacing/>
        <w:ind/>
        <w:rPr/>
      </w:pPr>
      <w:r>
        <w:rPr>
          <w:rStyle w:val="2248"/>
        </w:rPr>
        <w:footnoteRef/>
      </w:r>
      <w:r>
        <w:t xml:space="preserve"> Andrei Oişteanu, Moshe Idel, Mirela Adăscăliţei, </w:t>
      </w:r>
      <w:r>
        <w:rPr>
          <w:i/>
          <w:iCs/>
        </w:rPr>
        <w:t xml:space="preserve">Inventing the Jew: antisemitic stereotypes in Romanina and other Cental East-European cultures</w:t>
      </w:r>
      <w:r>
        <w:t xml:space="preserve">; Nebraska: University of Nebrasca Press, 2009 (pentru Vidal Sassoon International Center for the Study of Antisemitism, SICSA; The Hebrew University of Jerusalem), 289-290.</w:t>
      </w:r>
      <w:r/>
    </w:p>
  </w:footnote>
  <w:footnote w:id="70">
    <w:p>
      <w:pPr>
        <w:pStyle w:val="2365"/>
        <w:pBdr/>
        <w:spacing/>
        <w:ind/>
        <w:rPr/>
      </w:pPr>
      <w:r>
        <w:rPr>
          <w:rStyle w:val="2248"/>
        </w:rPr>
        <w:footnoteRef/>
      </w:r>
      <w:r>
        <w:t xml:space="preserve"> Ehud </w:t>
      </w:r>
      <w:r>
        <w:rPr>
          <w:rFonts w:cs="MinionPro-Bold"/>
        </w:rPr>
        <w:t xml:space="preserve">Netzer, </w:t>
      </w:r>
      <w:r>
        <w:rPr>
          <w:rFonts w:cs="MinionPro-BoldIt"/>
          <w:i/>
          <w:iCs/>
        </w:rPr>
        <w:t xml:space="preserve">The Architecture of Herod, the Great Builder, </w:t>
      </w:r>
      <w:r>
        <w:rPr>
          <w:rFonts w:cs="MinionPro-Regular"/>
        </w:rPr>
        <w:t xml:space="preserve">Texts and Studies in Ancient Judaism 117, Tübingen: Mohr Siebeck, 2006 (re-edited, Grand Rapids, MI : Baker Academic, 2008).</w:t>
      </w:r>
      <w:r/>
    </w:p>
  </w:footnote>
  <w:footnote w:id="71">
    <w:p>
      <w:pPr>
        <w:pStyle w:val="2365"/>
        <w:pBdr/>
        <w:spacing/>
        <w:ind/>
        <w:rPr/>
      </w:pPr>
      <w:r>
        <w:rPr>
          <w:rStyle w:val="2248"/>
        </w:rPr>
        <w:footnoteRef/>
      </w:r>
      <w:r>
        <w:t xml:space="preserve"> E. Netzer, „A New Reconstruction of Paul’s Prison”, </w:t>
      </w:r>
      <w:r>
        <w:rPr>
          <w:i/>
          <w:iCs/>
        </w:rPr>
        <w:t xml:space="preserve">Biblical Archaeological Review</w:t>
      </w:r>
      <w:r>
        <w:t xml:space="preserve">, 35:01, Jan/Feb 2009; idem, „Searching for Herod’s Tomb”, </w:t>
      </w:r>
      <w:r>
        <w:rPr>
          <w:i/>
          <w:iCs/>
        </w:rPr>
        <w:t xml:space="preserve">BAR</w:t>
      </w:r>
      <w:r>
        <w:t xml:space="preserve"> 9:03, May/Jun 1983, 31-51.</w:t>
      </w:r>
      <w:r/>
    </w:p>
  </w:footnote>
  <w:footnote w:id="72">
    <w:p>
      <w:pPr>
        <w:pStyle w:val="2365"/>
        <w:pBdr/>
        <w:spacing/>
        <w:ind/>
        <w:rPr/>
      </w:pPr>
      <w:r>
        <w:rPr>
          <w:rStyle w:val="2248"/>
        </w:rPr>
        <w:footnoteRef/>
      </w:r>
      <w:r>
        <w:t xml:space="preserve"> S. Rocca, </w:t>
      </w:r>
      <w:r>
        <w:rPr>
          <w:i/>
          <w:iCs/>
        </w:rPr>
        <w:t xml:space="preserve">Herod’s Judaea: a Mediterranean state in the classical world</w:t>
      </w:r>
      <w:r>
        <w:t xml:space="preserve">, TSAJ 122, Tübingen: Mohr Siebeck, 2008, 291-306.</w:t>
      </w:r>
      <w:r/>
    </w:p>
  </w:footnote>
  <w:footnote w:id="73">
    <w:p>
      <w:pPr>
        <w:pStyle w:val="2365"/>
        <w:pBdr/>
        <w:spacing/>
        <w:ind/>
        <w:rPr/>
      </w:pPr>
      <w:r>
        <w:rPr>
          <w:rStyle w:val="2248"/>
        </w:rPr>
        <w:footnoteRef/>
      </w:r>
      <w:r>
        <w:t xml:space="preserve"> Elias J. Bickerman, „The Warning Inscriptions of Herod's Temple”, </w:t>
      </w:r>
      <w:r>
        <w:rPr>
          <w:i/>
          <w:iCs/>
        </w:rPr>
        <w:t xml:space="preserve">The Jewish Quarterly Review</w:t>
      </w:r>
      <w:r>
        <w:t xml:space="preserve">, New Ser., Vol. 37, No. 4. (Apr., 1947), pp. 387-405. Michael F. Bird, </w:t>
      </w:r>
      <w:r>
        <w:rPr>
          <w:i/>
          <w:iCs/>
        </w:rPr>
        <w:t xml:space="preserve">Jesus and the Origins of the Gentile Mission</w:t>
      </w:r>
      <w:r>
        <w:t xml:space="preserve">, Library of Historical Jesus Studies, New York, NY: T&amp;T Clark, 2007, </w:t>
      </w:r>
      <w:r/>
    </w:p>
  </w:footnote>
  <w:footnote w:id="74">
    <w:p>
      <w:pPr>
        <w:pStyle w:val="2365"/>
        <w:pBdr/>
        <w:spacing/>
        <w:ind/>
        <w:rPr/>
      </w:pPr>
      <w:r>
        <w:rPr>
          <w:rStyle w:val="2248"/>
        </w:rPr>
        <w:footnoteRef/>
      </w:r>
      <w:r>
        <w:t xml:space="preserve"> Josephus, </w:t>
      </w:r>
      <w:r>
        <w:rPr>
          <w:i/>
          <w:iCs/>
        </w:rPr>
        <w:t xml:space="preserve">Antichităţi Iudaice, </w:t>
      </w:r>
      <w:r>
        <w:t xml:space="preserve">18.4.2.</w:t>
      </w:r>
      <w:r/>
    </w:p>
  </w:footnote>
  <w:footnote w:id="75">
    <w:p>
      <w:pPr>
        <w:pStyle w:val="2365"/>
        <w:pBdr/>
        <w:spacing/>
        <w:ind/>
        <w:rPr/>
      </w:pPr>
      <w:r>
        <w:rPr>
          <w:rStyle w:val="2248"/>
        </w:rPr>
        <w:footnoteRef/>
      </w:r>
      <w:r>
        <w:t xml:space="preserve"> Flavius Josephus, </w:t>
      </w:r>
      <w:r>
        <w:rPr>
          <w:i/>
          <w:iCs/>
        </w:rPr>
        <w:t xml:space="preserve">Războiul Iudeilor</w:t>
      </w:r>
      <w:r>
        <w:t xml:space="preserve">, 2.169-174; </w:t>
      </w:r>
      <w:r>
        <w:rPr>
          <w:i/>
          <w:iCs/>
        </w:rPr>
        <w:t xml:space="preserve">Antichităţi Iudaice</w:t>
      </w:r>
      <w:r>
        <w:t xml:space="preserve">, 18.55-59; Philo din Alexandria, </w:t>
      </w:r>
      <w:r>
        <w:rPr>
          <w:i/>
          <w:iCs/>
        </w:rPr>
        <w:t xml:space="preserve">Ambasada la Gaius</w:t>
      </w:r>
      <w:r>
        <w:t xml:space="preserve">, 299-305. Cf. </w:t>
      </w:r>
      <w:r>
        <w:rPr>
          <w:rFonts w:cs="TimesNewRoman"/>
        </w:rPr>
        <w:t xml:space="preserve">Harold Hoehner, „Pontius Pilate”, in </w:t>
      </w:r>
      <w:r>
        <w:rPr>
          <w:rFonts w:cs="TimesNewRoman,Italic"/>
          <w:i/>
          <w:iCs/>
        </w:rPr>
        <w:t xml:space="preserve">Dictionary of Jesus and the Gospels </w:t>
      </w:r>
      <w:r>
        <w:rPr>
          <w:rFonts w:cs="TimesNewRoman,Italic"/>
        </w:rPr>
        <w:t xml:space="preserve">în</w:t>
      </w:r>
      <w:r>
        <w:rPr>
          <w:rFonts w:cs="TimesNewRoman"/>
        </w:rPr>
        <w:t xml:space="preserve"> Joel Green, Scot McKnight, and I. Howard Marshall (eds); Downers Grove, IL: IVP, 1992, 616.</w:t>
      </w:r>
      <w:r/>
    </w:p>
  </w:footnote>
  <w:footnote w:id="76">
    <w:p>
      <w:pPr>
        <w:pStyle w:val="2365"/>
        <w:pBdr/>
        <w:spacing/>
        <w:ind/>
        <w:rPr/>
      </w:pPr>
      <w:r>
        <w:rPr>
          <w:rStyle w:val="2248"/>
        </w:rPr>
        <w:footnoteRef/>
      </w:r>
      <w:r>
        <w:t xml:space="preserve"> Pilat a fost acuzat că a trimis cavaleria şi i-a măcelărit pe samaritenii adunaţi pe mt. Gerizim, la o sărbătoare unde se aştepta să le fie arătate vasele lăsate de pe vremea lui Moise, cf. Josephus, </w:t>
      </w:r>
      <w:r>
        <w:rPr>
          <w:i/>
          <w:iCs/>
        </w:rPr>
        <w:t xml:space="preserve">Antichităţi Iudaice, </w:t>
      </w:r>
      <w:r>
        <w:t xml:space="preserve">18.4.2. Foarte probabil că Pilat s-a grăbit să îl vadă pe Tiberius, dar, din păcate, acesta a murit în 36, fiind succedat de Gaius Caligula.</w:t>
      </w:r>
      <w:r/>
    </w:p>
  </w:footnote>
  <w:footnote w:id="77">
    <w:p>
      <w:pPr>
        <w:pStyle w:val="2365"/>
        <w:pBdr/>
        <w:spacing/>
        <w:ind/>
        <w:rPr/>
      </w:pPr>
      <w:r>
        <w:rPr>
          <w:rStyle w:val="2248"/>
        </w:rPr>
        <w:footnoteRef/>
      </w:r>
      <w:r>
        <w:t xml:space="preserve"> Philo a scris o lucrare specială despre abuzurile acestuia, </w:t>
      </w:r>
      <w:r>
        <w:rPr>
          <w:i/>
          <w:iCs/>
        </w:rPr>
        <w:t xml:space="preserve">Împotriva lui Flaccus</w:t>
      </w:r>
      <w:r>
        <w:t xml:space="preserve"> (</w:t>
      </w:r>
      <w:r>
        <w:rPr>
          <w:i/>
          <w:iCs/>
        </w:rPr>
        <w:t xml:space="preserve">In Flaccum</w:t>
      </w:r>
      <w:r>
        <w:t xml:space="preserve">). Despre îndepărtarea din funcţie a lui Flaccus, cf. </w:t>
      </w:r>
      <w:r>
        <w:rPr>
          <w:i/>
          <w:iCs/>
        </w:rPr>
        <w:t xml:space="preserve">Împotriva lui Flaccus</w:t>
      </w:r>
      <w:r>
        <w:t xml:space="preserve">, 12-21.</w:t>
      </w:r>
      <w:r/>
    </w:p>
  </w:footnote>
  <w:footnote w:id="78">
    <w:p>
      <w:pPr>
        <w:pStyle w:val="2365"/>
        <w:pBdr/>
        <w:spacing/>
        <w:ind/>
        <w:rPr>
          <w:rFonts w:cs="TimesNewRoman,Italic"/>
          <w:i/>
          <w:iCs/>
        </w:rPr>
      </w:pPr>
      <w:r>
        <w:rPr>
          <w:rStyle w:val="2248"/>
        </w:rPr>
        <w:footnoteRef/>
      </w:r>
      <w:r>
        <w:t xml:space="preserve"> </w:t>
      </w:r>
      <w:r>
        <w:rPr>
          <w:rFonts w:cs="TimesNewRoman"/>
        </w:rPr>
        <w:t xml:space="preserve">Vezi E. R. Goodenough, </w:t>
      </w:r>
      <w:r>
        <w:rPr>
          <w:rFonts w:cs="TimesNewRoman,Italic"/>
          <w:i/>
          <w:iCs/>
        </w:rPr>
        <w:t xml:space="preserve">The Politics of Philo Judaeus: Practice and</w:t>
      </w:r>
      <w:r>
        <w:rPr>
          <w:rFonts w:cs="TimesNewRoman,Italic"/>
          <w:i/>
          <w:iCs/>
        </w:rPr>
      </w:r>
    </w:p>
    <w:p>
      <w:pPr>
        <w:pStyle w:val="2365"/>
        <w:pBdr/>
        <w:spacing/>
        <w:ind/>
        <w:rPr/>
      </w:pPr>
      <w:r>
        <w:rPr>
          <w:rFonts w:cs="TimesNewRoman,Italic"/>
          <w:i/>
          <w:iCs/>
        </w:rPr>
        <w:t xml:space="preserve">Theory, </w:t>
      </w:r>
      <w:r>
        <w:rPr>
          <w:rFonts w:cs="TimesNewRoman"/>
        </w:rPr>
        <w:t xml:space="preserve">New Haven: Yale UP, 1938, 19–20.</w:t>
      </w:r>
      <w:r/>
    </w:p>
  </w:footnote>
  <w:footnote w:id="79">
    <w:p>
      <w:pPr>
        <w:pStyle w:val="2365"/>
        <w:pBdr/>
        <w:spacing/>
        <w:ind/>
        <w:rPr/>
      </w:pPr>
      <w:r>
        <w:rPr>
          <w:rStyle w:val="2248"/>
        </w:rPr>
        <w:footnoteRef/>
      </w:r>
      <w:r>
        <w:t xml:space="preserve"> Josephus, </w:t>
      </w:r>
      <w:r>
        <w:rPr>
          <w:i/>
          <w:iCs/>
        </w:rPr>
        <w:t xml:space="preserve">Războiul iudeilor</w:t>
      </w:r>
      <w:r>
        <w:t xml:space="preserve">, 5.205.</w:t>
      </w:r>
      <w:r/>
    </w:p>
  </w:footnote>
  <w:footnote w:id="80">
    <w:p>
      <w:pPr>
        <w:pStyle w:val="2365"/>
        <w:pBdr/>
        <w:spacing/>
        <w:ind/>
        <w:rPr/>
      </w:pPr>
      <w:r>
        <w:rPr>
          <w:rStyle w:val="2248"/>
        </w:rPr>
        <w:footnoteRef/>
      </w:r>
      <w:r>
        <w:t xml:space="preserve"> Josephus, </w:t>
      </w:r>
      <w:r>
        <w:rPr>
          <w:i/>
          <w:iCs/>
        </w:rPr>
        <w:t xml:space="preserve">Antichităţi</w:t>
      </w:r>
      <w:r>
        <w:t xml:space="preserve">, 18; 20.100. Josephus îl descrie pe Alexandru ca pe cel mai bogat şi mai ilustru evreu din timpul acela.</w:t>
      </w:r>
      <w:r/>
    </w:p>
  </w:footnote>
  <w:footnote w:id="81">
    <w:p>
      <w:pPr>
        <w:pStyle w:val="2365"/>
        <w:pBdr/>
        <w:spacing/>
        <w:ind/>
        <w:rPr/>
      </w:pPr>
      <w:r>
        <w:rPr>
          <w:rStyle w:val="2248"/>
        </w:rPr>
        <w:footnoteRef/>
      </w:r>
      <w:r>
        <w:t xml:space="preserve"> Josephus, </w:t>
      </w:r>
      <w:r>
        <w:rPr>
          <w:i/>
          <w:iCs/>
        </w:rPr>
        <w:t xml:space="preserve">Viaţa lui Flavius Josephus</w:t>
      </w:r>
      <w:r>
        <w:t xml:space="preserve">, 2.</w:t>
      </w:r>
      <w:r/>
    </w:p>
  </w:footnote>
  <w:footnote w:id="82">
    <w:p>
      <w:pPr>
        <w:pStyle w:val="2365"/>
        <w:pBdr/>
        <w:spacing/>
        <w:ind/>
        <w:rPr/>
      </w:pPr>
      <w:r>
        <w:rPr>
          <w:rStyle w:val="2248"/>
        </w:rPr>
        <w:footnoteRef/>
      </w:r>
      <w:r>
        <w:t xml:space="preserve"> Similar şi în Josephus, </w:t>
      </w:r>
      <w:r>
        <w:rPr>
          <w:i/>
          <w:iCs/>
        </w:rPr>
        <w:t xml:space="preserve">Antichităţi iudaice</w:t>
      </w:r>
      <w:r>
        <w:t xml:space="preserve">, 5.9.</w:t>
      </w:r>
      <w:r/>
    </w:p>
  </w:footnote>
  <w:footnote w:id="83">
    <w:p>
      <w:pPr>
        <w:pStyle w:val="2365"/>
        <w:pBdr/>
        <w:spacing/>
        <w:ind/>
        <w:rPr/>
      </w:pPr>
      <w:r>
        <w:rPr>
          <w:rStyle w:val="2248"/>
        </w:rPr>
        <w:footnoteRef/>
      </w:r>
      <w:r>
        <w:t xml:space="preserve"> Pluralismul iudaic este argumentat de mulţi autori, de exemplu, J.D. Crossan, </w:t>
      </w:r>
      <w:bookmarkStart w:id="71" w:name="Crossan-John-1998"/>
      <w:r/>
      <w:bookmarkEnd w:id="71"/>
      <w:r>
        <w:rPr>
          <w:rStyle w:val="2375"/>
        </w:rPr>
        <w:t xml:space="preserve">The Birth of Christianity: Discovering What Happened in the Years Immediately After the Execution of Jesus</w:t>
      </w:r>
      <w:r>
        <w:t xml:space="preserve">. San Francisco, CA: Harper, 1998. Alţii autori, însă, apără ideea unui iudaism unitary, cf. M. Hengel and R. Deines, „E. P. Sanders, “Common Judaism”, Jesus, and the Pharisees”, </w:t>
      </w:r>
      <w:r>
        <w:rPr>
          <w:rStyle w:val="2375"/>
        </w:rPr>
        <w:t xml:space="preserve">Jurnal of Theological Studies </w:t>
      </w:r>
      <w:r>
        <w:rPr>
          <w:rStyle w:val="2375"/>
          <w:i w:val="0"/>
          <w:iCs w:val="0"/>
        </w:rPr>
        <w:t xml:space="preserve">46 (1995)</w:t>
      </w:r>
      <w:r>
        <w:t xml:space="preserve">: 1-70. O prezentare bună a vieţii sociale şi politice din Palestina primului secol o dă A. Puig, </w:t>
      </w:r>
      <w:r>
        <w:rPr>
          <w:i/>
          <w:iCs/>
        </w:rPr>
        <w:t xml:space="preserve">Isus. O biografie</w:t>
      </w:r>
      <w:r>
        <w:t xml:space="preserve">, Editura Meronia: Bucureşti, 2007.</w:t>
      </w:r>
      <w:r/>
    </w:p>
  </w:footnote>
  <w:footnote w:id="84">
    <w:p>
      <w:pPr>
        <w:pStyle w:val="2365"/>
        <w:pBdr/>
        <w:spacing/>
        <w:ind/>
        <w:rPr>
          <w:rStyle w:val="2319"/>
          <w:b w:val="0"/>
          <w:bCs w:val="0"/>
        </w:rPr>
      </w:pPr>
      <w:r>
        <w:rPr>
          <w:rStyle w:val="2248"/>
        </w:rPr>
        <w:footnoteRef/>
      </w:r>
      <w:r>
        <w:t xml:space="preserve"> Josephus, </w:t>
      </w:r>
      <w:r>
        <w:rPr>
          <w:i/>
          <w:iCs/>
        </w:rPr>
        <w:t xml:space="preserve">Războaiele iudeilor</w:t>
      </w:r>
      <w:r>
        <w:t xml:space="preserve">,</w:t>
      </w:r>
      <w:r>
        <w:rPr>
          <w:rStyle w:val="2319"/>
          <w:b w:val="0"/>
          <w:bCs w:val="0"/>
        </w:rPr>
        <w:t xml:space="preserve"> 2.8.164–66; </w:t>
      </w:r>
      <w:r>
        <w:rPr>
          <w:rStyle w:val="2319"/>
          <w:b w:val="0"/>
          <w:bCs w:val="0"/>
          <w:i/>
          <w:iCs/>
        </w:rPr>
        <w:t xml:space="preserve">Antichităţi iudaice</w:t>
      </w:r>
      <w:r>
        <w:rPr>
          <w:rStyle w:val="2319"/>
          <w:b w:val="0"/>
          <w:bCs w:val="0"/>
        </w:rPr>
        <w:t xml:space="preserve">, 13.5.173; 18.1.16–17. Cf. şi m. Y</w:t>
      </w:r>
      <w:r>
        <w:rPr>
          <w:rStyle w:val="2319"/>
          <w:b w:val="0"/>
          <w:bCs w:val="0"/>
        </w:rPr>
        <w:t xml:space="preserve">ad. 4.6–7; m. Erub. 6.2; m. Para 3.7; m. Nid. 4.2; b. Yoma 2a, 19b, 53a; b. Sukk. 48). În NT sunt adesea asociaţi cu fariseii şi irodienii în ispitirea lui Isus, în Fapte Apostolilor sunt adversari ai creştinilor (Mc. 12.18; Mt. 16.1, 6;  Fapte 4.1; 5.17).</w:t>
      </w:r>
      <w:r>
        <w:rPr>
          <w:rStyle w:val="2319"/>
          <w:b w:val="0"/>
          <w:bCs w:val="0"/>
        </w:rPr>
      </w:r>
    </w:p>
    <w:p>
      <w:pPr>
        <w:pStyle w:val="2365"/>
        <w:pBdr/>
        <w:spacing/>
        <w:ind/>
        <w:rPr/>
      </w:pPr>
      <w:r/>
      <w:r/>
    </w:p>
  </w:footnote>
  <w:footnote w:id="85">
    <w:p>
      <w:pPr>
        <w:pStyle w:val="2365"/>
        <w:pBdr/>
        <w:spacing/>
        <w:ind/>
        <w:rPr/>
      </w:pPr>
      <w:r>
        <w:rPr>
          <w:rStyle w:val="2248"/>
        </w:rPr>
        <w:footnoteRef/>
      </w:r>
      <w:r>
        <w:t xml:space="preserve"> Pe lângă scrierile lui Philo, </w:t>
      </w:r>
      <w:r>
        <w:rPr>
          <w:i/>
          <w:iCs/>
        </w:rPr>
        <w:t xml:space="preserve">Orice om bun e născut liber</w:t>
      </w:r>
      <w:r>
        <w:t xml:space="preserve"> şi </w:t>
      </w:r>
      <w:r>
        <w:rPr>
          <w:i/>
          <w:iCs/>
        </w:rPr>
        <w:t xml:space="preserve">Apologia pentru iudei</w:t>
      </w:r>
      <w:r>
        <w:t xml:space="preserve"> (</w:t>
      </w:r>
      <w:r>
        <w:rPr>
          <w:i/>
          <w:iCs/>
        </w:rPr>
        <w:t xml:space="preserve">Cf.</w:t>
      </w:r>
      <w:r>
        <w:t xml:space="preserve"> C. Daniel, „Filon din Alexandria şi esenienii”, in </w:t>
      </w:r>
      <w:r>
        <w:rPr>
          <w:i/>
        </w:rPr>
        <w:t xml:space="preserve">Orientalia Mirabilia</w:t>
      </w:r>
      <w:r>
        <w:t xml:space="preserve">, vol. 1, Bibliotheca Orientalis (Bucureşti: Editura ştiinţifică şi enciclopedică, 1976), 133–69), şi lucrările lui Josephus, </w:t>
      </w:r>
      <w:r>
        <w:rPr>
          <w:i/>
          <w:iCs/>
        </w:rPr>
        <w:t xml:space="preserve">Războaiele iudeilor</w:t>
      </w:r>
      <w:r>
        <w:t xml:space="preserve">, şi </w:t>
      </w:r>
      <w:r>
        <w:rPr>
          <w:i/>
          <w:iCs/>
        </w:rPr>
        <w:t xml:space="preserve">Antichităţi iudaice</w:t>
      </w:r>
      <w:r>
        <w:t xml:space="preserve">, găsim informaţii despre esenieni şi la Eusebius, </w:t>
      </w:r>
      <w:r>
        <w:rPr>
          <w:i/>
          <w:iCs/>
        </w:rPr>
        <w:t xml:space="preserve">Praeparatio Evangelica</w:t>
      </w:r>
      <w:r>
        <w:t xml:space="preserve">, 8.2 (sec. 3-4) şi în </w:t>
      </w:r>
      <w:r>
        <w:rPr>
          <w:i/>
          <w:iCs/>
        </w:rPr>
        <w:t xml:space="preserve">Istoria</w:t>
      </w:r>
      <w:r>
        <w:t xml:space="preserve">, după cum şi la Pliniu cel bătrân, </w:t>
      </w:r>
      <w:r>
        <w:rPr>
          <w:i/>
          <w:iCs/>
        </w:rPr>
        <w:t xml:space="preserve">Istoria Naturală</w:t>
      </w:r>
      <w:r>
        <w:t xml:space="preserve">, 5 :17.4, etc., Hippolytus, </w:t>
      </w:r>
      <w:r>
        <w:rPr>
          <w:i/>
          <w:iCs/>
        </w:rPr>
        <w:t xml:space="preserve">Philosophumena</w:t>
      </w:r>
      <w:r>
        <w:t xml:space="preserve"> (sec. 3) şi, de asemenea, în documentele de la Qumran (Marea Moartă), cu rezerva că, deşi majoritatea savanţilor pare să accepte că ele aparţin esenienilor, comunitatea de la Qumran nu este identificată cu esenienii în mod de</w:t>
      </w:r>
      <w:r>
        <w:t xml:space="preserve">finitiv şi dincolo de orice îndoială. Documentele de la Qumran, Marea Moartă, au fost descoperite în 1947 şi reprezintă scrieri din perioada 300 îH – 70 dH, cum ar fi diverse copii ale cărţilor VT, cărţi apocrife şi scrieri ale comunităţii sectare locale: </w:t>
      </w:r>
      <w:r>
        <w:rPr>
          <w:i/>
          <w:iCs/>
        </w:rPr>
        <w:t xml:space="preserve">Documentul Damascen, Sulul Războiului, Manualul de disciplină, Sulul Jubileelor</w:t>
      </w:r>
      <w:r>
        <w:t xml:space="preserve">, etc. Cf. Athanase Negoiţă, </w:t>
      </w:r>
      <w:r>
        <w:rPr>
          <w:i/>
        </w:rPr>
        <w:t xml:space="preserve">Noul Testament Şi Manuscrisele de la Qumran. Studiu Critic</w:t>
      </w:r>
      <w:r>
        <w:t xml:space="preserve"> (Bucureşti: Stephanus, 1993), Jonathan G. Campbell, </w:t>
      </w:r>
      <w:r>
        <w:rPr>
          <w:i/>
        </w:rPr>
        <w:t xml:space="preserve">Desluşirea Sulurilor de la Marea Moartă</w:t>
      </w:r>
      <w:r>
        <w:t xml:space="preserve">, Ion Peleanu (trad), (Bucureşti: Editura Hasefer, 2005; eng. </w:t>
      </w:r>
      <w:r>
        <w:rPr>
          <w:i/>
          <w:iCs/>
        </w:rPr>
        <w:t xml:space="preserve">Deciphering the Dead Sea Scrolls</w:t>
      </w:r>
      <w:r>
        <w:t xml:space="preserve">, Blackwell Publishing, 2002).</w:t>
      </w:r>
      <w:r/>
    </w:p>
  </w:footnote>
  <w:footnote w:id="86">
    <w:p>
      <w:pPr>
        <w:pStyle w:val="2365"/>
        <w:pBdr/>
        <w:spacing/>
        <w:ind/>
        <w:rPr/>
      </w:pPr>
      <w:r>
        <w:rPr>
          <w:rStyle w:val="2248"/>
        </w:rPr>
        <w:footnoteRef/>
      </w:r>
      <w:r>
        <w:t xml:space="preserve"> C. Daniel, „Două menţiuni revelatoare despre esenienii de la Marea Moartă”, în </w:t>
      </w:r>
      <w:r>
        <w:rPr>
          <w:i/>
        </w:rPr>
        <w:t xml:space="preserve">Orientalia Mirabilia</w:t>
      </w:r>
      <w:r>
        <w:t xml:space="preserve">, vol. 1, Bibliotheca Orientalis (Bucureşti: Editura ştiinţifică şi enciclopedică, 1976), 170–210.</w:t>
      </w:r>
      <w:r/>
    </w:p>
  </w:footnote>
  <w:footnote w:id="87">
    <w:p>
      <w:pPr>
        <w:pStyle w:val="2365"/>
        <w:pBdr/>
        <w:spacing/>
        <w:ind/>
        <w:rPr/>
      </w:pPr>
      <w:r>
        <w:rPr>
          <w:rStyle w:val="2248"/>
        </w:rPr>
        <w:footnoteRef/>
      </w:r>
      <w:r>
        <w:t xml:space="preserve"> Philo şi Josephus scriu că esenienii nu admiteau jurămintele, nici sclavia</w:t>
      </w:r>
      <w:r>
        <w:rPr>
          <w:lang w:val="en-US"/>
        </w:rPr>
        <w:t xml:space="preserve">,</w:t>
      </w:r>
      <w:r>
        <w:t xml:space="preserve"> dar 1 QS admite jurămintele, iar Documentul Damascen admite sclavia şi prescrie reguli pentru aceasta (DD 11.12, 12:10-12).</w:t>
      </w:r>
      <w:r/>
    </w:p>
  </w:footnote>
  <w:footnote w:id="88">
    <w:p>
      <w:pPr>
        <w:pStyle w:val="2365"/>
        <w:pBdr/>
        <w:spacing/>
        <w:ind/>
        <w:rPr/>
      </w:pPr>
      <w:r>
        <w:rPr>
          <w:rStyle w:val="2248"/>
        </w:rPr>
        <w:footnoteRef/>
      </w:r>
      <w:r>
        <w:t xml:space="preserve"> Cei doi Mesia sunt numiţi în 1QS 9.10-11: Mesia lui Israel şi a lui Aaron (sau „al lui Levi”). </w:t>
      </w:r>
      <w:r>
        <w:rPr>
          <w:i/>
          <w:iCs/>
        </w:rPr>
        <w:t xml:space="preserve">Cf.</w:t>
      </w:r>
      <w:r>
        <w:t xml:space="preserve"> Dt. 5:28-29, 18:18-19, Exod. 20, 21, Num. 24:15-17, Dt. 33:8-11, cf. şi Gen. 49:10, 2 Sam. 7:11-12, Isa. 11:1-5. Vezi J.M. Allegro, </w:t>
      </w:r>
      <w:r>
        <w:rPr>
          <w:i/>
          <w:iCs/>
        </w:rPr>
        <w:t xml:space="preserve">Journal of Biblical Literature</w:t>
      </w:r>
      <w:r>
        <w:t xml:space="preserve"> 75 (1956), 182-186.</w:t>
      </w:r>
      <w:r/>
    </w:p>
  </w:footnote>
  <w:footnote w:id="89">
    <w:p>
      <w:pPr>
        <w:pStyle w:val="2365"/>
        <w:pBdr/>
        <w:spacing/>
        <w:ind/>
        <w:rPr/>
      </w:pPr>
      <w:r>
        <w:rPr>
          <w:rStyle w:val="2248"/>
        </w:rPr>
        <w:footnoteRef/>
      </w:r>
      <w:r>
        <w:t xml:space="preserve"> See D. Howlett, </w:t>
      </w:r>
      <w:r>
        <w:rPr>
          <w:i/>
          <w:iCs/>
        </w:rPr>
        <w:t xml:space="preserve">The Essenes and Christianity</w:t>
      </w:r>
      <w:r>
        <w:t xml:space="preserve"> (1957); A. Dupont-Sommer, </w:t>
      </w:r>
      <w:r>
        <w:rPr>
          <w:i/>
          <w:iCs/>
        </w:rPr>
        <w:t xml:space="preserve">The Essene Writings from Qumran</w:t>
      </w:r>
      <w:r>
        <w:t xml:space="preserve"> (tr. 1961, repr. 1967); M. A. Larson, </w:t>
      </w:r>
      <w:r>
        <w:rPr>
          <w:i/>
          <w:iCs/>
        </w:rPr>
        <w:t xml:space="preserve">The Essene Heritage</w:t>
      </w:r>
      <w:r>
        <w:t xml:space="preserve"> (1967); G. Vermes, </w:t>
      </w:r>
      <w:r>
        <w:rPr>
          <w:i/>
          <w:iCs/>
        </w:rPr>
        <w:t xml:space="preserve">The Dead Sea Scrolls</w:t>
      </w:r>
      <w:r>
        <w:t xml:space="preserve"> (1978); P. R. Davies, </w:t>
      </w:r>
      <w:r>
        <w:rPr>
          <w:i/>
          <w:iCs/>
        </w:rPr>
        <w:t xml:space="preserve">Behind the Essenes: History and Ideology in the Dead Sea Scrolls</w:t>
      </w:r>
      <w:r>
        <w:t xml:space="preserve"> (1987).</w:t>
      </w:r>
      <w:r/>
    </w:p>
  </w:footnote>
  <w:footnote w:id="90">
    <w:p>
      <w:pPr>
        <w:pStyle w:val="2365"/>
        <w:pBdr/>
        <w:spacing/>
        <w:ind/>
        <w:rPr>
          <w:i/>
          <w:iCs/>
        </w:rPr>
      </w:pPr>
      <w:r>
        <w:rPr>
          <w:rStyle w:val="2248"/>
        </w:rPr>
        <w:footnoteRef/>
      </w:r>
      <w:r>
        <w:t xml:space="preserve"> Josephus, </w:t>
      </w:r>
      <w:r>
        <w:rPr>
          <w:i/>
          <w:iCs/>
        </w:rPr>
        <w:t xml:space="preserve">Războaiele iudeilor, </w:t>
      </w:r>
      <w:r>
        <w:t xml:space="preserve">7.252-274.</w:t>
      </w:r>
      <w:r>
        <w:rPr>
          <w:i/>
          <w:iCs/>
        </w:rPr>
      </w:r>
      <w:r>
        <w:rPr>
          <w:i/>
          <w:iCs/>
        </w:rPr>
      </w:r>
    </w:p>
  </w:footnote>
  <w:footnote w:id="91">
    <w:p>
      <w:pPr>
        <w:pStyle w:val="2365"/>
        <w:pBdr/>
        <w:spacing/>
        <w:ind/>
        <w:rPr/>
      </w:pPr>
      <w:r>
        <w:rPr>
          <w:rStyle w:val="2248"/>
        </w:rPr>
        <w:footnoteRef/>
      </w:r>
      <w:r>
        <w:t xml:space="preserve"> J. Boardman, Oxford History of the Classical World, p. 207.</w:t>
      </w:r>
      <w:r/>
    </w:p>
  </w:footnote>
  <w:footnote w:id="92">
    <w:p>
      <w:pPr>
        <w:pStyle w:val="2365"/>
        <w:pBdr/>
        <w:spacing/>
        <w:ind/>
        <w:rPr/>
      </w:pPr>
      <w:r>
        <w:rPr>
          <w:vertAlign w:val="superscript"/>
        </w:rPr>
        <w:footnoteRef/>
      </w:r>
      <w:r>
        <w:t xml:space="preserve"> C.S. Keener, „Marriage”, în S.E. Porter &amp; C.A. Evans, </w:t>
      </w:r>
      <w:r>
        <w:rPr>
          <w:i/>
          <w:iCs/>
        </w:rPr>
        <w:t xml:space="preserve">Dictionary of New Testament background: A compendium of contemporary biblical scholarship</w:t>
      </w:r>
      <w:r>
        <w:t xml:space="preserve"> (electronic ed.). Downers Grove, IL: InterVarsity Press, 2000.</w:t>
      </w:r>
      <w:r/>
    </w:p>
  </w:footnote>
  <w:footnote w:id="93">
    <w:p>
      <w:pPr>
        <w:pStyle w:val="2365"/>
        <w:pBdr/>
        <w:spacing/>
        <w:ind/>
        <w:rPr/>
      </w:pPr>
      <w:r>
        <w:rPr>
          <w:rStyle w:val="2248"/>
        </w:rPr>
        <w:footnoteRef/>
      </w:r>
      <w:r>
        <w:t xml:space="preserve"> Keener, „family”, DNTB.</w:t>
      </w:r>
      <w:r/>
    </w:p>
  </w:footnote>
  <w:footnote w:id="94">
    <w:p>
      <w:pPr>
        <w:pStyle w:val="2365"/>
        <w:pBdr/>
        <w:spacing/>
        <w:ind/>
        <w:rPr/>
      </w:pPr>
      <w:r>
        <w:rPr>
          <w:rStyle w:val="2248"/>
        </w:rPr>
        <w:footnoteRef/>
      </w:r>
      <w:r>
        <w:t xml:space="preserve"> Boardman, </w:t>
      </w:r>
      <w:r>
        <w:rPr>
          <w:i/>
        </w:rPr>
        <w:t xml:space="preserve">Classical World,</w:t>
      </w:r>
      <w:r>
        <w:t xml:space="preserve"> 20.</w:t>
      </w:r>
      <w:r/>
    </w:p>
  </w:footnote>
  <w:footnote w:id="95">
    <w:p>
      <w:pPr>
        <w:pStyle w:val="2365"/>
        <w:pBdr/>
        <w:spacing/>
        <w:ind/>
        <w:rPr/>
      </w:pPr>
      <w:r>
        <w:rPr>
          <w:rStyle w:val="2248"/>
        </w:rPr>
        <w:footnoteRef/>
      </w:r>
      <w:r>
        <w:t xml:space="preserve"> J.A. Harill, „slavery”, DNTB.</w:t>
      </w:r>
      <w:r/>
    </w:p>
  </w:footnote>
  <w:footnote w:id="96">
    <w:p>
      <w:pPr>
        <w:pStyle w:val="2365"/>
        <w:pBdr/>
        <w:spacing/>
        <w:ind/>
        <w:rPr/>
      </w:pPr>
      <w:r>
        <w:rPr>
          <w:rStyle w:val="2248"/>
        </w:rPr>
        <w:footnoteRef/>
      </w:r>
      <w:r>
        <w:t xml:space="preserve"> Bouquet, Life, 227.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7"/>
      <w:pBdr/>
      <w:spacing/>
      <w:ind/>
      <w:rPr/>
    </w:pPr>
    <w:r>
      <w:fldChar w:fldCharType="begin"/>
    </w:r>
    <w:r>
      <w:instrText xml:space="preserve"> PAGE   \* MERGEFORMAT </w:instrText>
    </w:r>
    <w:r>
      <w:fldChar w:fldCharType="separate"/>
    </w:r>
    <w:r>
      <w:t xml:space="preserve">53</w:t>
    </w:r>
    <w:r>
      <w:fldChar w:fldCharType="end"/>
    </w:r>
    <w:r/>
  </w:p>
  <w:p>
    <w:pPr>
      <w:pStyle w:val="2257"/>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7"/>
      <w:pBdr/>
      <w:spacing/>
      <w:ind/>
      <w:rPr/>
    </w:pPr>
    <w:r>
      <w:fldChar w:fldCharType="begin"/>
    </w:r>
    <w:r>
      <w:instrText xml:space="preserve"> PAGE   \* MERGEFORMAT </w:instrText>
    </w:r>
    <w:r>
      <w:fldChar w:fldCharType="separate"/>
    </w:r>
    <w:r>
      <w:t xml:space="preserve">2</w:t>
    </w:r>
    <w:r>
      <w:fldChar w:fldCharType="end"/>
    </w:r>
    <w:r/>
  </w:p>
  <w:p>
    <w:pPr>
      <w:pStyle w:val="2257"/>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2257"/>
      <w:pBdr/>
      <w:spacing/>
      <w:ind/>
      <w:rPr/>
    </w:pPr>
    <w:r>
      <w:fldChar w:fldCharType="begin"/>
    </w:r>
    <w:r>
      <w:instrText xml:space="preserve"> PAGE   \* MERGEFORMAT </w:instrText>
    </w:r>
    <w:r>
      <w:fldChar w:fldCharType="separate"/>
    </w:r>
    <w:r>
      <w:t xml:space="preserve">5</w:t>
    </w:r>
    <w:r>
      <w:fldChar w:fldCharType="end"/>
    </w:r>
    <w:r/>
  </w:p>
  <w:p>
    <w:pPr>
      <w:pStyle w:val="2257"/>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3301F"/>
    <w:lvl w:ilvl="0">
      <w:isLgl w:val="false"/>
      <w:lvlJc w:val="left"/>
      <w:lvlText w:val="%1."/>
      <w:numFmt w:val="lowerRoman"/>
      <w:pPr>
        <w:pBdr/>
        <w:spacing/>
        <w:ind w:hanging="720" w:left="144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1">
    <w:nsid w:val="075BCD15"/>
    <w:lvl w:ilvl="0">
      <w:isLgl w:val="false"/>
      <w:lvlJc w:val="left"/>
      <w:lvlText w:val="%1"/>
      <w:numFmt w:val="decimal"/>
      <w:pPr>
        <w:pBdr/>
        <w:spacing/>
        <w:ind w:firstLine="0" w:left="0"/>
      </w:pPr>
      <w:rPr/>
      <w:start w:val="1"/>
      <w:suff w:val="nothing"/>
    </w:lvl>
    <w:lvl w:ilvl="1">
      <w:isLgl w:val="false"/>
      <w:lvlJc w:val="left"/>
      <w:lvlText w:val="%2"/>
      <w:numFmt w:val="decimal"/>
      <w:pPr>
        <w:pBdr/>
        <w:spacing/>
        <w:ind w:firstLine="0" w:left="0"/>
      </w:pPr>
      <w:rPr>
        <w:sz w:val="24"/>
      </w:rPr>
      <w:start w:val="1"/>
      <w:suff w:val="nothing"/>
    </w:lvl>
    <w:lvl w:ilvl="2">
      <w:isLgl w:val="false"/>
      <w:lvlJc w:val="left"/>
      <w:lvlText w:val="%2.%3"/>
      <w:numFmt w:val="decimal"/>
      <w:pPr>
        <w:pBdr/>
        <w:spacing/>
        <w:ind w:firstLine="0" w:left="0"/>
      </w:pPr>
      <w:rPr/>
      <w:start w:val="1"/>
      <w:suff w:val="nothing"/>
    </w:lvl>
    <w:lvl w:ilvl="3">
      <w:isLgl w:val="false"/>
      <w:lvlJc w:val="left"/>
      <w:lvlText w:val="%2.%3.((%4))"/>
      <w:numFmt w:val="lowerRoman"/>
      <w:pPr>
        <w:pBdr/>
        <w:spacing/>
        <w:ind w:firstLine="0" w:left="0"/>
      </w:pPr>
      <w:rPr/>
      <w:start w:val="1"/>
      <w:suff w:val="nothing"/>
    </w:lvl>
    <w:lvl w:ilvl="4">
      <w:isLgl w:val="false"/>
      <w:lvlJc w:val="left"/>
      <w:lvlText w:val="%2.%3.((%4)).(%5)"/>
      <w:numFmt w:val="lowerRoman"/>
      <w:pPr>
        <w:pBdr/>
        <w:spacing/>
        <w:ind w:firstLine="0" w:left="0"/>
      </w:pPr>
      <w:rPr/>
      <w:start w:val="1"/>
      <w:suff w:val="nothing"/>
    </w:lvl>
    <w:lvl w:ilvl="5">
      <w:isLgl w:val="false"/>
      <w:lvlJc w:val="left"/>
      <w:lvlText w:val="%6"/>
      <w:numFmt w:val="decimal"/>
      <w:pPr>
        <w:pBdr/>
        <w:spacing/>
        <w:ind w:firstLine="0" w:left="0"/>
      </w:pPr>
      <w:rPr/>
      <w:start w:val="1"/>
      <w:suff w:val="nothing"/>
    </w:lvl>
    <w:lvl w:ilvl="6">
      <w:isLgl w:val="false"/>
      <w:lvlJc w:val="left"/>
      <w:lvlText w:val="%7"/>
      <w:numFmt w:val="decimal"/>
      <w:pPr>
        <w:pBdr/>
        <w:spacing/>
        <w:ind w:firstLine="0" w:left="0"/>
      </w:pPr>
      <w:rPr/>
      <w:start w:val="1"/>
      <w:suff w:val="nothing"/>
    </w:lvl>
    <w:lvl w:ilvl="7">
      <w:isLgl w:val="false"/>
      <w:lvlJc w:val="left"/>
      <w:lvlText w:val="%8"/>
      <w:numFmt w:val="decimal"/>
      <w:pPr>
        <w:pBdr/>
        <w:spacing/>
        <w:ind w:firstLine="0" w:left="0"/>
      </w:pPr>
      <w:rPr/>
      <w:start w:val="1"/>
      <w:suff w:val="nothing"/>
    </w:lvl>
    <w:lvl w:ilvl="8">
      <w:isLgl w:val="false"/>
      <w:lvlJc w:val="left"/>
      <w:lvlText w:val="%9"/>
      <w:numFmt w:val="decimal"/>
      <w:pPr>
        <w:pBdr/>
        <w:spacing/>
        <w:ind w:firstLine="0" w:left="0"/>
      </w:pPr>
      <w:rPr/>
      <w:start w:val="1"/>
      <w:suff w:val="nothing"/>
    </w:lvl>
  </w:abstractNum>
  <w:abstractNum w:abstractNumId="2">
    <w:nsid w:val="1E2E7D51"/>
    <w:lvl w:ilvl="0">
      <w:isLgl w:val="false"/>
      <w:lvlJc w:val="left"/>
      <w:lvlText w:val="-"/>
      <w:numFmt w:val="bullet"/>
      <w:pPr>
        <w:pBdr/>
        <w:spacing/>
        <w:ind w:hanging="360" w:left="1080"/>
      </w:pPr>
      <w:rPr>
        <w:rFonts w:ascii="Times New Roman" w:hAnsi="Times New Roman" w:eastAsia="Times New Roman" w:cs="Times New Roman"/>
      </w:rPr>
      <w:start w:val="0"/>
      <w:suff w:val="tab"/>
    </w:lvl>
    <w:lvl w:ilvl="1">
      <w:isLgl w:val="false"/>
      <w:lvlJc w:val="left"/>
      <w:lvlText w:val="o"/>
      <w:numFmt w:val="bullet"/>
      <w:pPr>
        <w:pBdr/>
        <w:spacing/>
        <w:ind w:hanging="360" w:left="1800"/>
      </w:pPr>
      <w:rPr>
        <w:rFonts w:ascii="Courier New" w:hAnsi="Courier New" w:cs="Courier New"/>
      </w:rPr>
      <w:start w:val="1"/>
      <w:suff w:val="tab"/>
    </w:lvl>
    <w:lvl w:ilvl="2">
      <w:isLgl w:val="false"/>
      <w:lvlJc w:val="left"/>
      <w:lvlText w:val=""/>
      <w:numFmt w:val="bullet"/>
      <w:pPr>
        <w:pBdr/>
        <w:spacing/>
        <w:ind w:hanging="360" w:left="2520"/>
      </w:pPr>
      <w:rPr>
        <w:rFonts w:ascii="Wingdings" w:hAnsi="Wingdings"/>
      </w:rPr>
      <w:start w:val="1"/>
      <w:suff w:val="tab"/>
    </w:lvl>
    <w:lvl w:ilvl="3">
      <w:isLgl w:val="false"/>
      <w:lvlJc w:val="left"/>
      <w:lvlText w:val=""/>
      <w:numFmt w:val="bullet"/>
      <w:pPr>
        <w:pBdr/>
        <w:spacing/>
        <w:ind w:hanging="360" w:left="3240"/>
      </w:pPr>
      <w:rPr>
        <w:rFonts w:ascii="Symbol" w:hAnsi="Symbol"/>
      </w:rPr>
      <w:start w:val="1"/>
      <w:suff w:val="tab"/>
    </w:lvl>
    <w:lvl w:ilvl="4">
      <w:isLgl w:val="false"/>
      <w:lvlJc w:val="left"/>
      <w:lvlText w:val="o"/>
      <w:numFmt w:val="bullet"/>
      <w:pPr>
        <w:pBdr/>
        <w:spacing/>
        <w:ind w:hanging="360" w:left="3960"/>
      </w:pPr>
      <w:rPr>
        <w:rFonts w:ascii="Courier New" w:hAnsi="Courier New" w:cs="Courier New"/>
      </w:rPr>
      <w:start w:val="1"/>
      <w:suff w:val="tab"/>
    </w:lvl>
    <w:lvl w:ilvl="5">
      <w:isLgl w:val="false"/>
      <w:lvlJc w:val="left"/>
      <w:lvlText w:val=""/>
      <w:numFmt w:val="bullet"/>
      <w:pPr>
        <w:pBdr/>
        <w:spacing/>
        <w:ind w:hanging="360" w:left="4680"/>
      </w:pPr>
      <w:rPr>
        <w:rFonts w:ascii="Wingdings" w:hAnsi="Wingdings"/>
      </w:rPr>
      <w:start w:val="1"/>
      <w:suff w:val="tab"/>
    </w:lvl>
    <w:lvl w:ilvl="6">
      <w:isLgl w:val="false"/>
      <w:lvlJc w:val="left"/>
      <w:lvlText w:val=""/>
      <w:numFmt w:val="bullet"/>
      <w:pPr>
        <w:pBdr/>
        <w:spacing/>
        <w:ind w:hanging="360" w:left="5400"/>
      </w:pPr>
      <w:rPr>
        <w:rFonts w:ascii="Symbol" w:hAnsi="Symbol"/>
      </w:rPr>
      <w:start w:val="1"/>
      <w:suff w:val="tab"/>
    </w:lvl>
    <w:lvl w:ilvl="7">
      <w:isLgl w:val="false"/>
      <w:lvlJc w:val="left"/>
      <w:lvlText w:val="o"/>
      <w:numFmt w:val="bullet"/>
      <w:pPr>
        <w:pBdr/>
        <w:spacing/>
        <w:ind w:hanging="360" w:left="6120"/>
      </w:pPr>
      <w:rPr>
        <w:rFonts w:ascii="Courier New" w:hAnsi="Courier New" w:cs="Courier New"/>
      </w:rPr>
      <w:start w:val="1"/>
      <w:suff w:val="tab"/>
    </w:lvl>
    <w:lvl w:ilvl="8">
      <w:isLgl w:val="false"/>
      <w:lvlJc w:val="left"/>
      <w:lvlText w:val=""/>
      <w:numFmt w:val="bullet"/>
      <w:pPr>
        <w:pBdr/>
        <w:spacing/>
        <w:ind w:hanging="360" w:left="6840"/>
      </w:pPr>
      <w:rPr>
        <w:rFonts w:ascii="Wingdings" w:hAnsi="Wingdings"/>
      </w:rPr>
      <w:start w:val="1"/>
      <w:suff w:val="tab"/>
    </w:lvl>
  </w:abstractNum>
  <w:abstractNum w:abstractNumId="3">
    <w:nsid w:val="49CB2663"/>
    <w:lvl w:ilvl="0">
      <w:isLgl w:val="false"/>
      <w:lvlJc w:val="left"/>
      <w:lvlText w:val="%1."/>
      <w:numFmt w:val="lowerLetter"/>
      <w:pPr>
        <w:pBdr/>
        <w:spacing/>
        <w:ind w:hanging="360" w:left="648"/>
      </w:pPr>
      <w:rPr/>
      <w:start w:val="1"/>
      <w:suff w:val="tab"/>
    </w:lvl>
    <w:lvl w:ilvl="1">
      <w:isLgl w:val="false"/>
      <w:lvlJc w:val="left"/>
      <w:lvlText w:val="%2."/>
      <w:numFmt w:val="lowerLetter"/>
      <w:pPr>
        <w:pBdr/>
        <w:spacing/>
        <w:ind w:hanging="360" w:left="1368"/>
      </w:pPr>
      <w:rPr/>
      <w:start w:val="1"/>
      <w:suff w:val="tab"/>
    </w:lvl>
    <w:lvl w:ilvl="2">
      <w:isLgl w:val="false"/>
      <w:lvlJc w:val="right"/>
      <w:lvlText w:val="%3."/>
      <w:numFmt w:val="lowerRoman"/>
      <w:pPr>
        <w:pBdr/>
        <w:spacing/>
        <w:ind w:hanging="180" w:left="2088"/>
      </w:pPr>
      <w:rPr/>
      <w:start w:val="1"/>
      <w:suff w:val="tab"/>
    </w:lvl>
    <w:lvl w:ilvl="3">
      <w:isLgl w:val="false"/>
      <w:lvlJc w:val="left"/>
      <w:lvlText w:val="%4."/>
      <w:numFmt w:val="decimal"/>
      <w:pPr>
        <w:pBdr/>
        <w:spacing/>
        <w:ind w:hanging="360" w:left="2808"/>
      </w:pPr>
      <w:rPr/>
      <w:start w:val="1"/>
      <w:suff w:val="tab"/>
    </w:lvl>
    <w:lvl w:ilvl="4">
      <w:isLgl w:val="false"/>
      <w:lvlJc w:val="left"/>
      <w:lvlText w:val="%5."/>
      <w:numFmt w:val="lowerLetter"/>
      <w:pPr>
        <w:pBdr/>
        <w:spacing/>
        <w:ind w:hanging="360" w:left="3528"/>
      </w:pPr>
      <w:rPr/>
      <w:start w:val="1"/>
      <w:suff w:val="tab"/>
    </w:lvl>
    <w:lvl w:ilvl="5">
      <w:isLgl w:val="false"/>
      <w:lvlJc w:val="right"/>
      <w:lvlText w:val="%6."/>
      <w:numFmt w:val="lowerRoman"/>
      <w:pPr>
        <w:pBdr/>
        <w:spacing/>
        <w:ind w:hanging="180" w:left="4248"/>
      </w:pPr>
      <w:rPr/>
      <w:start w:val="1"/>
      <w:suff w:val="tab"/>
    </w:lvl>
    <w:lvl w:ilvl="6">
      <w:isLgl w:val="false"/>
      <w:lvlJc w:val="left"/>
      <w:lvlText w:val="%7."/>
      <w:numFmt w:val="decimal"/>
      <w:pPr>
        <w:pBdr/>
        <w:spacing/>
        <w:ind w:hanging="360" w:left="4968"/>
      </w:pPr>
      <w:rPr/>
      <w:start w:val="1"/>
      <w:suff w:val="tab"/>
    </w:lvl>
    <w:lvl w:ilvl="7">
      <w:isLgl w:val="false"/>
      <w:lvlJc w:val="left"/>
      <w:lvlText w:val="%8."/>
      <w:numFmt w:val="lowerLetter"/>
      <w:pPr>
        <w:pBdr/>
        <w:spacing/>
        <w:ind w:hanging="360" w:left="5688"/>
      </w:pPr>
      <w:rPr/>
      <w:start w:val="1"/>
      <w:suff w:val="tab"/>
    </w:lvl>
    <w:lvl w:ilvl="8">
      <w:isLgl w:val="false"/>
      <w:lvlJc w:val="right"/>
      <w:lvlText w:val="%9."/>
      <w:numFmt w:val="lowerRoman"/>
      <w:pPr>
        <w:pBdr/>
        <w:spacing/>
        <w:ind w:hanging="180" w:left="6408"/>
      </w:pPr>
      <w:rPr/>
      <w:start w:val="1"/>
      <w:suff w:val="tab"/>
    </w:lvl>
  </w:abstractNum>
  <w:abstractNum w:abstractNumId="4">
    <w:nsid w:val="5AEE197F"/>
    <w:lvl w:ilvl="0">
      <w:isLgl w:val="false"/>
      <w:lvlJc w:val="left"/>
      <w:lvlText w:val="%1."/>
      <w:numFmt w:val="lowerLetter"/>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nsid w:val="6AC26B7F"/>
    <w:lvl w:ilvl="0">
      <w:isLgl w:val="false"/>
      <w:lvlJc w:val="left"/>
      <w:lvlText w:val="%1."/>
      <w:numFmt w:val="lowerLetter"/>
      <w:pPr>
        <w:pBdr/>
        <w:spacing/>
        <w:ind w:hanging="360" w:left="648"/>
      </w:pPr>
      <w:rPr/>
      <w:start w:val="1"/>
      <w:suff w:val="tab"/>
    </w:lvl>
    <w:lvl w:ilvl="1">
      <w:isLgl w:val="false"/>
      <w:lvlJc w:val="left"/>
      <w:lvlText w:val="%2."/>
      <w:numFmt w:val="lowerLetter"/>
      <w:pPr>
        <w:pBdr/>
        <w:spacing/>
        <w:ind w:hanging="360" w:left="1368"/>
      </w:pPr>
      <w:rPr/>
      <w:start w:val="1"/>
      <w:suff w:val="tab"/>
    </w:lvl>
    <w:lvl w:ilvl="2">
      <w:isLgl w:val="false"/>
      <w:lvlJc w:val="right"/>
      <w:lvlText w:val="%3."/>
      <w:numFmt w:val="lowerRoman"/>
      <w:pPr>
        <w:pBdr/>
        <w:spacing/>
        <w:ind w:hanging="180" w:left="2088"/>
      </w:pPr>
      <w:rPr/>
      <w:start w:val="1"/>
      <w:suff w:val="tab"/>
    </w:lvl>
    <w:lvl w:ilvl="3">
      <w:isLgl w:val="false"/>
      <w:lvlJc w:val="left"/>
      <w:lvlText w:val="%4."/>
      <w:numFmt w:val="decimal"/>
      <w:pPr>
        <w:pBdr/>
        <w:spacing/>
        <w:ind w:hanging="360" w:left="2808"/>
      </w:pPr>
      <w:rPr/>
      <w:start w:val="1"/>
      <w:suff w:val="tab"/>
    </w:lvl>
    <w:lvl w:ilvl="4">
      <w:isLgl w:val="false"/>
      <w:lvlJc w:val="left"/>
      <w:lvlText w:val="%5."/>
      <w:numFmt w:val="lowerLetter"/>
      <w:pPr>
        <w:pBdr/>
        <w:spacing/>
        <w:ind w:hanging="360" w:left="3528"/>
      </w:pPr>
      <w:rPr/>
      <w:start w:val="1"/>
      <w:suff w:val="tab"/>
    </w:lvl>
    <w:lvl w:ilvl="5">
      <w:isLgl w:val="false"/>
      <w:lvlJc w:val="right"/>
      <w:lvlText w:val="%6."/>
      <w:numFmt w:val="lowerRoman"/>
      <w:pPr>
        <w:pBdr/>
        <w:spacing/>
        <w:ind w:hanging="180" w:left="4248"/>
      </w:pPr>
      <w:rPr/>
      <w:start w:val="1"/>
      <w:suff w:val="tab"/>
    </w:lvl>
    <w:lvl w:ilvl="6">
      <w:isLgl w:val="false"/>
      <w:lvlJc w:val="left"/>
      <w:lvlText w:val="%7."/>
      <w:numFmt w:val="decimal"/>
      <w:pPr>
        <w:pBdr/>
        <w:spacing/>
        <w:ind w:hanging="360" w:left="4968"/>
      </w:pPr>
      <w:rPr/>
      <w:start w:val="1"/>
      <w:suff w:val="tab"/>
    </w:lvl>
    <w:lvl w:ilvl="7">
      <w:isLgl w:val="false"/>
      <w:lvlJc w:val="left"/>
      <w:lvlText w:val="%8."/>
      <w:numFmt w:val="lowerLetter"/>
      <w:pPr>
        <w:pBdr/>
        <w:spacing/>
        <w:ind w:hanging="360" w:left="5688"/>
      </w:pPr>
      <w:rPr/>
      <w:start w:val="1"/>
      <w:suff w:val="tab"/>
    </w:lvl>
    <w:lvl w:ilvl="8">
      <w:isLgl w:val="false"/>
      <w:lvlJc w:val="right"/>
      <w:lvlText w:val="%9."/>
      <w:numFmt w:val="lowerRoman"/>
      <w:pPr>
        <w:pBdr/>
        <w:spacing/>
        <w:ind w:hanging="180" w:left="6408"/>
      </w:pPr>
      <w:rPr/>
      <w:start w:val="1"/>
      <w:suff w:val="tab"/>
    </w:lvl>
  </w:abstractNum>
  <w:abstractNum w:abstractNumId="6">
    <w:nsid w:val="7EDC19EE"/>
    <w:lvl w:ilvl="0">
      <w:isLgl w:val="false"/>
      <w:lvlJc w:val="left"/>
      <w:lvlText w:val="%1."/>
      <w:numFmt w:val="lowerRoman"/>
      <w:pPr>
        <w:pBdr/>
        <w:spacing/>
        <w:ind w:hanging="720" w:left="144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7">
    <w:nsid w:val="7F0E063A"/>
    <w:lvl w:ilvl="0">
      <w:isLgl w:val="false"/>
      <w:lvlJc w:val="left"/>
      <w:lvlText w:val="%1."/>
      <w:numFmt w:val="decimal"/>
      <w:pPr>
        <w:pBdr/>
        <w:spacing/>
        <w:ind w:hanging="360" w:left="1080"/>
      </w:pPr>
      <w:rPr/>
      <w:start w:val="1"/>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num w:numId="1">
    <w:abstractNumId w:val="2"/>
  </w:num>
  <w:num w:numId="2">
    <w:abstractNumId w:val="7"/>
  </w:num>
  <w:num w:numId="3">
    <w:abstractNumId w:val="3"/>
  </w:num>
  <w:num w:numId="4">
    <w:abstractNumId w:val="0"/>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val="true"/>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6">
    <w:name w:val="Heading 8"/>
    <w:basedOn w:val="2227"/>
    <w:next w:val="2227"/>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2227"/>
    <w:next w:val="2227"/>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2235"/>
    <w:link w:val="2228"/>
    <w:uiPriority w:val="9"/>
    <w:pPr>
      <w:pBdr/>
      <w:spacing/>
      <w:ind/>
    </w:pPr>
    <w:rPr>
      <w:rFonts w:ascii="Arial" w:hAnsi="Arial" w:eastAsia="Arial" w:cs="Arial"/>
      <w:color w:val="0f4761" w:themeColor="accent1" w:themeShade="BF"/>
      <w:sz w:val="40"/>
      <w:szCs w:val="40"/>
    </w:rPr>
  </w:style>
  <w:style w:type="character" w:styleId="155">
    <w:name w:val="Heading 6 Char"/>
    <w:basedOn w:val="2235"/>
    <w:link w:val="2233"/>
    <w:uiPriority w:val="9"/>
    <w:pPr>
      <w:pBdr/>
      <w:spacing/>
      <w:ind/>
    </w:pPr>
    <w:rPr>
      <w:rFonts w:ascii="Arial" w:hAnsi="Arial" w:eastAsia="Arial" w:cs="Arial"/>
      <w:i/>
      <w:iCs/>
      <w:color w:val="595959" w:themeColor="text1" w:themeTint="A6"/>
    </w:rPr>
  </w:style>
  <w:style w:type="character" w:styleId="156">
    <w:name w:val="Heading 7 Char"/>
    <w:basedOn w:val="2235"/>
    <w:link w:val="2234"/>
    <w:uiPriority w:val="9"/>
    <w:pPr>
      <w:pBdr/>
      <w:spacing/>
      <w:ind/>
    </w:pPr>
    <w:rPr>
      <w:rFonts w:ascii="Arial" w:hAnsi="Arial" w:eastAsia="Arial" w:cs="Arial"/>
      <w:color w:val="595959" w:themeColor="text1" w:themeTint="A6"/>
    </w:rPr>
  </w:style>
  <w:style w:type="character" w:styleId="157">
    <w:name w:val="Heading 8 Char"/>
    <w:basedOn w:val="2235"/>
    <w:link w:val="146"/>
    <w:uiPriority w:val="9"/>
    <w:pPr>
      <w:pBdr/>
      <w:spacing/>
      <w:ind/>
    </w:pPr>
    <w:rPr>
      <w:rFonts w:ascii="Arial" w:hAnsi="Arial" w:eastAsia="Arial" w:cs="Arial"/>
      <w:i/>
      <w:iCs/>
      <w:color w:val="272727" w:themeColor="text1" w:themeTint="D8"/>
    </w:rPr>
  </w:style>
  <w:style w:type="character" w:styleId="158">
    <w:name w:val="Heading 9 Char"/>
    <w:basedOn w:val="2235"/>
    <w:link w:val="147"/>
    <w:uiPriority w:val="9"/>
    <w:pPr>
      <w:pBdr/>
      <w:spacing/>
      <w:ind/>
    </w:pPr>
    <w:rPr>
      <w:rFonts w:ascii="Arial" w:hAnsi="Arial" w:eastAsia="Arial" w:cs="Arial"/>
      <w:i/>
      <w:iCs/>
      <w:color w:val="272727" w:themeColor="text1" w:themeTint="D8"/>
    </w:rPr>
  </w:style>
  <w:style w:type="character" w:styleId="160">
    <w:name w:val="Title Char"/>
    <w:basedOn w:val="2235"/>
    <w:link w:val="2249"/>
    <w:uiPriority w:val="10"/>
    <w:pPr>
      <w:pBdr/>
      <w:spacing/>
      <w:ind/>
    </w:pPr>
    <w:rPr>
      <w:rFonts w:ascii="Arial" w:hAnsi="Arial" w:eastAsia="Arial" w:cs="Arial"/>
      <w:spacing w:val="-10"/>
      <w:sz w:val="56"/>
      <w:szCs w:val="56"/>
    </w:rPr>
  </w:style>
  <w:style w:type="paragraph" w:styleId="163">
    <w:name w:val="Quote"/>
    <w:basedOn w:val="2227"/>
    <w:next w:val="2227"/>
    <w:link w:val="164"/>
    <w:uiPriority w:val="29"/>
    <w:qFormat/>
    <w:pPr>
      <w:pBdr/>
      <w:spacing w:before="160"/>
      <w:ind/>
      <w:jc w:val="center"/>
    </w:pPr>
    <w:rPr>
      <w:i/>
      <w:iCs/>
      <w:color w:val="404040" w:themeColor="text1" w:themeTint="BF"/>
    </w:rPr>
  </w:style>
  <w:style w:type="character" w:styleId="164">
    <w:name w:val="Quote Char"/>
    <w:basedOn w:val="2235"/>
    <w:link w:val="163"/>
    <w:uiPriority w:val="29"/>
    <w:pPr>
      <w:pBdr/>
      <w:spacing/>
      <w:ind/>
    </w:pPr>
    <w:rPr>
      <w:i/>
      <w:iCs/>
      <w:color w:val="404040" w:themeColor="text1" w:themeTint="BF"/>
    </w:rPr>
  </w:style>
  <w:style w:type="character" w:styleId="166">
    <w:name w:val="Intense Emphasis"/>
    <w:basedOn w:val="2235"/>
    <w:uiPriority w:val="21"/>
    <w:qFormat/>
    <w:pPr>
      <w:pBdr/>
      <w:spacing/>
      <w:ind/>
    </w:pPr>
    <w:rPr>
      <w:i/>
      <w:iCs/>
      <w:color w:val="0f4761" w:themeColor="accent1" w:themeShade="BF"/>
    </w:rPr>
  </w:style>
  <w:style w:type="paragraph" w:styleId="167">
    <w:name w:val="Intense Quote"/>
    <w:basedOn w:val="2227"/>
    <w:next w:val="2227"/>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2235"/>
    <w:link w:val="167"/>
    <w:uiPriority w:val="30"/>
    <w:pPr>
      <w:pBdr/>
      <w:spacing/>
      <w:ind/>
    </w:pPr>
    <w:rPr>
      <w:i/>
      <w:iCs/>
      <w:color w:val="0f4761" w:themeColor="accent1" w:themeShade="BF"/>
    </w:rPr>
  </w:style>
  <w:style w:type="character" w:styleId="169">
    <w:name w:val="Intense Reference"/>
    <w:basedOn w:val="2235"/>
    <w:uiPriority w:val="32"/>
    <w:qFormat/>
    <w:pPr>
      <w:pBdr/>
      <w:spacing/>
      <w:ind/>
    </w:pPr>
    <w:rPr>
      <w:b/>
      <w:bCs/>
      <w:smallCaps/>
      <w:color w:val="0f4761" w:themeColor="accent1" w:themeShade="BF"/>
      <w:spacing w:val="5"/>
    </w:rPr>
  </w:style>
  <w:style w:type="paragraph" w:styleId="170">
    <w:name w:val="No Spacing"/>
    <w:basedOn w:val="2227"/>
    <w:uiPriority w:val="1"/>
    <w:qFormat/>
    <w:pPr>
      <w:pBdr/>
      <w:spacing w:after="0" w:line="240" w:lineRule="auto"/>
      <w:ind/>
    </w:pPr>
  </w:style>
  <w:style w:type="character" w:styleId="171">
    <w:name w:val="Subtle Emphasis"/>
    <w:basedOn w:val="2235"/>
    <w:uiPriority w:val="19"/>
    <w:qFormat/>
    <w:pPr>
      <w:pBdr/>
      <w:spacing/>
      <w:ind/>
    </w:pPr>
    <w:rPr>
      <w:i/>
      <w:iCs/>
      <w:color w:val="404040" w:themeColor="text1" w:themeTint="BF"/>
    </w:rPr>
  </w:style>
  <w:style w:type="character" w:styleId="174">
    <w:name w:val="Subtle Reference"/>
    <w:basedOn w:val="2235"/>
    <w:uiPriority w:val="31"/>
    <w:qFormat/>
    <w:pPr>
      <w:pBdr/>
      <w:spacing/>
      <w:ind/>
    </w:pPr>
    <w:rPr>
      <w:smallCaps/>
      <w:color w:val="5a5a5a" w:themeColor="text1" w:themeTint="A5"/>
    </w:rPr>
  </w:style>
  <w:style w:type="character" w:styleId="179">
    <w:name w:val="Footer Char"/>
    <w:basedOn w:val="2235"/>
    <w:link w:val="2258"/>
    <w:uiPriority w:val="99"/>
    <w:pPr>
      <w:pBdr/>
      <w:spacing/>
      <w:ind/>
    </w:pPr>
  </w:style>
  <w:style w:type="paragraph" w:styleId="180">
    <w:name w:val="Caption"/>
    <w:basedOn w:val="2227"/>
    <w:next w:val="2227"/>
    <w:uiPriority w:val="35"/>
    <w:unhideWhenUsed/>
    <w:qFormat/>
    <w:pPr>
      <w:pBdr/>
      <w:spacing w:after="200" w:line="240" w:lineRule="auto"/>
      <w:ind/>
    </w:pPr>
    <w:rPr>
      <w:i/>
      <w:iCs/>
      <w:color w:val="0e2841" w:themeColor="text2"/>
      <w:sz w:val="18"/>
      <w:szCs w:val="18"/>
    </w:rPr>
  </w:style>
  <w:style w:type="character" w:styleId="198">
    <w:name w:val="Placeholder Text"/>
    <w:basedOn w:val="2235"/>
    <w:uiPriority w:val="99"/>
    <w:semiHidden/>
    <w:pPr>
      <w:pBdr/>
      <w:spacing/>
      <w:ind/>
    </w:pPr>
    <w:rPr>
      <w:color w:val="666666"/>
    </w:rPr>
  </w:style>
  <w:style w:type="paragraph" w:styleId="209">
    <w:name w:val="table of figures"/>
    <w:basedOn w:val="2227"/>
    <w:next w:val="2227"/>
    <w:uiPriority w:val="99"/>
    <w:unhideWhenUsed/>
    <w:pPr>
      <w:pBdr/>
      <w:spacing w:after="0" w:afterAutospacing="0"/>
      <w:ind/>
    </w:pPr>
  </w:style>
  <w:style w:type="paragraph" w:styleId="2227" w:default="1">
    <w:name w:val="Normal"/>
    <w:next w:val="2227"/>
    <w:link w:val="2227"/>
    <w:qFormat/>
    <w:pPr>
      <w:pBdr/>
      <w:spacing w:line="240" w:lineRule="atLeast"/>
      <w:ind w:firstLine="288"/>
      <w:jc w:val="both"/>
    </w:pPr>
    <w:rPr>
      <w:rFonts w:ascii="New Century Schoolbook" w:hAnsi="New Century Schoolbook"/>
      <w:sz w:val="24"/>
      <w:szCs w:val="24"/>
      <w:lang w:val="ro-RO" w:eastAsia="ro-RO" w:bidi="ar-SA"/>
    </w:rPr>
  </w:style>
  <w:style w:type="paragraph" w:styleId="2228">
    <w:name w:val="Heading 1"/>
    <w:basedOn w:val="2227"/>
    <w:next w:val="2227"/>
    <w:link w:val="2227"/>
    <w:qFormat/>
    <w:pPr>
      <w:keepNext w:val="true"/>
      <w:pBdr/>
      <w:spacing w:after="720" w:before="840"/>
      <w:ind/>
      <w:jc w:val="center"/>
      <w:outlineLvl w:val="0"/>
    </w:pPr>
    <w:rPr>
      <w:rFonts w:ascii="New Century Schoolbook" w:hAnsi="New Century Schoolbook" w:cs="Arial"/>
      <w:b/>
      <w:bCs/>
      <w:sz w:val="44"/>
      <w:szCs w:val="44"/>
      <w:lang w:val="en-US"/>
    </w:rPr>
  </w:style>
  <w:style w:type="paragraph" w:styleId="2229">
    <w:name w:val="Heading 2"/>
    <w:basedOn w:val="2227"/>
    <w:next w:val="2227"/>
    <w:link w:val="2238"/>
    <w:qFormat/>
    <w:pPr>
      <w:keepNext w:val="true"/>
      <w:pBdr/>
      <w:spacing w:after="240" w:before="240" w:line="240" w:lineRule="exact"/>
      <w:ind/>
      <w:outlineLvl w:val="1"/>
    </w:pPr>
    <w:rPr>
      <w:rFonts w:ascii="New Century Schoolbook" w:hAnsi="New Century Schoolbook" w:cs="Arial"/>
      <w:b/>
      <w:bCs/>
    </w:rPr>
  </w:style>
  <w:style w:type="paragraph" w:styleId="2230">
    <w:name w:val="Heading 3"/>
    <w:basedOn w:val="2227"/>
    <w:next w:val="2227"/>
    <w:link w:val="2309"/>
    <w:qFormat/>
    <w:pPr>
      <w:keepNext w:val="true"/>
      <w:keepLines w:val="true"/>
      <w:pBdr/>
      <w:spacing w:after="120" w:before="240" w:line="240" w:lineRule="exact"/>
      <w:ind w:firstLine="0"/>
      <w:outlineLvl w:val="2"/>
    </w:pPr>
    <w:rPr>
      <w:rFonts w:ascii="Palatino Linotype" w:hAnsi="Palatino Linotype" w:cs="Arial"/>
      <w:b/>
      <w:lang w:val="fr-FR"/>
    </w:rPr>
  </w:style>
  <w:style w:type="paragraph" w:styleId="2231">
    <w:name w:val="Heading 4"/>
    <w:basedOn w:val="2227"/>
    <w:next w:val="2227"/>
    <w:link w:val="2239"/>
    <w:qFormat/>
    <w:pPr>
      <w:keepNext w:val="true"/>
      <w:keepLines w:val="true"/>
      <w:pBdr/>
      <w:spacing w:after="40" w:before="200"/>
      <w:ind/>
      <w:outlineLvl w:val="3"/>
    </w:pPr>
    <w:rPr>
      <w:rFonts w:ascii="New Century Schoolbook" w:hAnsi="New Century Schoolbook"/>
      <w:smallCaps/>
      <w:sz w:val="21"/>
      <w:szCs w:val="28"/>
      <w:lang w:val="fr-FR"/>
    </w:rPr>
  </w:style>
  <w:style w:type="paragraph" w:styleId="2232">
    <w:name w:val="Heading 5"/>
    <w:basedOn w:val="2227"/>
    <w:next w:val="2227"/>
    <w:link w:val="2240"/>
    <w:qFormat/>
    <w:pPr>
      <w:pBdr/>
      <w:spacing w:after="40" w:before="200"/>
      <w:ind/>
      <w:outlineLvl w:val="4"/>
    </w:pPr>
    <w:rPr>
      <w:rFonts w:ascii="New Century Schoolbook" w:hAnsi="New Century Schoolbook"/>
      <w:bCs/>
      <w:iCs/>
      <w:sz w:val="21"/>
      <w:szCs w:val="26"/>
      <w:lang w:val="en-US"/>
    </w:rPr>
  </w:style>
  <w:style w:type="paragraph" w:styleId="2233">
    <w:name w:val="Heading 6"/>
    <w:basedOn w:val="2227"/>
    <w:next w:val="2227"/>
    <w:link w:val="2227"/>
    <w:qFormat/>
    <w:pPr>
      <w:pBdr/>
      <w:spacing w:after="60" w:before="240"/>
      <w:ind/>
      <w:outlineLvl w:val="5"/>
    </w:pPr>
    <w:rPr>
      <w:b/>
      <w:bCs/>
      <w:sz w:val="22"/>
      <w:szCs w:val="22"/>
    </w:rPr>
  </w:style>
  <w:style w:type="paragraph" w:styleId="2234">
    <w:name w:val="Heading 7"/>
    <w:basedOn w:val="2227"/>
    <w:next w:val="2227"/>
    <w:link w:val="2227"/>
    <w:qFormat/>
    <w:pPr>
      <w:pBdr/>
      <w:spacing w:after="60" w:before="240"/>
      <w:ind/>
      <w:outlineLvl w:val="6"/>
    </w:pPr>
  </w:style>
  <w:style w:type="character" w:styleId="2235" w:default="1">
    <w:name w:val="Default Paragraph Font"/>
    <w:next w:val="2235"/>
    <w:link w:val="2227"/>
    <w:uiPriority w:val="1"/>
    <w:unhideWhenUsed/>
    <w:pPr>
      <w:pBdr/>
      <w:spacing/>
      <w:ind/>
    </w:pPr>
  </w:style>
  <w:style w:type="table" w:styleId="2236">
    <w:name w:val="Table Normal"/>
    <w:next w:val="2236"/>
    <w:link w:val="2227"/>
    <w:uiPriority w:val="99"/>
    <w:semiHidden/>
    <w:unhideWhenUsed/>
    <w:qFormat/>
    <w:pPr>
      <w:pBdr/>
      <w:spacing/>
      <w:ind/>
    </w:pPr>
    <w:tblPr>
      <w:tblInd w:w="0" w:type="dxa"/>
      <w:tblW w:w="0" w:type="auto"/>
      <w:tblCellMar>
        <w:left w:w="108" w:type="dxa"/>
        <w:top w:w="0" w:type="dxa"/>
        <w:right w:w="108" w:type="dxa"/>
        <w:bottom w:w="0" w:type="dxa"/>
      </w:tblCellMar>
      <w:tblBorders/>
      <w:tblLayout w:type="fixed"/>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2237" w:default="1">
    <w:name w:val="No List"/>
    <w:next w:val="2237"/>
    <w:link w:val="2227"/>
    <w:uiPriority w:val="99"/>
    <w:semiHidden/>
    <w:unhideWhenUsed/>
    <w:pPr>
      <w:pBdr/>
      <w:spacing/>
      <w:ind/>
    </w:pPr>
  </w:style>
  <w:style w:type="character" w:styleId="2238">
    <w:name w:val="Heading 2 Char"/>
    <w:next w:val="2238"/>
    <w:link w:val="2229"/>
    <w:pPr>
      <w:pBdr/>
      <w:spacing/>
      <w:ind/>
    </w:pPr>
    <w:rPr>
      <w:rFonts w:ascii="New Century Schoolbook" w:hAnsi="New Century Schoolbook" w:cs="Arial"/>
      <w:b/>
      <w:bCs/>
      <w:sz w:val="24"/>
      <w:szCs w:val="24"/>
      <w:lang w:val="ro-RO" w:eastAsia="ro-RO"/>
    </w:rPr>
  </w:style>
  <w:style w:type="character" w:styleId="2239">
    <w:name w:val="Heading 4 Char"/>
    <w:next w:val="2239"/>
    <w:link w:val="2231"/>
    <w:pPr>
      <w:pBdr/>
      <w:spacing/>
      <w:ind/>
    </w:pPr>
    <w:rPr>
      <w:rFonts w:ascii="New Century Schoolbook" w:hAnsi="New Century Schoolbook"/>
      <w:smallCaps/>
      <w:sz w:val="21"/>
      <w:szCs w:val="28"/>
      <w:lang w:val="fr-FR" w:eastAsia="ro-RO" w:bidi="ar-SA"/>
    </w:rPr>
  </w:style>
  <w:style w:type="character" w:styleId="2240">
    <w:name w:val="Heading 5 Char"/>
    <w:next w:val="2240"/>
    <w:link w:val="2232"/>
    <w:pPr>
      <w:pBdr/>
      <w:spacing/>
      <w:ind/>
    </w:pPr>
    <w:rPr>
      <w:rFonts w:ascii="New Century Schoolbook" w:hAnsi="New Century Schoolbook"/>
      <w:bCs/>
      <w:iCs/>
      <w:sz w:val="21"/>
      <w:szCs w:val="26"/>
      <w:lang w:val="en-US" w:eastAsia="ro-RO" w:bidi="ar-SA"/>
    </w:rPr>
  </w:style>
  <w:style w:type="paragraph" w:styleId="2241">
    <w:name w:val="NX Char"/>
    <w:next w:val="2242"/>
    <w:link w:val="2243"/>
    <w:pPr>
      <w:widowControl w:val="false"/>
      <w:pBdr/>
      <w:spacing/>
      <w:ind/>
      <w:jc w:val="left"/>
    </w:pPr>
    <w:rPr>
      <w:rFonts w:ascii="New Century Schoolbook" w:hAnsi="New Century Schoolbook"/>
      <w:sz w:val="22"/>
      <w:szCs w:val="22"/>
      <w:lang w:val="ro-RO" w:eastAsia="ro-RO" w:bidi="ar-SA"/>
    </w:rPr>
  </w:style>
  <w:style w:type="paragraph" w:styleId="2242">
    <w:name w:val="Normal Indent"/>
    <w:basedOn w:val="2227"/>
    <w:next w:val="2242"/>
    <w:link w:val="2227"/>
    <w:pPr>
      <w:pBdr/>
      <w:spacing/>
      <w:ind w:left="720"/>
    </w:pPr>
  </w:style>
  <w:style w:type="character" w:styleId="2243">
    <w:name w:val="NX Char Char"/>
    <w:next w:val="2243"/>
    <w:link w:val="2241"/>
    <w:pPr>
      <w:pBdr/>
      <w:spacing/>
      <w:ind/>
    </w:pPr>
    <w:rPr>
      <w:rFonts w:ascii="New Century Schoolbook" w:hAnsi="New Century Schoolbook"/>
      <w:sz w:val="22"/>
      <w:szCs w:val="22"/>
      <w:lang w:val="ro-RO" w:eastAsia="ro-RO" w:bidi="ar-SA"/>
    </w:rPr>
  </w:style>
  <w:style w:type="character" w:styleId="2244">
    <w:name w:val="SX"/>
    <w:next w:val="2244"/>
    <w:link w:val="2227"/>
    <w:pPr>
      <w:pBdr/>
      <w:spacing/>
      <w:ind/>
    </w:pPr>
  </w:style>
  <w:style w:type="character" w:styleId="2245">
    <w:name w:val="BX"/>
    <w:next w:val="2245"/>
    <w:link w:val="2227"/>
    <w:pPr>
      <w:pBdr/>
      <w:spacing/>
      <w:ind/>
    </w:pPr>
    <w:rPr>
      <w:sz w:val="18"/>
      <w:szCs w:val="20"/>
    </w:rPr>
  </w:style>
  <w:style w:type="paragraph" w:styleId="2246">
    <w:name w:val="Document Map"/>
    <w:basedOn w:val="2227"/>
    <w:next w:val="2246"/>
    <w:link w:val="2227"/>
    <w:pPr>
      <w:pBdr/>
      <w:shd w:val="clear" w:color="auto" w:fill="000080"/>
      <w:spacing/>
      <w:ind/>
    </w:pPr>
    <w:rPr>
      <w:rFonts w:ascii="Tahoma" w:hAnsi="Tahoma" w:cs="Tahoma"/>
    </w:rPr>
  </w:style>
  <w:style w:type="paragraph" w:styleId="2247">
    <w:name w:val="footnote text"/>
    <w:basedOn w:val="2227"/>
    <w:next w:val="2247"/>
    <w:link w:val="2301"/>
    <w:pPr>
      <w:pBdr/>
      <w:tabs>
        <w:tab w:val="left" w:leader="dot" w:pos="426"/>
      </w:tabs>
      <w:spacing w:line="220" w:lineRule="exact"/>
      <w:ind w:firstLine="0"/>
      <w:jc w:val="left"/>
    </w:pPr>
    <w:rPr>
      <w:rFonts w:ascii="New Century Schoolbook" w:hAnsi="New Century Schoolbook"/>
      <w:sz w:val="20"/>
      <w:szCs w:val="20"/>
    </w:rPr>
  </w:style>
  <w:style w:type="character" w:styleId="2248">
    <w:name w:val="footnote reference"/>
    <w:next w:val="2248"/>
    <w:link w:val="2227"/>
    <w:pPr>
      <w:pBdr/>
      <w:spacing/>
      <w:ind/>
    </w:pPr>
    <w:rPr>
      <w:vertAlign w:val="superscript"/>
    </w:rPr>
  </w:style>
  <w:style w:type="paragraph" w:styleId="2249">
    <w:name w:val="Title"/>
    <w:basedOn w:val="2227"/>
    <w:next w:val="2249"/>
    <w:link w:val="2250"/>
    <w:qFormat/>
    <w:pPr>
      <w:pBdr/>
      <w:tabs>
        <w:tab w:val="left" w:leader="none" w:pos="576"/>
        <w:tab w:val="left" w:leader="none" w:pos="1152"/>
        <w:tab w:val="left" w:leader="none" w:pos="1440"/>
      </w:tabs>
      <w:spacing/>
      <w:ind/>
      <w:jc w:val="center"/>
      <w:outlineLvl w:val="0"/>
    </w:pPr>
    <w:rPr>
      <w:sz w:val="32"/>
    </w:rPr>
  </w:style>
  <w:style w:type="character" w:styleId="2250">
    <w:name w:val="Title Char1"/>
    <w:next w:val="2250"/>
    <w:link w:val="2249"/>
    <w:pPr>
      <w:pBdr/>
      <w:spacing/>
      <w:ind/>
    </w:pPr>
    <w:rPr>
      <w:sz w:val="32"/>
      <w:szCs w:val="24"/>
      <w:lang w:val="ro-RO" w:eastAsia="ro-RO" w:bidi="ar-SA"/>
    </w:rPr>
  </w:style>
  <w:style w:type="paragraph" w:styleId="2251">
    <w:name w:val="Body Text"/>
    <w:basedOn w:val="2227"/>
    <w:next w:val="2251"/>
    <w:link w:val="2370"/>
    <w:pPr>
      <w:pBdr/>
      <w:tabs>
        <w:tab w:val="left" w:leader="none" w:pos="576"/>
        <w:tab w:val="left" w:leader="none" w:pos="1152"/>
        <w:tab w:val="left" w:leader="none" w:pos="2160"/>
      </w:tabs>
      <w:spacing/>
      <w:ind w:firstLine="288"/>
    </w:pPr>
    <w:rPr>
      <w:rFonts w:ascii="New Century Schoolbook" w:hAnsi="New Century Schoolbook"/>
    </w:rPr>
  </w:style>
  <w:style w:type="paragraph" w:styleId="2252">
    <w:name w:val="*"/>
    <w:next w:val="2252"/>
    <w:link w:val="2227"/>
    <w:pPr>
      <w:widowControl w:val="false"/>
      <w:pBdr/>
      <w:spacing/>
      <w:ind/>
    </w:pPr>
    <w:rPr>
      <w:sz w:val="24"/>
      <w:szCs w:val="24"/>
      <w:lang w:val="ro-RO" w:eastAsia="ro-RO" w:bidi="ar-SA"/>
    </w:rPr>
  </w:style>
  <w:style w:type="character" w:styleId="2253">
    <w:name w:val="BT:"/>
    <w:next w:val="2253"/>
    <w:link w:val="2227"/>
    <w:pPr>
      <w:pBdr/>
      <w:spacing/>
      <w:ind/>
    </w:pPr>
    <w:rPr>
      <w:rFonts w:ascii="Times New Roman" w:hAnsi="Times New Roman" w:cs="Times New Roman"/>
      <w:i/>
      <w:sz w:val="18"/>
      <w:szCs w:val="20"/>
    </w:rPr>
  </w:style>
  <w:style w:type="character" w:styleId="2254">
    <w:name w:val="ET:"/>
    <w:next w:val="2254"/>
    <w:link w:val="2227"/>
    <w:pPr>
      <w:pBdr/>
      <w:spacing/>
      <w:ind/>
    </w:pPr>
  </w:style>
  <w:style w:type="character" w:styleId="2255">
    <w:name w:val="ST:"/>
    <w:next w:val="2255"/>
    <w:link w:val="2227"/>
    <w:pPr>
      <w:pBdr/>
      <w:spacing/>
      <w:ind/>
    </w:pPr>
  </w:style>
  <w:style w:type="character" w:styleId="2256">
    <w:name w:val="JT:"/>
    <w:next w:val="2256"/>
    <w:link w:val="2227"/>
    <w:pPr>
      <w:pBdr/>
      <w:spacing/>
      <w:ind/>
    </w:pPr>
    <w:rPr>
      <w:i/>
      <w:iCs/>
    </w:rPr>
  </w:style>
  <w:style w:type="paragraph" w:styleId="2257">
    <w:name w:val="Header"/>
    <w:basedOn w:val="2258"/>
    <w:next w:val="2259"/>
    <w:link w:val="2260"/>
    <w:uiPriority w:val="99"/>
    <w:pPr>
      <w:pBdr/>
      <w:tabs>
        <w:tab w:val="right" w:leader="none" w:pos="6379"/>
        <w:tab w:val="clear" w:leader="none" w:pos="8640"/>
      </w:tabs>
      <w:spacing/>
      <w:ind w:right="28" w:firstLine="0"/>
      <w:jc w:val="right"/>
    </w:pPr>
    <w:rPr>
      <w:rFonts w:ascii="New Century Schoolbook" w:hAnsi="New Century Schoolbook"/>
      <w:i/>
      <w:sz w:val="20"/>
      <w:szCs w:val="20"/>
    </w:rPr>
  </w:style>
  <w:style w:type="paragraph" w:styleId="2258">
    <w:name w:val="Footer"/>
    <w:basedOn w:val="2227"/>
    <w:next w:val="2258"/>
    <w:link w:val="2227"/>
    <w:pPr>
      <w:pBdr/>
      <w:tabs>
        <w:tab w:val="center" w:leader="none" w:pos="4320"/>
        <w:tab w:val="right" w:leader="none" w:pos="8640"/>
      </w:tabs>
      <w:spacing/>
      <w:ind/>
    </w:pPr>
  </w:style>
  <w:style w:type="paragraph" w:styleId="2259">
    <w:name w:val="Header2"/>
    <w:basedOn w:val="2257"/>
    <w:next w:val="2259"/>
    <w:link w:val="2227"/>
    <w:pPr>
      <w:pBdr/>
      <w:tabs>
        <w:tab w:val="left" w:leader="none" w:pos="5954"/>
      </w:tabs>
      <w:spacing/>
      <w:ind/>
    </w:pPr>
    <w:rPr>
      <w:lang w:val="en-US"/>
    </w:rPr>
  </w:style>
  <w:style w:type="character" w:styleId="2260">
    <w:name w:val="Header Char"/>
    <w:next w:val="2260"/>
    <w:link w:val="2257"/>
    <w:uiPriority w:val="99"/>
    <w:pPr>
      <w:pBdr/>
      <w:spacing/>
      <w:ind/>
    </w:pPr>
    <w:rPr>
      <w:rFonts w:ascii="New Century Schoolbook" w:hAnsi="New Century Schoolbook"/>
      <w:i/>
      <w:lang w:val="ro-RO" w:eastAsia="ro-RO"/>
    </w:rPr>
  </w:style>
  <w:style w:type="paragraph" w:styleId="2261">
    <w:name w:val="HX0"/>
    <w:next w:val="2261"/>
    <w:link w:val="2227"/>
    <w:pPr>
      <w:widowControl w:val="false"/>
      <w:pBdr/>
      <w:spacing/>
      <w:ind/>
    </w:pPr>
    <w:rPr>
      <w:b/>
      <w:bCs/>
      <w:sz w:val="24"/>
      <w:szCs w:val="24"/>
      <w:lang w:val="ro-RO" w:eastAsia="ro-RO" w:bidi="ar-SA"/>
    </w:rPr>
  </w:style>
  <w:style w:type="character" w:styleId="2262">
    <w:name w:val="HX0."/>
    <w:next w:val="2262"/>
    <w:link w:val="2227"/>
    <w:pPr>
      <w:pBdr/>
      <w:spacing/>
      <w:ind/>
    </w:pPr>
  </w:style>
  <w:style w:type="character" w:styleId="2263">
    <w:name w:val="HX1."/>
    <w:next w:val="2263"/>
    <w:link w:val="2227"/>
    <w:pPr>
      <w:pBdr/>
      <w:spacing/>
      <w:ind/>
    </w:pPr>
  </w:style>
  <w:style w:type="character" w:styleId="2264">
    <w:name w:val="HX2."/>
    <w:next w:val="2264"/>
    <w:link w:val="2227"/>
    <w:pPr>
      <w:pBdr/>
      <w:spacing/>
      <w:ind/>
    </w:pPr>
  </w:style>
  <w:style w:type="character" w:styleId="2265">
    <w:name w:val="HX3."/>
    <w:next w:val="2265"/>
    <w:link w:val="2227"/>
    <w:pPr>
      <w:pBdr/>
      <w:spacing/>
      <w:ind/>
    </w:pPr>
  </w:style>
  <w:style w:type="character" w:styleId="2266">
    <w:name w:val="HX4."/>
    <w:next w:val="2266"/>
    <w:link w:val="2227"/>
    <w:pPr>
      <w:pBdr/>
      <w:spacing/>
      <w:ind/>
    </w:pPr>
  </w:style>
  <w:style w:type="character" w:styleId="2267">
    <w:name w:val="HX5."/>
    <w:next w:val="2267"/>
    <w:link w:val="2227"/>
    <w:pPr>
      <w:pBdr/>
      <w:spacing/>
      <w:ind/>
    </w:pPr>
  </w:style>
  <w:style w:type="character" w:styleId="2268">
    <w:name w:val="EX0"/>
    <w:next w:val="2268"/>
    <w:link w:val="2227"/>
    <w:pPr>
      <w:pBdr/>
      <w:spacing/>
      <w:ind/>
    </w:pPr>
  </w:style>
  <w:style w:type="character" w:styleId="2269">
    <w:name w:val="EX1"/>
    <w:next w:val="2269"/>
    <w:link w:val="2227"/>
    <w:pPr>
      <w:pBdr/>
      <w:spacing/>
      <w:ind/>
    </w:pPr>
  </w:style>
  <w:style w:type="character" w:styleId="2270">
    <w:name w:val="EX2"/>
    <w:next w:val="2270"/>
    <w:link w:val="2227"/>
    <w:pPr>
      <w:pBdr/>
      <w:spacing/>
      <w:ind/>
    </w:pPr>
  </w:style>
  <w:style w:type="character" w:styleId="2271">
    <w:name w:val="EX3"/>
    <w:next w:val="2271"/>
    <w:link w:val="2227"/>
    <w:pPr>
      <w:pBdr/>
      <w:spacing/>
      <w:ind/>
    </w:pPr>
  </w:style>
  <w:style w:type="character" w:styleId="2272">
    <w:name w:val="EX4"/>
    <w:next w:val="2272"/>
    <w:link w:val="2227"/>
    <w:pPr>
      <w:pBdr/>
      <w:spacing/>
      <w:ind/>
    </w:pPr>
  </w:style>
  <w:style w:type="character" w:styleId="2273">
    <w:name w:val="EX5"/>
    <w:next w:val="2273"/>
    <w:link w:val="2227"/>
    <w:pPr>
      <w:pBdr/>
      <w:spacing/>
      <w:ind/>
    </w:pPr>
  </w:style>
  <w:style w:type="character" w:styleId="2274">
    <w:name w:val="Page Number"/>
    <w:next w:val="2274"/>
    <w:link w:val="2227"/>
    <w:pPr>
      <w:pBdr/>
      <w:spacing/>
      <w:ind/>
    </w:pPr>
    <w:rPr>
      <w:rFonts w:ascii="New Century Schoolbook" w:hAnsi="New Century Schoolbook"/>
      <w:sz w:val="18"/>
    </w:rPr>
  </w:style>
  <w:style w:type="paragraph" w:styleId="2275">
    <w:name w:val="ch. head"/>
    <w:basedOn w:val="2249"/>
    <w:next w:val="2227"/>
    <w:link w:val="2276"/>
    <w:pPr>
      <w:pBdr/>
      <w:spacing/>
      <w:ind/>
    </w:pPr>
    <w:rPr>
      <w:rFonts w:ascii="New Century Schoolbook" w:hAnsi="New Century Schoolbook"/>
      <w:b/>
      <w:smallCaps/>
      <w:sz w:val="24"/>
    </w:rPr>
  </w:style>
  <w:style w:type="character" w:styleId="2276">
    <w:name w:val="ch. head Char"/>
    <w:next w:val="2276"/>
    <w:link w:val="2275"/>
    <w:pPr>
      <w:pBdr/>
      <w:spacing/>
      <w:ind/>
    </w:pPr>
    <w:rPr>
      <w:rFonts w:ascii="New Century Schoolbook" w:hAnsi="New Century Schoolbook"/>
      <w:b/>
      <w:smallCaps/>
      <w:sz w:val="24"/>
      <w:szCs w:val="24"/>
      <w:lang w:val="ro-RO" w:eastAsia="ro-RO" w:bidi="ar-SA"/>
    </w:rPr>
  </w:style>
  <w:style w:type="paragraph" w:styleId="2277">
    <w:name w:val="Style Justified"/>
    <w:basedOn w:val="2227"/>
    <w:next w:val="2277"/>
    <w:link w:val="2313"/>
    <w:pPr>
      <w:pBdr/>
      <w:spacing w:line="240" w:lineRule="exact"/>
      <w:ind w:firstLine="57"/>
    </w:pPr>
    <w:rPr>
      <w:rFonts w:ascii="New Century Schoolbook" w:hAnsi="New Century Schoolbook"/>
      <w:sz w:val="22"/>
      <w:szCs w:val="22"/>
    </w:rPr>
  </w:style>
  <w:style w:type="paragraph" w:styleId="2278">
    <w:name w:val="Index 1"/>
    <w:basedOn w:val="2227"/>
    <w:next w:val="2227"/>
    <w:link w:val="2227"/>
    <w:uiPriority w:val="99"/>
    <w:pPr>
      <w:pBdr/>
      <w:spacing/>
      <w:ind w:hanging="240" w:left="240"/>
      <w:jc w:val="left"/>
    </w:pPr>
    <w:rPr>
      <w:rFonts w:ascii="Calibri" w:hAnsi="Calibri"/>
      <w:sz w:val="18"/>
      <w:szCs w:val="18"/>
    </w:rPr>
  </w:style>
  <w:style w:type="paragraph" w:styleId="2279">
    <w:name w:val="Index 2"/>
    <w:basedOn w:val="2227"/>
    <w:next w:val="2227"/>
    <w:link w:val="2227"/>
    <w:uiPriority w:val="99"/>
    <w:pPr>
      <w:pBdr/>
      <w:spacing/>
      <w:ind w:hanging="240" w:left="480"/>
      <w:jc w:val="left"/>
    </w:pPr>
    <w:rPr>
      <w:rFonts w:ascii="Calibri" w:hAnsi="Calibri"/>
      <w:sz w:val="18"/>
      <w:szCs w:val="18"/>
    </w:rPr>
  </w:style>
  <w:style w:type="paragraph" w:styleId="2280">
    <w:name w:val="Index 3"/>
    <w:basedOn w:val="2227"/>
    <w:next w:val="2227"/>
    <w:link w:val="2227"/>
    <w:pPr>
      <w:pBdr/>
      <w:spacing/>
      <w:ind w:hanging="240" w:left="720"/>
      <w:jc w:val="left"/>
    </w:pPr>
    <w:rPr>
      <w:rFonts w:ascii="Calibri" w:hAnsi="Calibri"/>
      <w:sz w:val="18"/>
      <w:szCs w:val="18"/>
    </w:rPr>
  </w:style>
  <w:style w:type="paragraph" w:styleId="2281">
    <w:name w:val="Index 4"/>
    <w:basedOn w:val="2227"/>
    <w:next w:val="2227"/>
    <w:link w:val="2227"/>
    <w:pPr>
      <w:pBdr/>
      <w:spacing/>
      <w:ind w:hanging="240" w:left="960"/>
      <w:jc w:val="left"/>
    </w:pPr>
    <w:rPr>
      <w:rFonts w:ascii="Calibri" w:hAnsi="Calibri"/>
      <w:sz w:val="18"/>
      <w:szCs w:val="18"/>
    </w:rPr>
  </w:style>
  <w:style w:type="paragraph" w:styleId="2282">
    <w:name w:val="Index 5"/>
    <w:basedOn w:val="2227"/>
    <w:next w:val="2227"/>
    <w:link w:val="2227"/>
    <w:pPr>
      <w:pBdr/>
      <w:spacing/>
      <w:ind w:hanging="240" w:left="1200"/>
      <w:jc w:val="left"/>
    </w:pPr>
    <w:rPr>
      <w:rFonts w:ascii="Calibri" w:hAnsi="Calibri"/>
      <w:sz w:val="18"/>
      <w:szCs w:val="18"/>
    </w:rPr>
  </w:style>
  <w:style w:type="paragraph" w:styleId="2283">
    <w:name w:val="Index 6"/>
    <w:basedOn w:val="2227"/>
    <w:next w:val="2227"/>
    <w:link w:val="2227"/>
    <w:pPr>
      <w:pBdr/>
      <w:spacing/>
      <w:ind w:hanging="240" w:left="1440"/>
      <w:jc w:val="left"/>
    </w:pPr>
    <w:rPr>
      <w:rFonts w:ascii="Calibri" w:hAnsi="Calibri"/>
      <w:sz w:val="18"/>
      <w:szCs w:val="18"/>
    </w:rPr>
  </w:style>
  <w:style w:type="paragraph" w:styleId="2284">
    <w:name w:val="Index 7"/>
    <w:basedOn w:val="2227"/>
    <w:next w:val="2227"/>
    <w:link w:val="2227"/>
    <w:pPr>
      <w:pBdr/>
      <w:spacing/>
      <w:ind w:hanging="240" w:left="1680"/>
      <w:jc w:val="left"/>
    </w:pPr>
    <w:rPr>
      <w:rFonts w:ascii="Calibri" w:hAnsi="Calibri"/>
      <w:sz w:val="18"/>
      <w:szCs w:val="18"/>
    </w:rPr>
  </w:style>
  <w:style w:type="paragraph" w:styleId="2285">
    <w:name w:val="TOA Heading"/>
    <w:basedOn w:val="2227"/>
    <w:next w:val="2227"/>
    <w:link w:val="2227"/>
    <w:pPr>
      <w:pBdr/>
      <w:spacing w:before="120"/>
      <w:ind/>
    </w:pPr>
    <w:rPr>
      <w:rFonts w:ascii="Arial" w:hAnsi="Arial" w:cs="Arial"/>
      <w:b/>
      <w:bCs/>
    </w:rPr>
  </w:style>
  <w:style w:type="paragraph" w:styleId="2286">
    <w:name w:val="toc 1"/>
    <w:basedOn w:val="2227"/>
    <w:next w:val="2227"/>
    <w:link w:val="2227"/>
    <w:uiPriority w:val="39"/>
    <w:pPr>
      <w:pBdr/>
      <w:tabs>
        <w:tab w:val="right" w:leader="dot" w:pos="6397"/>
      </w:tabs>
      <w:spacing w:after="120" w:before="120"/>
      <w:ind w:firstLine="0"/>
    </w:pPr>
    <w:rPr>
      <w:b/>
      <w:bCs/>
      <w:caps/>
      <w:sz w:val="20"/>
    </w:rPr>
  </w:style>
  <w:style w:type="paragraph" w:styleId="2287">
    <w:name w:val="toc 2"/>
    <w:basedOn w:val="2227"/>
    <w:next w:val="2227"/>
    <w:link w:val="2227"/>
    <w:uiPriority w:val="39"/>
    <w:pPr>
      <w:pBdr/>
      <w:spacing/>
      <w:ind w:left="240"/>
    </w:pPr>
    <w:rPr>
      <w:smallCaps/>
      <w:sz w:val="20"/>
    </w:rPr>
  </w:style>
  <w:style w:type="paragraph" w:styleId="2288">
    <w:name w:val="toc 3"/>
    <w:basedOn w:val="2227"/>
    <w:next w:val="2227"/>
    <w:link w:val="2227"/>
    <w:uiPriority w:val="39"/>
    <w:pPr>
      <w:pBdr/>
      <w:spacing/>
      <w:ind w:left="480"/>
    </w:pPr>
    <w:rPr>
      <w:i/>
      <w:iCs/>
      <w:sz w:val="20"/>
    </w:rPr>
  </w:style>
  <w:style w:type="paragraph" w:styleId="2289">
    <w:name w:val="toc 4"/>
    <w:basedOn w:val="2227"/>
    <w:next w:val="2227"/>
    <w:link w:val="2227"/>
    <w:pPr>
      <w:pBdr/>
      <w:spacing/>
      <w:ind w:left="720"/>
    </w:pPr>
    <w:rPr>
      <w:sz w:val="18"/>
      <w:szCs w:val="21"/>
    </w:rPr>
  </w:style>
  <w:style w:type="paragraph" w:styleId="2290">
    <w:name w:val="toc 5"/>
    <w:basedOn w:val="2227"/>
    <w:next w:val="2227"/>
    <w:link w:val="2227"/>
    <w:pPr>
      <w:pBdr/>
      <w:spacing/>
      <w:ind w:left="960"/>
    </w:pPr>
    <w:rPr>
      <w:sz w:val="18"/>
      <w:szCs w:val="21"/>
    </w:rPr>
  </w:style>
  <w:style w:type="paragraph" w:styleId="2291">
    <w:name w:val="toc 6"/>
    <w:basedOn w:val="2227"/>
    <w:next w:val="2227"/>
    <w:link w:val="2227"/>
    <w:pPr>
      <w:pBdr/>
      <w:spacing/>
      <w:ind w:left="1200"/>
    </w:pPr>
    <w:rPr>
      <w:sz w:val="18"/>
      <w:szCs w:val="21"/>
    </w:rPr>
  </w:style>
  <w:style w:type="paragraph" w:styleId="2292">
    <w:name w:val="toc 7"/>
    <w:basedOn w:val="2227"/>
    <w:next w:val="2227"/>
    <w:link w:val="2227"/>
    <w:pPr>
      <w:pBdr/>
      <w:spacing/>
      <w:ind w:left="1440"/>
    </w:pPr>
    <w:rPr>
      <w:sz w:val="18"/>
      <w:szCs w:val="21"/>
    </w:rPr>
  </w:style>
  <w:style w:type="paragraph" w:styleId="2293">
    <w:name w:val="toc 8"/>
    <w:basedOn w:val="2227"/>
    <w:next w:val="2227"/>
    <w:link w:val="2227"/>
    <w:pPr>
      <w:pBdr/>
      <w:spacing/>
      <w:ind w:left="1680"/>
    </w:pPr>
    <w:rPr>
      <w:sz w:val="18"/>
      <w:szCs w:val="21"/>
    </w:rPr>
  </w:style>
  <w:style w:type="paragraph" w:styleId="2294">
    <w:name w:val="toc 9"/>
    <w:basedOn w:val="2227"/>
    <w:next w:val="2227"/>
    <w:link w:val="2227"/>
    <w:pPr>
      <w:pBdr/>
      <w:spacing/>
      <w:ind w:left="1920"/>
    </w:pPr>
    <w:rPr>
      <w:sz w:val="18"/>
      <w:szCs w:val="21"/>
    </w:rPr>
  </w:style>
  <w:style w:type="character" w:styleId="2295">
    <w:name w:val="Line Number"/>
    <w:basedOn w:val="2235"/>
    <w:next w:val="2295"/>
    <w:link w:val="2227"/>
    <w:pPr>
      <w:pBdr/>
      <w:spacing/>
      <w:ind/>
    </w:pPr>
  </w:style>
  <w:style w:type="paragraph" w:styleId="2296">
    <w:name w:val="Style Justified First line:  4 mm char"/>
    <w:basedOn w:val="2227"/>
    <w:next w:val="2296"/>
    <w:link w:val="2297"/>
    <w:pPr>
      <w:pBdr/>
      <w:spacing w:line="220" w:lineRule="exact"/>
      <w:ind w:right="227" w:left="227"/>
    </w:pPr>
    <w:rPr>
      <w:rFonts w:ascii="New Century Schoolbook" w:hAnsi="New Century Schoolbook"/>
      <w:sz w:val="22"/>
    </w:rPr>
  </w:style>
  <w:style w:type="character" w:styleId="2297">
    <w:name w:val="Style Justified First line:  4 mm char Char"/>
    <w:next w:val="2297"/>
    <w:link w:val="2296"/>
    <w:pPr>
      <w:pBdr/>
      <w:spacing/>
      <w:ind/>
    </w:pPr>
    <w:rPr>
      <w:rFonts w:ascii="New Century Schoolbook" w:hAnsi="New Century Schoolbook"/>
      <w:sz w:val="22"/>
      <w:szCs w:val="24"/>
      <w:lang w:val="ro-RO" w:eastAsia="ro-RO" w:bidi="ar-SA"/>
    </w:rPr>
  </w:style>
  <w:style w:type="paragraph" w:styleId="2298">
    <w:name w:val="Style New Century Schoolbook Justified"/>
    <w:basedOn w:val="2227"/>
    <w:next w:val="2298"/>
    <w:link w:val="2312"/>
    <w:pPr>
      <w:pBdr/>
      <w:spacing w:line="240" w:lineRule="exact"/>
      <w:ind/>
      <w:jc w:val="left"/>
    </w:pPr>
    <w:rPr>
      <w:rFonts w:ascii="New Century Schoolbook" w:hAnsi="New Century Schoolbook"/>
      <w:sz w:val="22"/>
      <w:szCs w:val="22"/>
      <w:lang w:val="en-US"/>
    </w:rPr>
  </w:style>
  <w:style w:type="paragraph" w:styleId="2299">
    <w:name w:val="Style NX + First line:  4 mm"/>
    <w:basedOn w:val="2241"/>
    <w:next w:val="2299"/>
    <w:link w:val="2227"/>
    <w:pPr>
      <w:pBdr/>
      <w:spacing/>
      <w:ind w:firstLine="227"/>
    </w:pPr>
  </w:style>
  <w:style w:type="character" w:styleId="2300">
    <w:name w:val="Hyperlink"/>
    <w:next w:val="2300"/>
    <w:link w:val="2227"/>
    <w:uiPriority w:val="99"/>
    <w:pPr>
      <w:pBdr/>
      <w:spacing/>
      <w:ind/>
    </w:pPr>
    <w:rPr>
      <w:color w:val="0000ff"/>
      <w:u w:val="single"/>
    </w:rPr>
  </w:style>
  <w:style w:type="character" w:styleId="2301">
    <w:name w:val="Footnote Text Char"/>
    <w:next w:val="2301"/>
    <w:link w:val="2247"/>
    <w:pPr>
      <w:pBdr/>
      <w:spacing/>
      <w:ind/>
    </w:pPr>
    <w:rPr>
      <w:rFonts w:ascii="New Century Schoolbook" w:hAnsi="New Century Schoolbook"/>
      <w:lang w:val="ro-RO" w:eastAsia="ro-RO" w:bidi="ar-SA"/>
    </w:rPr>
  </w:style>
  <w:style w:type="character" w:styleId="2302">
    <w:name w:val="Comment Reference"/>
    <w:next w:val="2302"/>
    <w:link w:val="2227"/>
    <w:semiHidden/>
    <w:pPr>
      <w:pBdr/>
      <w:spacing/>
      <w:ind/>
    </w:pPr>
    <w:rPr>
      <w:sz w:val="16"/>
      <w:szCs w:val="16"/>
    </w:rPr>
  </w:style>
  <w:style w:type="paragraph" w:styleId="2303">
    <w:name w:val="Comment Text"/>
    <w:basedOn w:val="2227"/>
    <w:next w:val="2303"/>
    <w:link w:val="2227"/>
    <w:semiHidden/>
    <w:pPr>
      <w:pBdr/>
      <w:spacing/>
      <w:ind/>
    </w:pPr>
    <w:rPr>
      <w:sz w:val="20"/>
      <w:szCs w:val="20"/>
    </w:rPr>
  </w:style>
  <w:style w:type="paragraph" w:styleId="2304">
    <w:name w:val="Comment Subject"/>
    <w:basedOn w:val="2303"/>
    <w:next w:val="2303"/>
    <w:link w:val="2227"/>
    <w:semiHidden/>
    <w:pPr>
      <w:pBdr/>
      <w:spacing/>
      <w:ind/>
    </w:pPr>
    <w:rPr>
      <w:b/>
      <w:bCs/>
    </w:rPr>
  </w:style>
  <w:style w:type="paragraph" w:styleId="2305">
    <w:name w:val="Balloon Text"/>
    <w:basedOn w:val="2227"/>
    <w:next w:val="2305"/>
    <w:link w:val="2227"/>
    <w:semiHidden/>
    <w:pPr>
      <w:pBdr/>
      <w:spacing/>
      <w:ind/>
    </w:pPr>
    <w:rPr>
      <w:rFonts w:ascii="Tahoma" w:hAnsi="Tahoma" w:cs="Tahoma"/>
      <w:sz w:val="16"/>
      <w:szCs w:val="16"/>
    </w:rPr>
  </w:style>
  <w:style w:type="paragraph" w:styleId="2306">
    <w:name w:val="Index 8"/>
    <w:basedOn w:val="2227"/>
    <w:next w:val="2227"/>
    <w:link w:val="2227"/>
    <w:semiHidden/>
    <w:pPr>
      <w:pBdr/>
      <w:spacing/>
      <w:ind w:hanging="240" w:left="1920"/>
      <w:jc w:val="left"/>
    </w:pPr>
    <w:rPr>
      <w:rFonts w:ascii="Calibri" w:hAnsi="Calibri"/>
      <w:sz w:val="18"/>
      <w:szCs w:val="18"/>
    </w:rPr>
  </w:style>
  <w:style w:type="paragraph" w:styleId="2307">
    <w:name w:val="Index 9"/>
    <w:basedOn w:val="2227"/>
    <w:next w:val="2227"/>
    <w:link w:val="2227"/>
    <w:semiHidden/>
    <w:pPr>
      <w:pBdr/>
      <w:spacing/>
      <w:ind w:hanging="240" w:left="2160"/>
      <w:jc w:val="left"/>
    </w:pPr>
    <w:rPr>
      <w:rFonts w:ascii="Calibri" w:hAnsi="Calibri"/>
      <w:sz w:val="18"/>
      <w:szCs w:val="18"/>
    </w:rPr>
  </w:style>
  <w:style w:type="paragraph" w:styleId="2308">
    <w:name w:val="Index Heading"/>
    <w:basedOn w:val="2227"/>
    <w:next w:val="2278"/>
    <w:link w:val="2227"/>
    <w:uiPriority w:val="99"/>
    <w:semiHidden/>
    <w:pPr>
      <w:pBdr/>
      <w:spacing w:after="120" w:before="240"/>
      <w:ind/>
      <w:jc w:val="center"/>
    </w:pPr>
    <w:rPr>
      <w:rFonts w:ascii="Calibri" w:hAnsi="Calibri"/>
      <w:b/>
      <w:bCs/>
      <w:sz w:val="26"/>
      <w:szCs w:val="26"/>
    </w:rPr>
  </w:style>
  <w:style w:type="character" w:styleId="2309">
    <w:name w:val="Heading 3 Char1"/>
    <w:next w:val="2309"/>
    <w:link w:val="2230"/>
    <w:pPr>
      <w:pBdr/>
      <w:spacing/>
      <w:ind/>
    </w:pPr>
    <w:rPr>
      <w:rFonts w:ascii="Palatino Linotype" w:hAnsi="Palatino Linotype" w:cs="Arial"/>
      <w:b/>
      <w:sz w:val="24"/>
      <w:szCs w:val="24"/>
      <w:lang w:val="fr-FR" w:eastAsia="ro-RO" w:bidi="ar-SA"/>
    </w:rPr>
  </w:style>
  <w:style w:type="paragraph" w:styleId="2310">
    <w:name w:val="Style Justified First line:  4 mm Char Char"/>
    <w:basedOn w:val="2227"/>
    <w:next w:val="2310"/>
    <w:link w:val="2311"/>
    <w:pPr>
      <w:pBdr/>
      <w:spacing/>
      <w:ind w:firstLine="227"/>
      <w:jc w:val="left"/>
    </w:pPr>
    <w:rPr>
      <w:rFonts w:ascii="New Century Schoolbook" w:hAnsi="New Century Schoolbook"/>
      <w:sz w:val="22"/>
      <w:lang w:val="en-US"/>
    </w:rPr>
  </w:style>
  <w:style w:type="character" w:styleId="2311">
    <w:name w:val="Style Justified First line:  4 mm Char Char Char"/>
    <w:next w:val="2311"/>
    <w:link w:val="2310"/>
    <w:pPr>
      <w:pBdr/>
      <w:spacing/>
      <w:ind/>
    </w:pPr>
    <w:rPr>
      <w:rFonts w:ascii="New Century Schoolbook" w:hAnsi="New Century Schoolbook"/>
      <w:sz w:val="22"/>
      <w:szCs w:val="24"/>
      <w:lang w:val="en-US" w:eastAsia="ro-RO" w:bidi="ar-SA"/>
    </w:rPr>
  </w:style>
  <w:style w:type="character" w:styleId="2312">
    <w:name w:val="Style New Century Schoolbook Justified Char"/>
    <w:next w:val="2312"/>
    <w:link w:val="2298"/>
    <w:pPr>
      <w:pBdr/>
      <w:spacing/>
      <w:ind/>
    </w:pPr>
    <w:rPr>
      <w:rFonts w:ascii="New Century Schoolbook" w:hAnsi="New Century Schoolbook"/>
      <w:sz w:val="22"/>
      <w:szCs w:val="22"/>
      <w:lang w:val="en-US" w:eastAsia="ro-RO" w:bidi="ar-SA"/>
    </w:rPr>
  </w:style>
  <w:style w:type="character" w:styleId="2313">
    <w:name w:val="Style Justified Char"/>
    <w:next w:val="2313"/>
    <w:link w:val="2277"/>
    <w:pPr>
      <w:pBdr/>
      <w:spacing/>
      <w:ind/>
    </w:pPr>
    <w:rPr>
      <w:rFonts w:ascii="New Century Schoolbook" w:hAnsi="New Century Schoolbook"/>
      <w:sz w:val="22"/>
      <w:szCs w:val="22"/>
      <w:lang w:val="ro-RO" w:eastAsia="ro-RO" w:bidi="ar-SA"/>
    </w:rPr>
  </w:style>
  <w:style w:type="paragraph" w:styleId="2314">
    <w:name w:val="Style Heading 6 + Not Bold Italic"/>
    <w:basedOn w:val="2233"/>
    <w:next w:val="2314"/>
    <w:link w:val="2227"/>
    <w:pPr>
      <w:pBdr/>
      <w:spacing/>
      <w:ind/>
    </w:pPr>
    <w:rPr>
      <w:rFonts w:ascii="New Century Schoolbook" w:hAnsi="New Century Schoolbook"/>
      <w:b w:val="0"/>
      <w:bCs w:val="0"/>
      <w:i/>
      <w:iCs/>
    </w:rPr>
  </w:style>
  <w:style w:type="paragraph" w:styleId="2315">
    <w:name w:val="Body Text 2"/>
    <w:basedOn w:val="2227"/>
    <w:next w:val="2315"/>
    <w:link w:val="2327"/>
    <w:pPr>
      <w:pBdr/>
      <w:spacing w:after="120" w:line="480" w:lineRule="auto"/>
      <w:ind/>
    </w:pPr>
  </w:style>
  <w:style w:type="paragraph" w:styleId="2316">
    <w:name w:val="Block Text"/>
    <w:basedOn w:val="2227"/>
    <w:next w:val="2322"/>
    <w:link w:val="2227"/>
    <w:qFormat/>
    <w:pPr>
      <w:pBdr/>
      <w:spacing w:line="220" w:lineRule="atLeast"/>
      <w:ind w:right="576" w:firstLine="0" w:left="576"/>
    </w:pPr>
    <w:rPr>
      <w:sz w:val="22"/>
      <w:szCs w:val="22"/>
    </w:rPr>
  </w:style>
  <w:style w:type="paragraph" w:styleId="2317">
    <w:name w:val="Body Text Indent"/>
    <w:basedOn w:val="2227"/>
    <w:next w:val="2317"/>
    <w:link w:val="2330"/>
    <w:pPr>
      <w:pBdr/>
      <w:spacing w:after="120"/>
      <w:ind w:left="360"/>
    </w:pPr>
  </w:style>
  <w:style w:type="paragraph" w:styleId="2318">
    <w:name w:val="Body Text First Indent 2"/>
    <w:basedOn w:val="2317"/>
    <w:next w:val="2318"/>
    <w:link w:val="2369"/>
    <w:pPr>
      <w:pBdr/>
      <w:spacing/>
      <w:ind w:firstLine="210"/>
    </w:pPr>
  </w:style>
  <w:style w:type="character" w:styleId="2319">
    <w:name w:val="Strong"/>
    <w:next w:val="2319"/>
    <w:link w:val="2227"/>
    <w:qFormat/>
    <w:pPr>
      <w:pBdr/>
      <w:spacing/>
      <w:ind/>
    </w:pPr>
    <w:rPr>
      <w:b/>
      <w:bCs/>
    </w:rPr>
  </w:style>
  <w:style w:type="character" w:styleId="2320">
    <w:name w:val="Style Justified First line:  4 mm Char1"/>
    <w:next w:val="2320"/>
    <w:link w:val="2227"/>
    <w:pPr>
      <w:pBdr/>
      <w:spacing/>
      <w:ind/>
    </w:pPr>
    <w:rPr>
      <w:rFonts w:ascii="New Century Schoolbook" w:hAnsi="New Century Schoolbook"/>
      <w:sz w:val="22"/>
      <w:szCs w:val="24"/>
      <w:lang w:val="en-US" w:eastAsia="ro-RO" w:bidi="ar-SA"/>
    </w:rPr>
  </w:style>
  <w:style w:type="character" w:styleId="2321">
    <w:name w:val="Footnote Text Char1"/>
    <w:next w:val="2321"/>
    <w:link w:val="2227"/>
    <w:pPr>
      <w:pBdr/>
      <w:spacing/>
      <w:ind/>
    </w:pPr>
    <w:rPr>
      <w:rFonts w:ascii="New Century Schoolbook" w:hAnsi="New Century Schoolbook"/>
      <w:sz w:val="18"/>
      <w:lang w:val="ro-RO" w:eastAsia="ro-RO" w:bidi="ar-SA"/>
    </w:rPr>
  </w:style>
  <w:style w:type="paragraph" w:styleId="2322">
    <w:name w:val="Style Justified First line:  4 mm"/>
    <w:basedOn w:val="2227"/>
    <w:next w:val="2322"/>
    <w:link w:val="2331"/>
    <w:pPr>
      <w:pBdr/>
      <w:spacing w:line="240" w:lineRule="exact"/>
      <w:ind w:firstLine="227"/>
    </w:pPr>
    <w:rPr>
      <w:rFonts w:ascii="New Century Schoolbook" w:hAnsi="New Century Schoolbook"/>
      <w:sz w:val="22"/>
      <w:szCs w:val="22"/>
      <w:lang w:val="en-US"/>
    </w:rPr>
  </w:style>
  <w:style w:type="character" w:styleId="2323">
    <w:name w:val="Style Justified First line:  4 mm Char Char Char1"/>
    <w:next w:val="2323"/>
    <w:link w:val="2227"/>
    <w:pPr>
      <w:pBdr/>
      <w:spacing/>
      <w:ind/>
    </w:pPr>
    <w:rPr>
      <w:rFonts w:ascii="New Century Schoolbook" w:hAnsi="New Century Schoolbook"/>
      <w:sz w:val="22"/>
      <w:szCs w:val="24"/>
      <w:lang w:val="ro-RO" w:eastAsia="ro-RO" w:bidi="ar-SA"/>
    </w:rPr>
  </w:style>
  <w:style w:type="character" w:styleId="2324">
    <w:name w:val="Footnote Text Char2"/>
    <w:next w:val="2324"/>
    <w:link w:val="2227"/>
    <w:pPr>
      <w:pBdr/>
      <w:spacing/>
      <w:ind/>
    </w:pPr>
    <w:rPr>
      <w:rFonts w:ascii="New Century Schoolbook" w:hAnsi="New Century Schoolbook"/>
      <w:sz w:val="18"/>
      <w:lang w:val="ro-RO" w:eastAsia="ro-RO" w:bidi="ar-SA"/>
    </w:rPr>
  </w:style>
  <w:style w:type="paragraph" w:styleId="2325">
    <w:name w:val="Title Book"/>
    <w:basedOn w:val="2228"/>
    <w:next w:val="2325"/>
    <w:link w:val="2227"/>
    <w:pPr>
      <w:pBdr/>
      <w:spacing/>
      <w:ind/>
      <w:jc w:val="left"/>
    </w:pPr>
    <w:rPr>
      <w:sz w:val="32"/>
      <w:szCs w:val="32"/>
      <w:lang w:val="fr-FR"/>
    </w:rPr>
  </w:style>
  <w:style w:type="paragraph" w:styleId="2326">
    <w:name w:val="Title book"/>
    <w:basedOn w:val="2325"/>
    <w:next w:val="2326"/>
    <w:link w:val="2227"/>
    <w:pPr>
      <w:pBdr/>
      <w:spacing/>
      <w:ind/>
    </w:pPr>
  </w:style>
  <w:style w:type="character" w:styleId="2327">
    <w:name w:val="Body Text 2 Char"/>
    <w:next w:val="2327"/>
    <w:link w:val="2315"/>
    <w:pPr>
      <w:pBdr/>
      <w:spacing/>
      <w:ind/>
    </w:pPr>
    <w:rPr>
      <w:sz w:val="24"/>
      <w:szCs w:val="24"/>
      <w:lang w:val="ro-RO" w:eastAsia="ro-RO" w:bidi="ar-SA"/>
    </w:rPr>
  </w:style>
  <w:style w:type="paragraph" w:styleId="2328">
    <w:name w:val="Body Text 3"/>
    <w:basedOn w:val="2227"/>
    <w:next w:val="2328"/>
    <w:link w:val="2329"/>
    <w:pPr>
      <w:pBdr/>
      <w:spacing w:after="120"/>
      <w:ind/>
    </w:pPr>
    <w:rPr>
      <w:sz w:val="16"/>
      <w:szCs w:val="16"/>
    </w:rPr>
  </w:style>
  <w:style w:type="character" w:styleId="2329">
    <w:name w:val="Body Text 3 Char"/>
    <w:next w:val="2329"/>
    <w:link w:val="2328"/>
    <w:pPr>
      <w:pBdr/>
      <w:spacing/>
      <w:ind/>
    </w:pPr>
    <w:rPr>
      <w:sz w:val="16"/>
      <w:szCs w:val="16"/>
      <w:lang w:val="ro-RO" w:eastAsia="ro-RO" w:bidi="ar-SA"/>
    </w:rPr>
  </w:style>
  <w:style w:type="character" w:styleId="2330">
    <w:name w:val="Body Text Indent Char"/>
    <w:next w:val="2330"/>
    <w:link w:val="2317"/>
    <w:pPr>
      <w:pBdr/>
      <w:spacing/>
      <w:ind/>
    </w:pPr>
    <w:rPr>
      <w:sz w:val="24"/>
      <w:szCs w:val="24"/>
      <w:lang w:val="ro-RO" w:eastAsia="ro-RO" w:bidi="ar-SA"/>
    </w:rPr>
  </w:style>
  <w:style w:type="character" w:styleId="2331">
    <w:name w:val="Style Justified First line:  4 mm Char"/>
    <w:next w:val="2331"/>
    <w:link w:val="2322"/>
    <w:pPr>
      <w:pBdr/>
      <w:spacing/>
      <w:ind/>
    </w:pPr>
    <w:rPr>
      <w:rFonts w:ascii="New Century Schoolbook" w:hAnsi="New Century Schoolbook"/>
      <w:sz w:val="22"/>
      <w:szCs w:val="22"/>
      <w:lang w:val="en-US" w:eastAsia="ro-RO" w:bidi="ar-SA"/>
    </w:rPr>
  </w:style>
  <w:style w:type="character" w:styleId="2332">
    <w:name w:val="Id matter Char"/>
    <w:next w:val="2332"/>
    <w:link w:val="2334"/>
    <w:pPr>
      <w:pBdr/>
      <w:spacing/>
      <w:ind/>
    </w:pPr>
    <w:rPr>
      <w:rFonts w:ascii="New Century Schoolbook" w:hAnsi="New Century Schoolbook"/>
      <w:lang w:val="en-US" w:eastAsia="ro-RO" w:bidi="ar-SA"/>
    </w:rPr>
  </w:style>
  <w:style w:type="paragraph" w:styleId="2333">
    <w:name w:val="Style1"/>
    <w:basedOn w:val="2298"/>
    <w:next w:val="2298"/>
    <w:link w:val="2227"/>
    <w:pPr>
      <w:pBdr/>
      <w:spacing/>
      <w:ind w:right="227" w:left="227"/>
    </w:pPr>
    <w:rPr>
      <w:sz w:val="20"/>
    </w:rPr>
  </w:style>
  <w:style w:type="paragraph" w:styleId="2334">
    <w:name w:val="Id matter"/>
    <w:basedOn w:val="2227"/>
    <w:next w:val="2298"/>
    <w:link w:val="2332"/>
    <w:pPr>
      <w:pBdr/>
      <w:spacing w:line="240" w:lineRule="exact"/>
      <w:ind w:left="227"/>
    </w:pPr>
    <w:rPr>
      <w:rFonts w:ascii="New Century Schoolbook" w:hAnsi="New Century Schoolbook"/>
      <w:sz w:val="20"/>
      <w:szCs w:val="20"/>
      <w:lang w:val="en-US"/>
    </w:rPr>
  </w:style>
  <w:style w:type="paragraph" w:styleId="2335">
    <w:name w:val="Biblio style"/>
    <w:basedOn w:val="2227"/>
    <w:next w:val="2335"/>
    <w:link w:val="2338"/>
    <w:pPr>
      <w:pBdr/>
      <w:tabs>
        <w:tab w:val="left" w:leader="none" w:pos="0"/>
        <w:tab w:val="left" w:leader="none" w:pos="1152"/>
        <w:tab w:val="left" w:leader="none" w:pos="1440"/>
      </w:tabs>
      <w:spacing w:before="40" w:line="220" w:lineRule="exact"/>
      <w:ind w:hanging="227" w:left="227"/>
    </w:pPr>
    <w:rPr>
      <w:rFonts w:ascii="New Century Schoolbook" w:hAnsi="New Century Schoolbook"/>
      <w:sz w:val="18"/>
      <w:szCs w:val="22"/>
      <w:lang w:val="en-US"/>
    </w:rPr>
  </w:style>
  <w:style w:type="character" w:styleId="2336">
    <w:name w:val="Style ET: + New Century Schoolbook 11 pt"/>
    <w:next w:val="2336"/>
    <w:link w:val="2227"/>
    <w:pPr>
      <w:pBdr/>
      <w:spacing/>
      <w:ind/>
    </w:pPr>
    <w:rPr>
      <w:rFonts w:ascii="New Century Schoolbook" w:hAnsi="New Century Schoolbook"/>
      <w:sz w:val="18"/>
      <w:szCs w:val="18"/>
    </w:rPr>
  </w:style>
  <w:style w:type="paragraph" w:styleId="2337">
    <w:name w:val="Style ST: + New Century Schoolbook 11 pt"/>
    <w:basedOn w:val="2335"/>
    <w:next w:val="2335"/>
    <w:link w:val="2339"/>
    <w:pPr>
      <w:pBdr/>
      <w:spacing/>
      <w:ind/>
    </w:pPr>
    <w:rPr>
      <w:szCs w:val="18"/>
    </w:rPr>
  </w:style>
  <w:style w:type="character" w:styleId="2338">
    <w:name w:val="Biblio style Char"/>
    <w:next w:val="2338"/>
    <w:link w:val="2335"/>
    <w:pPr>
      <w:pBdr/>
      <w:spacing/>
      <w:ind/>
    </w:pPr>
    <w:rPr>
      <w:rFonts w:ascii="New Century Schoolbook" w:hAnsi="New Century Schoolbook"/>
      <w:sz w:val="18"/>
      <w:szCs w:val="22"/>
      <w:lang w:val="en-US" w:eastAsia="ro-RO" w:bidi="ar-SA"/>
    </w:rPr>
  </w:style>
  <w:style w:type="character" w:styleId="2339">
    <w:name w:val="Style ST: + New Century Schoolbook 11 pt Char"/>
    <w:next w:val="2339"/>
    <w:link w:val="2337"/>
    <w:pPr>
      <w:pBdr/>
      <w:spacing/>
      <w:ind/>
    </w:pPr>
    <w:rPr>
      <w:rFonts w:ascii="New Century Schoolbook" w:hAnsi="New Century Schoolbook"/>
      <w:sz w:val="18"/>
      <w:szCs w:val="18"/>
      <w:lang w:val="en-US" w:eastAsia="ro-RO" w:bidi="ar-SA"/>
    </w:rPr>
  </w:style>
  <w:style w:type="paragraph" w:styleId="2340">
    <w:name w:val="Style JT: + New Century Schoolbook 11 pt"/>
    <w:basedOn w:val="2335"/>
    <w:next w:val="2335"/>
    <w:link w:val="2341"/>
    <w:pPr>
      <w:pBdr/>
      <w:spacing/>
      <w:ind/>
    </w:pPr>
    <w:rPr>
      <w:i/>
    </w:rPr>
  </w:style>
  <w:style w:type="character" w:styleId="2341">
    <w:name w:val="Style JT: + New Century Schoolbook 11 pt Char"/>
    <w:next w:val="2341"/>
    <w:link w:val="2340"/>
    <w:pPr>
      <w:pBdr/>
      <w:spacing/>
      <w:ind/>
    </w:pPr>
    <w:rPr>
      <w:rFonts w:ascii="New Century Schoolbook" w:hAnsi="New Century Schoolbook"/>
      <w:i/>
      <w:sz w:val="18"/>
      <w:szCs w:val="22"/>
      <w:lang w:val="en-US" w:eastAsia="ro-RO" w:bidi="ar-SA"/>
    </w:rPr>
  </w:style>
  <w:style w:type="paragraph" w:styleId="2342">
    <w:name w:val="Cite"/>
    <w:basedOn w:val="2334"/>
    <w:next w:val="2322"/>
    <w:link w:val="2343"/>
    <w:pPr>
      <w:pBdr/>
      <w:spacing w:line="220" w:lineRule="exact"/>
      <w:ind w:right="227"/>
    </w:pPr>
    <w:rPr>
      <w:sz w:val="18"/>
    </w:rPr>
  </w:style>
  <w:style w:type="character" w:styleId="2343">
    <w:name w:val="Cite Char"/>
    <w:next w:val="2343"/>
    <w:link w:val="2342"/>
    <w:pPr>
      <w:pBdr/>
      <w:spacing/>
      <w:ind/>
    </w:pPr>
    <w:rPr>
      <w:rFonts w:ascii="New Century Schoolbook" w:hAnsi="New Century Schoolbook"/>
      <w:sz w:val="18"/>
      <w:lang w:val="en-US" w:eastAsia="ro-RO" w:bidi="ar-SA"/>
    </w:rPr>
  </w:style>
  <w:style w:type="paragraph" w:styleId="2344">
    <w:name w:val="Prelim half title PBTM"/>
    <w:next w:val="2344"/>
    <w:link w:val="2227"/>
    <w:pPr>
      <w:widowControl w:val="false"/>
      <w:pBdr/>
      <w:spacing w:line="200" w:lineRule="atLeast"/>
      <w:ind/>
      <w:jc w:val="center"/>
    </w:pPr>
    <w:rPr>
      <w:caps/>
      <w:sz w:val="18"/>
      <w:szCs w:val="18"/>
      <w:lang w:val="en-US" w:eastAsia="en-US" w:bidi="ar-SA"/>
    </w:rPr>
  </w:style>
  <w:style w:type="paragraph" w:styleId="2345">
    <w:name w:val="Prelim half title"/>
    <w:next w:val="2345"/>
    <w:link w:val="2227"/>
    <w:pPr>
      <w:widowControl w:val="false"/>
      <w:pBdr/>
      <w:spacing w:after="240" w:before="2440" w:line="480" w:lineRule="exact"/>
      <w:ind/>
      <w:jc w:val="center"/>
    </w:pPr>
    <w:rPr>
      <w:sz w:val="36"/>
      <w:szCs w:val="36"/>
      <w:lang w:val="en-US" w:eastAsia="en-US" w:bidi="ar-SA"/>
    </w:rPr>
  </w:style>
  <w:style w:type="paragraph" w:styleId="2346">
    <w:name w:val="Prelim half title sub"/>
    <w:next w:val="2346"/>
    <w:link w:val="2227"/>
    <w:pPr>
      <w:widowControl w:val="false"/>
      <w:pBdr/>
      <w:spacing w:line="320" w:lineRule="atLeast"/>
      <w:ind/>
      <w:jc w:val="center"/>
    </w:pPr>
    <w:rPr>
      <w:sz w:val="24"/>
      <w:szCs w:val="24"/>
      <w:lang w:val="en-US" w:eastAsia="en-US" w:bidi="ar-SA"/>
    </w:rPr>
  </w:style>
  <w:style w:type="paragraph" w:styleId="2347">
    <w:name w:val="Prelims advert card"/>
    <w:next w:val="2347"/>
    <w:link w:val="2227"/>
    <w:pPr>
      <w:framePr w:hSpace="181" w:vSpace="181" w:wrap="notBeside" w:yAlign="bottom"/>
      <w:widowControl w:val="false"/>
      <w:pBdr>
        <w:top w:val="single" w:color="000000" w:sz="4" w:space="0"/>
        <w:left w:val="single" w:color="000000" w:sz="4" w:space="0"/>
        <w:bottom w:val="single" w:color="000000" w:sz="4" w:space="0"/>
        <w:right w:val="single" w:color="000000" w:sz="4" w:space="0"/>
      </w:pBdr>
      <w:spacing w:before="240" w:line="260" w:lineRule="atLeast"/>
      <w:ind w:right="1134" w:left="1134"/>
      <w:jc w:val="center"/>
    </w:pPr>
    <w:rPr>
      <w:lang w:val="en-US" w:eastAsia="en-US" w:bidi="ar-SA"/>
    </w:rPr>
  </w:style>
  <w:style w:type="paragraph" w:styleId="2348">
    <w:name w:val="Prelim title author"/>
    <w:next w:val="2348"/>
    <w:link w:val="2227"/>
    <w:pPr>
      <w:widowControl w:val="false"/>
      <w:pBdr/>
      <w:spacing w:before="1280" w:line="320" w:lineRule="atLeast"/>
      <w:ind/>
      <w:jc w:val="center"/>
    </w:pPr>
    <w:rPr>
      <w:sz w:val="28"/>
      <w:szCs w:val="28"/>
      <w:lang w:val="en-US" w:eastAsia="en-US" w:bidi="ar-SA"/>
    </w:rPr>
  </w:style>
  <w:style w:type="paragraph" w:styleId="2349">
    <w:name w:val="Prelim imprint"/>
    <w:next w:val="2349"/>
    <w:link w:val="2227"/>
    <w:pPr>
      <w:widowControl w:val="false"/>
      <w:pBdr/>
      <w:spacing w:line="240" w:lineRule="exact"/>
      <w:ind w:right="238" w:left="238"/>
      <w:jc w:val="center"/>
    </w:pPr>
    <w:rPr>
      <w:sz w:val="18"/>
      <w:szCs w:val="18"/>
      <w:lang w:val="en-US" w:eastAsia="en-US" w:bidi="ar-SA"/>
    </w:rPr>
  </w:style>
  <w:style w:type="paragraph" w:styleId="2350">
    <w:name w:val="Prelim CTT"/>
    <w:next w:val="2350"/>
    <w:link w:val="2227"/>
    <w:pPr>
      <w:widowControl w:val="false"/>
      <w:pBdr/>
      <w:spacing w:after="1360" w:before="920" w:line="280" w:lineRule="atLeast"/>
      <w:ind/>
      <w:jc w:val="center"/>
    </w:pPr>
    <w:rPr>
      <w:b/>
      <w:bCs/>
      <w:sz w:val="28"/>
      <w:szCs w:val="28"/>
      <w:lang w:val="en-US" w:eastAsia="en-US" w:bidi="ar-SA"/>
    </w:rPr>
  </w:style>
  <w:style w:type="paragraph" w:styleId="2351">
    <w:name w:val="Prelim contents list"/>
    <w:next w:val="2351"/>
    <w:link w:val="2227"/>
    <w:pPr>
      <w:widowControl w:val="false"/>
      <w:pBdr/>
      <w:tabs>
        <w:tab w:val="left" w:leader="none" w:pos="680"/>
        <w:tab w:val="right" w:leader="none" w:pos="6406"/>
      </w:tabs>
      <w:spacing w:line="280" w:lineRule="atLeast"/>
      <w:ind/>
    </w:pPr>
    <w:rPr>
      <w:sz w:val="22"/>
      <w:szCs w:val="22"/>
      <w:lang w:val="en-US" w:eastAsia="en-US" w:bidi="ar-SA"/>
    </w:rPr>
  </w:style>
  <w:style w:type="paragraph" w:styleId="2352">
    <w:name w:val="Prelim title foreword"/>
    <w:basedOn w:val="2348"/>
    <w:next w:val="2352"/>
    <w:link w:val="2227"/>
    <w:pPr>
      <w:pBdr/>
      <w:spacing w:before="640" w:line="280" w:lineRule="atLeast"/>
      <w:ind/>
    </w:pPr>
    <w:rPr>
      <w:sz w:val="24"/>
    </w:rPr>
  </w:style>
  <w:style w:type="paragraph" w:styleId="2353">
    <w:name w:val="Opening paragraph"/>
    <w:next w:val="2353"/>
    <w:link w:val="2227"/>
    <w:pPr>
      <w:widowControl w:val="false"/>
      <w:pBdr/>
      <w:spacing w:line="240" w:lineRule="exact"/>
      <w:ind/>
      <w:jc w:val="both"/>
    </w:pPr>
    <w:rPr>
      <w:lang w:val="en-US" w:eastAsia="en-US" w:bidi="ar-SA"/>
    </w:rPr>
  </w:style>
  <w:style w:type="paragraph" w:styleId="2354">
    <w:name w:val="Prelim CTT Small Cap"/>
    <w:basedOn w:val="2350"/>
    <w:next w:val="2354"/>
    <w:link w:val="2227"/>
    <w:pPr>
      <w:pBdr/>
      <w:spacing/>
      <w:ind/>
    </w:pPr>
    <w:rPr>
      <w:smallCaps/>
    </w:rPr>
  </w:style>
  <w:style w:type="paragraph" w:styleId="2355">
    <w:name w:val="Prelim dedication"/>
    <w:basedOn w:val="2227"/>
    <w:next w:val="2355"/>
    <w:link w:val="2227"/>
    <w:pPr>
      <w:pageBreakBefore w:val="true"/>
      <w:widowControl w:val="false"/>
      <w:pBdr/>
      <w:spacing w:before="2360" w:line="280" w:lineRule="exact"/>
      <w:ind w:firstLine="238"/>
      <w:jc w:val="center"/>
    </w:pPr>
    <w:rPr>
      <w:i/>
      <w:sz w:val="22"/>
      <w:lang w:val="en-US" w:eastAsia="en-US"/>
    </w:rPr>
  </w:style>
  <w:style w:type="paragraph" w:styleId="2356">
    <w:name w:val="Prelim contents list B"/>
    <w:basedOn w:val="2351"/>
    <w:next w:val="2356"/>
    <w:link w:val="2227"/>
    <w:pPr>
      <w:pBdr/>
      <w:spacing/>
      <w:ind w:left="284"/>
    </w:pPr>
  </w:style>
  <w:style w:type="paragraph" w:styleId="2357">
    <w:name w:val="Prelim contents list C"/>
    <w:basedOn w:val="2356"/>
    <w:next w:val="2357"/>
    <w:link w:val="2227"/>
    <w:pPr>
      <w:pBdr/>
      <w:spacing/>
      <w:ind w:left="567"/>
    </w:pPr>
    <w:rPr>
      <w:caps/>
    </w:rPr>
  </w:style>
  <w:style w:type="paragraph" w:styleId="2358">
    <w:name w:val="Prelim contents list D"/>
    <w:basedOn w:val="2351"/>
    <w:next w:val="2358"/>
    <w:link w:val="2227"/>
    <w:pPr>
      <w:pBdr/>
      <w:spacing/>
      <w:ind w:left="851"/>
    </w:pPr>
  </w:style>
  <w:style w:type="paragraph" w:styleId="2359">
    <w:name w:val="Main Text (First Paragraph)"/>
    <w:basedOn w:val="2227"/>
    <w:next w:val="2359"/>
    <w:link w:val="2227"/>
    <w:pPr>
      <w:pBdr/>
      <w:spacing w:line="240" w:lineRule="exact"/>
      <w:ind/>
    </w:pPr>
    <w:rPr>
      <w:szCs w:val="20"/>
      <w:lang w:val="en-US" w:eastAsia="en-US"/>
    </w:rPr>
  </w:style>
  <w:style w:type="character" w:styleId="2360">
    <w:name w:val="IX"/>
    <w:next w:val="2360"/>
    <w:link w:val="2227"/>
    <w:pPr>
      <w:pBdr/>
      <w:spacing/>
      <w:ind/>
    </w:pPr>
  </w:style>
  <w:style w:type="paragraph" w:styleId="2361">
    <w:name w:val="Body Text First Indent"/>
    <w:basedOn w:val="2251"/>
    <w:next w:val="2361"/>
    <w:link w:val="2371"/>
    <w:pPr>
      <w:pBdr/>
      <w:tabs>
        <w:tab w:val="clear" w:leader="none" w:pos="25"/>
        <w:tab w:val="clear" w:leader="none" w:pos="576"/>
        <w:tab w:val="clear" w:leader="none" w:pos="2160"/>
      </w:tabs>
      <w:spacing w:after="120"/>
      <w:ind w:firstLine="210"/>
      <w:jc w:val="left"/>
    </w:pPr>
    <w:rPr>
      <w:b/>
      <w:bCs/>
    </w:rPr>
  </w:style>
  <w:style w:type="paragraph" w:styleId="2362">
    <w:name w:val="List"/>
    <w:basedOn w:val="2227"/>
    <w:next w:val="2362"/>
    <w:link w:val="2227"/>
    <w:pPr>
      <w:pBdr/>
      <w:spacing/>
      <w:ind w:hanging="360" w:left="360"/>
    </w:pPr>
    <w:rPr>
      <w:lang w:val="en-US" w:eastAsia="en-US" w:bidi="he-IL"/>
    </w:rPr>
  </w:style>
  <w:style w:type="paragraph" w:styleId="2363">
    <w:name w:val="List Bullet"/>
    <w:basedOn w:val="2227"/>
    <w:next w:val="2363"/>
    <w:link w:val="2227"/>
    <w:pPr>
      <w:pBdr/>
      <w:tabs>
        <w:tab w:val="num" w:leader="none" w:pos="360"/>
      </w:tabs>
      <w:spacing/>
      <w:ind w:hanging="360" w:left="360"/>
    </w:pPr>
    <w:rPr>
      <w:lang w:val="en-US" w:eastAsia="en-US" w:bidi="he-IL"/>
    </w:rPr>
  </w:style>
  <w:style w:type="character" w:styleId="2364">
    <w:name w:val="Heading 3 Char"/>
    <w:next w:val="2364"/>
    <w:link w:val="2227"/>
    <w:pPr>
      <w:pBdr/>
      <w:spacing/>
      <w:ind/>
    </w:pPr>
    <w:rPr>
      <w:rFonts w:ascii="Arial" w:hAnsi="Arial" w:cs="Arial"/>
      <w:b/>
      <w:bCs/>
      <w:sz w:val="26"/>
      <w:szCs w:val="26"/>
      <w:lang w:val="en-US" w:eastAsia="en-US" w:bidi="he-IL"/>
    </w:rPr>
  </w:style>
  <w:style w:type="paragraph" w:styleId="2365">
    <w:name w:val="footnote"/>
    <w:basedOn w:val="2227"/>
    <w:next w:val="2365"/>
    <w:link w:val="2372"/>
    <w:qFormat/>
    <w:pPr>
      <w:pBdr/>
      <w:spacing/>
      <w:ind w:hanging="227" w:left="227"/>
    </w:pPr>
    <w:rPr>
      <w:sz w:val="20"/>
      <w:szCs w:val="20"/>
      <w:lang w:eastAsia="en-US" w:bidi="he-IL"/>
    </w:rPr>
  </w:style>
  <w:style w:type="paragraph" w:styleId="2366">
    <w:name w:val="Style Title Book + Left"/>
    <w:basedOn w:val="2325"/>
    <w:next w:val="2366"/>
    <w:link w:val="2227"/>
    <w:pPr>
      <w:pBdr/>
      <w:spacing w:before="1920" w:line="600" w:lineRule="auto"/>
      <w:ind/>
      <w:jc w:val="center"/>
    </w:pPr>
    <w:rPr>
      <w:sz w:val="44"/>
      <w:szCs w:val="44"/>
    </w:rPr>
  </w:style>
  <w:style w:type="paragraph" w:styleId="2367">
    <w:name w:val="body items"/>
    <w:basedOn w:val="2251"/>
    <w:next w:val="2367"/>
    <w:link w:val="2227"/>
    <w:pPr>
      <w:pBdr/>
      <w:spacing/>
      <w:ind/>
    </w:pPr>
    <w:rPr>
      <w:sz w:val="22"/>
      <w:szCs w:val="22"/>
    </w:rPr>
  </w:style>
  <w:style w:type="paragraph" w:styleId="2368">
    <w:name w:val="Style Body Text + First line:  0&quot;"/>
    <w:basedOn w:val="2251"/>
    <w:next w:val="2368"/>
    <w:link w:val="2227"/>
    <w:pPr>
      <w:pBdr/>
      <w:spacing/>
      <w:ind/>
    </w:pPr>
  </w:style>
  <w:style w:type="character" w:styleId="2369">
    <w:name w:val="Body Text First Indent 2 Char"/>
    <w:basedOn w:val="2330"/>
    <w:next w:val="2369"/>
    <w:link w:val="2318"/>
    <w:pPr>
      <w:pBdr/>
      <w:spacing/>
      <w:ind/>
    </w:pPr>
  </w:style>
  <w:style w:type="character" w:styleId="2370">
    <w:name w:val="Body Text Char"/>
    <w:next w:val="2370"/>
    <w:link w:val="2251"/>
    <w:pPr>
      <w:pBdr/>
      <w:spacing/>
      <w:ind/>
    </w:pPr>
    <w:rPr>
      <w:rFonts w:ascii="New Century Schoolbook" w:hAnsi="New Century Schoolbook"/>
      <w:sz w:val="24"/>
      <w:szCs w:val="24"/>
      <w:lang w:val="ro-RO" w:eastAsia="ro-RO" w:bidi="ar-SA"/>
    </w:rPr>
  </w:style>
  <w:style w:type="character" w:styleId="2371">
    <w:name w:val="Body Text First Indent Char"/>
    <w:next w:val="2371"/>
    <w:link w:val="2361"/>
    <w:pPr>
      <w:pBdr/>
      <w:spacing/>
      <w:ind/>
    </w:pPr>
    <w:rPr>
      <w:rFonts w:ascii="New Century Schoolbook" w:hAnsi="New Century Schoolbook"/>
      <w:b/>
      <w:bCs/>
      <w:sz w:val="24"/>
      <w:szCs w:val="24"/>
      <w:lang w:val="ro-RO" w:eastAsia="ro-RO" w:bidi="ar-SA"/>
    </w:rPr>
  </w:style>
  <w:style w:type="character" w:styleId="2372">
    <w:name w:val="footnote Char"/>
    <w:next w:val="2372"/>
    <w:link w:val="2365"/>
    <w:pPr>
      <w:pBdr/>
      <w:spacing/>
      <w:ind/>
    </w:pPr>
    <w:rPr>
      <w:rFonts w:ascii="New Century Schoolbook" w:hAnsi="New Century Schoolbook"/>
      <w:lang w:val="ro-RO" w:eastAsia="en-US"/>
    </w:rPr>
  </w:style>
  <w:style w:type="paragraph" w:styleId="2373">
    <w:name w:val="Normal (Web)"/>
    <w:basedOn w:val="2227"/>
    <w:next w:val="2373"/>
    <w:link w:val="2227"/>
    <w:pPr>
      <w:pBdr/>
      <w:spacing w:after="100" w:afterAutospacing="1" w:before="100" w:beforeAutospacing="1"/>
      <w:ind/>
    </w:pPr>
    <w:rPr>
      <w:lang w:val="en-US" w:eastAsia="en-US" w:bidi="he-IL"/>
    </w:rPr>
  </w:style>
  <w:style w:type="character" w:styleId="2374">
    <w:name w:val="Book Title"/>
    <w:basedOn w:val="2235"/>
    <w:next w:val="2374"/>
    <w:link w:val="2227"/>
    <w:pPr>
      <w:pBdr/>
      <w:spacing/>
      <w:ind/>
    </w:pPr>
  </w:style>
  <w:style w:type="character" w:styleId="2375">
    <w:name w:val="Emphasis"/>
    <w:next w:val="2375"/>
    <w:link w:val="2227"/>
    <w:qFormat/>
    <w:pPr>
      <w:pBdr/>
      <w:spacing/>
      <w:ind/>
    </w:pPr>
    <w:rPr>
      <w:i/>
      <w:iCs/>
    </w:rPr>
  </w:style>
  <w:style w:type="table" w:styleId="2376">
    <w:name w:val="Table Grid"/>
    <w:basedOn w:val="2236"/>
    <w:next w:val="2376"/>
    <w:link w:val="2227"/>
    <w:pPr>
      <w:pBdr/>
      <w:spacing/>
      <w:ind/>
    </w:pPr>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2377">
    <w:name w:val="List Paragraph"/>
    <w:basedOn w:val="2227"/>
    <w:next w:val="2377"/>
    <w:link w:val="2227"/>
    <w:uiPriority w:val="34"/>
    <w:qFormat/>
    <w:pPr>
      <w:pBdr/>
      <w:spacing/>
      <w:ind w:left="720"/>
    </w:pPr>
  </w:style>
  <w:style w:type="paragraph" w:styleId="2378">
    <w:name w:val="Subtitle"/>
    <w:basedOn w:val="2227"/>
    <w:next w:val="2227"/>
    <w:link w:val="2379"/>
    <w:qFormat/>
    <w:pPr>
      <w:pBdr/>
      <w:spacing w:after="60"/>
      <w:ind/>
      <w:jc w:val="center"/>
      <w:outlineLvl w:val="1"/>
    </w:pPr>
    <w:rPr>
      <w:rFonts w:ascii="Cambria" w:hAnsi="Cambria" w:eastAsia="Times New Roman" w:cs="Times New Roman"/>
    </w:rPr>
  </w:style>
  <w:style w:type="character" w:styleId="2379">
    <w:name w:val="Subtitle Char"/>
    <w:next w:val="2379"/>
    <w:link w:val="2378"/>
    <w:pPr>
      <w:pBdr/>
      <w:spacing/>
      <w:ind/>
    </w:pPr>
    <w:rPr>
      <w:rFonts w:ascii="Cambria" w:hAnsi="Cambria" w:eastAsia="Times New Roman" w:cs="Times New Roman"/>
      <w:sz w:val="24"/>
      <w:szCs w:val="24"/>
      <w:lang w:val="ro-RO" w:eastAsia="ro-RO"/>
    </w:rPr>
  </w:style>
  <w:style w:type="paragraph" w:styleId="2380">
    <w:name w:val="TOC Heading"/>
    <w:basedOn w:val="2228"/>
    <w:next w:val="2227"/>
    <w:link w:val="2227"/>
    <w:uiPriority w:val="39"/>
    <w:qFormat/>
    <w:pPr>
      <w:keepLines w:val="true"/>
      <w:pBdr/>
      <w:spacing w:after="0" w:before="480" w:line="276" w:lineRule="auto"/>
      <w:ind w:firstLine="0"/>
      <w:jc w:val="left"/>
      <w:outlineLvl w:val="9"/>
    </w:pPr>
    <w:rPr>
      <w:rFonts w:ascii="Cambria" w:hAnsi="Cambria" w:eastAsia="Times New Roman" w:cs="Times New Roman"/>
      <w:color w:val="365f91"/>
      <w:sz w:val="28"/>
      <w:szCs w:val="28"/>
      <w:lang w:eastAsia="en-US"/>
    </w:rPr>
  </w:style>
  <w:style w:type="character" w:styleId="2381">
    <w:name w:val="FollowedHyperlink"/>
    <w:next w:val="2381"/>
    <w:link w:val="2227"/>
    <w:pPr>
      <w:pBdr/>
      <w:spacing/>
      <w:ind/>
    </w:pPr>
    <w:rPr>
      <w:color w:val="800080"/>
      <w:u w:val="single"/>
    </w:rPr>
  </w:style>
  <w:style w:type="character" w:styleId="2382">
    <w:name w:val="addmd1"/>
    <w:next w:val="2382"/>
    <w:link w:val="2227"/>
    <w:pPr>
      <w:pBdr/>
      <w:spacing/>
      <w:ind/>
    </w:pPr>
    <w:rPr>
      <w:rFonts w:ascii="Arial" w:hAnsi="Arial" w:cs="Arial"/>
      <w:color w:val="777777"/>
      <w:sz w:val="20"/>
      <w:szCs w:val="20"/>
    </w:rPr>
  </w:style>
  <w:style w:type="paragraph" w:styleId="2383">
    <w:name w:val="footnote texts"/>
    <w:basedOn w:val="2373"/>
    <w:next w:val="2383"/>
    <w:link w:val="2227"/>
    <w:pPr>
      <w:pBdr/>
      <w:spacing w:after="0" w:afterAutospacing="0" w:before="0" w:beforeAutospacing="0" w:line="240" w:lineRule="auto"/>
      <w:ind w:firstLine="0"/>
    </w:pPr>
    <w:rPr>
      <w:rFonts w:ascii="Times New Roman" w:hAnsi="Times New Roman"/>
      <w:sz w:val="18"/>
      <w:szCs w:val="18"/>
      <w:lang w:bidi="ar-SA"/>
    </w:rPr>
  </w:style>
  <w:style w:type="character" w:styleId="2384">
    <w:name w:val="artauthor"/>
    <w:basedOn w:val="2235"/>
    <w:next w:val="2384"/>
    <w:link w:val="2227"/>
    <w:pPr>
      <w:pBdr/>
      <w:spacing/>
      <w:ind/>
    </w:pPr>
  </w:style>
  <w:style w:type="paragraph" w:styleId="2385">
    <w:name w:val="endnote text"/>
    <w:basedOn w:val="2227"/>
    <w:next w:val="2385"/>
    <w:link w:val="2386"/>
    <w:uiPriority w:val="99"/>
    <w:unhideWhenUsed/>
    <w:pPr>
      <w:pBdr/>
      <w:spacing w:line="240" w:lineRule="auto"/>
      <w:ind w:firstLine="0"/>
      <w:jc w:val="left"/>
    </w:pPr>
    <w:rPr>
      <w:rFonts w:ascii="Times New Roman" w:hAnsi="Times New Roman"/>
      <w:sz w:val="20"/>
      <w:szCs w:val="20"/>
    </w:rPr>
  </w:style>
  <w:style w:type="character" w:styleId="2386">
    <w:name w:val="Endnote Text Char"/>
    <w:next w:val="2386"/>
    <w:link w:val="2385"/>
    <w:uiPriority w:val="99"/>
    <w:pPr>
      <w:pBdr/>
      <w:spacing/>
      <w:ind/>
    </w:pPr>
    <w:rPr>
      <w:lang w:val="ro-RO" w:eastAsia="ro-RO" w:bidi="ar-SA"/>
    </w:rPr>
  </w:style>
  <w:style w:type="character" w:styleId="2387">
    <w:name w:val="endnote reference"/>
    <w:next w:val="2387"/>
    <w:link w:val="2227"/>
    <w:uiPriority w:val="99"/>
    <w:unhideWhenUsed/>
    <w:pPr>
      <w:pBdr/>
      <w:spacing/>
      <w:ind/>
    </w:pPr>
    <w:rPr>
      <w:vertAlign w:val="superscript"/>
    </w:rPr>
  </w:style>
  <w:style w:type="character" w:styleId="2388">
    <w:name w:val="apple-converted-space"/>
    <w:next w:val="2388"/>
    <w:link w:val="2227"/>
    <w:pPr>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image" Target="media/image1.png"/><Relationship Id="rId13" Type="http://schemas.openxmlformats.org/officeDocument/2006/relationships/image" Target="media/media1.svg"/><Relationship Id="rId14" Type="http://schemas.openxmlformats.org/officeDocument/2006/relationships/image" Target="media/image2.png"/><Relationship Id="rId15" Type="http://schemas.openxmlformats.org/officeDocument/2006/relationships/image" Target="media/media2.svg"/><Relationship Id="rId16" Type="http://schemas.openxmlformats.org/officeDocument/2006/relationships/image" Target="media/image3.png"/><Relationship Id="rId17" Type="http://schemas.openxmlformats.org/officeDocument/2006/relationships/image" Target="media/media3.svg"/><Relationship Id="rId18" Type="http://schemas.openxmlformats.org/officeDocument/2006/relationships/image" Target="media/image4.png"/><Relationship Id="rId19" Type="http://schemas.openxmlformats.org/officeDocument/2006/relationships/image" Target="media/media4.svg"/><Relationship Id="rId20" Type="http://schemas.openxmlformats.org/officeDocument/2006/relationships/image" Target="media/image5.png"/><Relationship Id="rId21" Type="http://schemas.openxmlformats.org/officeDocument/2006/relationships/image" Target="media/media5.svg"/><Relationship Id="rId22" Type="http://schemas.openxmlformats.org/officeDocument/2006/relationships/image" Target="media/image6.png"/><Relationship Id="rId23" Type="http://schemas.openxmlformats.org/officeDocument/2006/relationships/image" Target="media/media6.svg"/><Relationship Id="rId24" Type="http://schemas.openxmlformats.org/officeDocument/2006/relationships/image" Target="media/image7.png"/><Relationship Id="rId25" Type="http://schemas.openxmlformats.org/officeDocument/2006/relationships/image" Target="media/media7.svg"/><Relationship Id="rId26" Type="http://schemas.openxmlformats.org/officeDocument/2006/relationships/image" Target="media/image8.png"/><Relationship Id="rId27" Type="http://schemas.openxmlformats.org/officeDocument/2006/relationships/image" Target="media/media8.sv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media9.svg"/><Relationship Id="rId31" Type="http://schemas.openxmlformats.org/officeDocument/2006/relationships/image" Target="media/image11.png"/><Relationship Id="rId32" Type="http://schemas.openxmlformats.org/officeDocument/2006/relationships/image" Target="media/media10.svg"/><Relationship Id="rId33" Type="http://schemas.openxmlformats.org/officeDocument/2006/relationships/image" Target="media/image12.png"/><Relationship Id="rId34" Type="http://schemas.openxmlformats.org/officeDocument/2006/relationships/image" Target="media/media11.svg"/><Relationship Id="rId35" Type="http://schemas.openxmlformats.org/officeDocument/2006/relationships/image" Target="media/image13.png"/><Relationship Id="rId36" Type="http://schemas.openxmlformats.org/officeDocument/2006/relationships/image" Target="media/media12.sv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tbntemplate</Template>
  <Application>ONLYOFFICE/9.3.1.8</Application>
  <DocSecurity>0</DocSecurity>
  <ScaleCrop>0</ScaleCrop>
  <HeadingPairs>
    <vt:vector size="0" baseType="variant"/>
  </HeadingPairs>
  <TitlesOfParts>
    <vt:vector size="0" baseType="lpstr"/>
  </TitlesOfParts>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TEOLOGIA BIBLICĂ A NOULUI TESTAMENT</dc:title>
  <cp:revision>2</cp:revision>
  <dcterms:created xsi:type="dcterms:W3CDTF">2013-11-13T15:07:00Z</dcterms:created>
  <dcterms:modified xsi:type="dcterms:W3CDTF">2026-04-30T13:50:14Z</dcterms:modified>
  <cp:version>917504</cp:version>
</cp:coreProperties>
</file>