
<file path=[Content_Types].xml><?xml version="1.0" encoding="utf-8"?>
<Types xmlns="http://schemas.openxmlformats.org/package/2006/content-types">
  <Default Extension="jpg" ContentType="image/jpeg"/>
  <Default Extension="bin" ContentType="application/vnd.openxmlformats-officedocument.oleObject"/>
  <Default Extension="jpeg" ContentType="image/jpeg"/>
  <Default Extension="rels" ContentType="application/vnd.openxmlformats-package.relationships+xml"/>
  <Default Extension="xml" ContentType="application/xml"/>
  <Default Extension="png" ContentType="image/png"/>
  <Default Extension="wmf" ContentType="image/x-wmf"/>
  <Default Extension="emf" ContentType="image/x-emf"/>
  <Override PartName="/customXml/itemProps1.xml" ContentType="application/vnd.openxmlformats-officedocument.customXmlProperties+xml"/>
  <Override PartName="/word/document.xml" ContentType="application/vnd.openxmlformats-officedocument.wordprocessingml.document.main+xml"/>
  <Override PartName="/word/styles.xml" ContentType="application/vnd.openxmlformats-officedocument.wordprocessingml.styles+xml"/>
  <Override PartName="/word/header2.xml" ContentType="application/vnd.openxmlformats-officedocument.wordprocessingml.head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numbering.xml" ContentType="application/vnd.openxmlformats-officedocument.wordprocessingml.numbering+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3.xml" ContentType="application/vnd.openxmlformats-officedocument.wordprocessingml.header+xml"/>
  <Override PartName="/docProps/app.xml" ContentType="application/vnd.openxmlformats-officedocument.extended-properties+xml"/>
  <Override PartName="/docProps/core.xml" ContentType="application/vnd.openxmlformats-package.core-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Style w:val="TOCHeading"/>
        <w:jc w:val="center"/>
        <w:rPr>
          <w:lang w:val="ro-RO"/>
        </w:rPr>
      </w:pPr>
    </w:p>
    <w:p>
      <w:pPr>
        <w:pStyle w:val="Heading2"/>
      </w:pPr>
      <w:bookmarkStart w:id="0" w:name="_Toc354499551"/>
      <w:bookmarkStart w:id="1" w:name="_Toc420071008"/>
      <w:bookmarkStart w:id="2" w:name="_Toc39700251"/>
      <w:r>
        <w:t xml:space="preserve">Apocalipsa (partea II) </w:t>
      </w:r>
      <w:bookmarkEnd w:id="0"/>
      <w:bookmarkEnd w:id="1"/>
      <w:bookmarkEnd w:id="2"/>
    </w:p>
    <w:p/>
    <w:p/>
    <w:p/>
    <w:p>
      <w:pPr>
        <w:jc w:val="right"/>
      </w:pPr>
      <w:r>
        <w:t xml:space="preserve">Octavian D. Baban</w:t>
      </w:r>
    </w:p>
    <w:p>
      <w:pPr>
        <w:spacing w:line="240" w:lineRule="auto"/>
        <w:ind w:firstLine="0"/>
        <w:jc w:val="left"/>
      </w:pPr>
    </w:p>
    <w:sdt>
      <w:sdtPr>
        <w:id w:val="1735963922"/>
        <w:docPartObj>
          <w:docPartGallery w:val="Table of Contents"/>
          <w:docPartUnique w:val="true"/>
        </w:docPartObj>
        <w:rPr>
          <w:rFonts w:ascii="New Century Schoolbook" w:hAnsi="New Century Schoolbook"/>
          <w:b w:val="0"/>
          <w:color w:val="000000"/>
          <w:kern w:val="20"/>
          <w:sz w:val="22"/>
          <w:szCs w:val="20"/>
          <w:lang w:val="ro-RO"/>
        </w:rPr>
      </w:sdtPr>
      <w:sdtEndPr>
        <w:rPr/>
      </w:sdtEndPr>
      <w:sdtContent>
        <w:p>
          <w:pPr>
            <w:pStyle w:val="TOCHeading"/>
            <w:rPr>
              <w:rFonts w:eastAsiaTheme="minorEastAsia"/>
            </w:rPr>
          </w:pPr>
          <w:r>
            <w:fldChar w:fldCharType="begin"/>
          </w:r>
          <w:r>
            <w:instrText xml:space="preserve"> TOC \o "1-3" \h \z \u </w:instrText>
          </w:r>
          <w:r>
            <w:fldChar w:fldCharType="separate"/>
          </w:r>
        </w:p>
        <w:p>
          <w:pPr>
            <w:pStyle w:val="TOC3"/>
            <w:tabs>
              <w:tab w:val="right" w:leader="dot" w:pos="6450"/>
            </w:tabs>
            <w:rPr>
              <w:rFonts w:asciiTheme="minorHAnsi" w:hAnsiTheme="minorHAnsi" w:eastAsiaTheme="minorEastAsia" w:cstheme="minorBidi"/>
              <w:bCs w:val="0"/>
              <w:color w:val="auto"/>
              <w:kern w:val="0"/>
              <w:szCs w:val="22"/>
              <w:lang w:val="en-US"/>
            </w:rPr>
          </w:pPr>
          <w:hyperlink w:anchor="_Toc39700252" w:history="1">
            <w:r>
              <w:rPr>
                <w:rStyle w:val="Hyperlink"/>
              </w:rPr>
              <w:t xml:space="preserve">4</w:t>
            </w:r>
            <w:r>
              <w:rPr>
                <w:rStyle w:val="Hyperlink"/>
              </w:rPr>
              <w:t xml:space="preserve">.</w:t>
            </w:r>
            <w:r>
              <w:rPr>
                <w:rStyle w:val="Hyperlink"/>
              </w:rPr>
              <w:t xml:space="preserve"> Scurt comentariu asupra Apocalipsei</w:t>
            </w:r>
            <w:r>
              <w:tab/>
            </w:r>
            <w:r>
              <w:fldChar w:fldCharType="begin"/>
            </w:r>
            <w:r>
              <w:instrText xml:space="preserve"> PAGEREF _Toc39700252 \h </w:instrText>
            </w:r>
            <w:r/>
            <w:r>
              <w:fldChar w:fldCharType="separate"/>
            </w:r>
            <w:r>
              <w:t xml:space="preserve">6</w:t>
            </w:r>
            <w:r>
              <w:fldChar w:fldCharType="end"/>
            </w:r>
          </w:hyperlink>
        </w:p>
        <w:p>
          <w:pPr>
            <w:pStyle w:val="TOC3"/>
            <w:tabs>
              <w:tab w:val="right" w:leader="dot" w:pos="6450"/>
            </w:tabs>
            <w:rPr>
              <w:rStyle w:val="Hyperlink"/>
            </w:rPr>
          </w:pPr>
        </w:p>
        <w:p>
          <w:pPr>
            <w:pStyle w:val="TOC3"/>
            <w:tabs>
              <w:tab w:val="right" w:leader="dot" w:pos="6450"/>
            </w:tabs>
            <w:rPr>
              <w:rFonts w:asciiTheme="minorHAnsi" w:hAnsiTheme="minorHAnsi" w:eastAsiaTheme="minorEastAsia" w:cstheme="minorBidi"/>
              <w:bCs w:val="0"/>
              <w:color w:val="auto"/>
              <w:kern w:val="0"/>
              <w:szCs w:val="22"/>
              <w:lang w:val="en-US"/>
            </w:rPr>
          </w:pPr>
          <w:hyperlink w:anchor="_Toc39700253" w:history="1">
            <w:r>
              <w:rPr>
                <w:rStyle w:val="Hyperlink"/>
              </w:rPr>
              <w:t xml:space="preserve">5</w:t>
            </w:r>
            <w:r>
              <w:rPr>
                <w:rStyle w:val="Hyperlink"/>
              </w:rPr>
              <w:t xml:space="preserve">.</w:t>
            </w:r>
            <w:r>
              <w:rPr>
                <w:rStyle w:val="Hyperlink"/>
              </w:rPr>
              <w:t xml:space="preserve"> Mesajul de ansamblu al Apocalipsei</w:t>
            </w:r>
            <w:r>
              <w:tab/>
            </w:r>
            <w:r>
              <w:fldChar w:fldCharType="begin"/>
            </w:r>
            <w:r>
              <w:instrText xml:space="preserve"> PAGEREF _Toc39700253 \h </w:instrText>
            </w:r>
            <w:r/>
            <w:r>
              <w:fldChar w:fldCharType="separate"/>
            </w:r>
            <w:r>
              <w:t xml:space="preserve">50</w:t>
            </w:r>
            <w:r>
              <w:fldChar w:fldCharType="end"/>
            </w:r>
          </w:hyperlink>
        </w:p>
        <w:p>
          <w:pPr>
            <w:pStyle w:val="TOC3"/>
            <w:tabs>
              <w:tab w:val="right" w:leader="dot" w:pos="6450"/>
            </w:tabs>
            <w:rPr>
              <w:rStyle w:val="Hyperlink"/>
            </w:rPr>
          </w:pPr>
        </w:p>
        <w:p>
          <w:pPr>
            <w:pStyle w:val="TOC3"/>
            <w:tabs>
              <w:tab w:val="right" w:leader="dot" w:pos="6450"/>
            </w:tabs>
            <w:rPr>
              <w:rFonts w:asciiTheme="minorHAnsi" w:hAnsiTheme="minorHAnsi" w:eastAsiaTheme="minorEastAsia" w:cstheme="minorBidi"/>
              <w:bCs w:val="0"/>
              <w:color w:val="auto"/>
              <w:kern w:val="0"/>
              <w:szCs w:val="22"/>
              <w:lang w:val="en-US"/>
            </w:rPr>
          </w:pPr>
          <w:hyperlink w:anchor="_Toc39700254" w:history="1">
            <w:r>
              <w:rPr>
                <w:rStyle w:val="Hyperlink"/>
                <w:lang w:bidi="he-IL"/>
              </w:rPr>
              <w:t xml:space="preserve">6</w:t>
            </w:r>
            <w:r>
              <w:rPr>
                <w:rStyle w:val="Hyperlink"/>
                <w:lang w:bidi="he-IL"/>
              </w:rPr>
              <w:t xml:space="preserve">.</w:t>
            </w:r>
            <w:r>
              <w:rPr>
                <w:rStyle w:val="Hyperlink"/>
                <w:lang w:bidi="he-IL"/>
              </w:rPr>
              <w:t xml:space="preserve"> Subiecte de medita</w:t>
            </w:r>
            <w:r>
              <w:rPr>
                <w:rStyle w:val="Hyperlink"/>
                <w:rFonts w:ascii="Times New Roman" w:hAnsi="Times New Roman"/>
                <w:lang w:bidi="he-IL"/>
              </w:rPr>
              <w:t xml:space="preserve">ț</w:t>
            </w:r>
            <w:r>
              <w:rPr>
                <w:rStyle w:val="Hyperlink"/>
                <w:lang w:bidi="he-IL"/>
              </w:rPr>
              <w:t xml:space="preserve">ie </w:t>
            </w:r>
            <w:r>
              <w:rPr>
                <w:rStyle w:val="Hyperlink"/>
                <w:rFonts w:ascii="Times New Roman" w:hAnsi="Times New Roman"/>
                <w:lang w:bidi="he-IL"/>
              </w:rPr>
              <w:t xml:space="preserve">ș</w:t>
            </w:r>
            <w:r>
              <w:rPr>
                <w:rStyle w:val="Hyperlink"/>
                <w:lang w:bidi="he-IL"/>
              </w:rPr>
              <w:t xml:space="preserve">i discu</w:t>
            </w:r>
            <w:r>
              <w:rPr>
                <w:rStyle w:val="Hyperlink"/>
                <w:rFonts w:ascii="Times New Roman" w:hAnsi="Times New Roman"/>
                <w:lang w:bidi="he-IL"/>
              </w:rPr>
              <w:t xml:space="preserve">ț</w:t>
            </w:r>
            <w:r>
              <w:rPr>
                <w:rStyle w:val="Hyperlink"/>
                <w:lang w:bidi="he-IL"/>
              </w:rPr>
              <w:t xml:space="preserve">ie</w:t>
            </w:r>
            <w:r>
              <w:tab/>
            </w:r>
            <w:r>
              <w:fldChar w:fldCharType="begin"/>
            </w:r>
            <w:r>
              <w:instrText xml:space="preserve"> PAGEREF _Toc39700254 \h </w:instrText>
            </w:r>
            <w:r/>
            <w:r>
              <w:fldChar w:fldCharType="separate"/>
            </w:r>
            <w:r>
              <w:t xml:space="preserve">51</w:t>
            </w:r>
            <w:r>
              <w:fldChar w:fldCharType="end"/>
            </w:r>
          </w:hyperlink>
        </w:p>
        <w:p>
          <w:pPr>
            <w:pStyle w:val="TOC3"/>
            <w:tabs>
              <w:tab w:val="right" w:leader="dot" w:pos="6450"/>
            </w:tabs>
            <w:rPr>
              <w:rStyle w:val="Hyperlink"/>
            </w:rPr>
          </w:pPr>
        </w:p>
        <w:p>
          <w:pPr>
            <w:pStyle w:val="TOC3"/>
            <w:tabs>
              <w:tab w:val="right" w:leader="dot" w:pos="6450"/>
            </w:tabs>
            <w:rPr>
              <w:rFonts w:asciiTheme="minorHAnsi" w:hAnsiTheme="minorHAnsi" w:eastAsiaTheme="minorEastAsia" w:cstheme="minorBidi"/>
              <w:bCs w:val="0"/>
              <w:color w:val="auto"/>
              <w:kern w:val="0"/>
              <w:szCs w:val="22"/>
              <w:lang w:val="en-US"/>
            </w:rPr>
          </w:pPr>
          <w:hyperlink w:anchor="_Toc39700255" w:history="1">
            <w:r>
              <w:rPr>
                <w:rStyle w:val="Hyperlink"/>
              </w:rPr>
              <w:t xml:space="preserve">7</w:t>
            </w:r>
            <w:r>
              <w:rPr>
                <w:rStyle w:val="Hyperlink"/>
              </w:rPr>
              <w:t xml:space="preserve">.</w:t>
            </w:r>
            <w:r>
              <w:rPr>
                <w:rStyle w:val="Hyperlink"/>
              </w:rPr>
              <w:t xml:space="preserve"> Apendix </w:t>
            </w:r>
            <w:r>
              <w:rPr>
                <w:rStyle w:val="Hyperlink"/>
              </w:rPr>
              <w:t xml:space="preserve">1: </w:t>
            </w:r>
            <w:r>
              <w:rPr>
                <w:rStyle w:val="Hyperlink"/>
              </w:rPr>
              <w:t xml:space="preserve">terminologi</w:t>
            </w:r>
            <w:r>
              <w:rPr>
                <w:rStyle w:val="Hyperlink"/>
              </w:rPr>
              <w:t xml:space="preserve">e specifică</w:t>
            </w:r>
            <w:r>
              <w:tab/>
            </w:r>
            <w:r>
              <w:fldChar w:fldCharType="begin"/>
            </w:r>
            <w:r>
              <w:instrText xml:space="preserve"> PAGEREF _Toc39700255 \h </w:instrText>
            </w:r>
            <w:r/>
            <w:r>
              <w:fldChar w:fldCharType="separate"/>
            </w:r>
            <w:r>
              <w:t xml:space="preserve">54</w:t>
            </w:r>
            <w:r>
              <w:fldChar w:fldCharType="end"/>
            </w:r>
          </w:hyperlink>
        </w:p>
        <w:p>
          <w:pPr>
            <w:pStyle w:val="TOC3"/>
            <w:tabs>
              <w:tab w:val="left" w:pos="1320"/>
              <w:tab w:val="right" w:leader="dot" w:pos="6450"/>
            </w:tabs>
            <w:rPr>
              <w:rStyle w:val="Hyperlink"/>
            </w:rPr>
          </w:pPr>
        </w:p>
        <w:p>
          <w:pPr>
            <w:pStyle w:val="TOC3"/>
            <w:tabs>
              <w:tab w:val="left" w:pos="1320"/>
              <w:tab w:val="right" w:leader="dot" w:pos="6450"/>
            </w:tabs>
            <w:rPr>
              <w:rFonts w:asciiTheme="minorHAnsi" w:hAnsiTheme="minorHAnsi" w:eastAsiaTheme="minorEastAsia" w:cstheme="minorBidi"/>
              <w:bCs w:val="0"/>
              <w:color w:val="auto"/>
              <w:kern w:val="0"/>
              <w:szCs w:val="22"/>
              <w:lang w:val="en-US"/>
            </w:rPr>
          </w:pPr>
          <w:hyperlink w:anchor="_Toc39700256" w:history="1">
            <w:r>
              <w:rPr>
                <w:rStyle w:val="Hyperlink"/>
              </w:rPr>
              <w:t xml:space="preserve">8.</w:t>
            </w:r>
            <w:r>
              <w:rPr>
                <w:rStyle w:val="Hyperlink"/>
              </w:rPr>
              <w:t xml:space="preserve"> </w:t>
            </w:r>
            <w:r>
              <w:rPr>
                <w:rStyle w:val="Hyperlink"/>
              </w:rPr>
              <w:t xml:space="preserve">Apendix</w:t>
            </w:r>
            <w:r>
              <w:rPr>
                <w:rStyle w:val="Hyperlink"/>
              </w:rPr>
              <w:t xml:space="preserve"> 2: p</w:t>
            </w:r>
            <w:r>
              <w:rPr>
                <w:rStyle w:val="Hyperlink"/>
              </w:rPr>
              <w:t xml:space="preserve">aralele între Daniel şi Apocalipsa</w:t>
            </w:r>
            <w:r>
              <w:tab/>
            </w:r>
            <w:r>
              <w:fldChar w:fldCharType="begin"/>
            </w:r>
            <w:r>
              <w:instrText xml:space="preserve"> PAGEREF _Toc39700256 \h </w:instrText>
            </w:r>
            <w:r/>
            <w:r>
              <w:fldChar w:fldCharType="separate"/>
            </w:r>
            <w:r>
              <w:t xml:space="preserve">56</w:t>
            </w:r>
            <w:r>
              <w:fldChar w:fldCharType="end"/>
            </w:r>
          </w:hyperlink>
        </w:p>
        <w:p>
          <w:r>
            <w:rPr>
              <w:b/>
            </w:rPr>
            <w:fldChar w:fldCharType="end"/>
          </w:r>
        </w:p>
      </w:sdtContent>
    </w:sdt>
    <w:p>
      <w:pPr>
        <w:spacing w:line="240" w:lineRule="auto"/>
        <w:ind w:firstLine="0"/>
        <w:jc w:val="left"/>
      </w:pPr>
      <w:r>
        <w:br w:type="page" w:clear="all"/>
      </w:r>
    </w:p>
    <w:p>
      <w:pPr>
        <w:pStyle w:val="TOC1"/>
        <w:tabs>
          <w:tab w:val="right" w:leader="dot" w:pos="6453"/>
        </w:tabs>
      </w:pPr>
    </w:p>
    <w:p>
      <w:pPr>
        <w:pStyle w:val="Heading3"/>
      </w:pPr>
      <w:bookmarkStart w:id="3" w:name="_Toc244745238"/>
      <w:bookmarkStart w:id="4" w:name="_Toc420071013"/>
      <w:bookmarkStart w:id="5" w:name="_Toc39700252"/>
      <w:r>
        <w:t xml:space="preserve">4 Scurt comentariu asupra Apocalipsei</w:t>
      </w:r>
      <w:bookmarkEnd w:id="3"/>
      <w:bookmarkEnd w:id="4"/>
      <w:bookmarkEnd w:id="5"/>
      <w:r>
        <w:t xml:space="preserve"> </w:t>
      </w:r>
    </w:p>
    <w:p/>
    <w:p>
      <w:pPr>
        <w:ind w:firstLine="0"/>
      </w:pPr>
      <w:r>
        <w:t xml:space="preserve">Aşa cum s-a putut observa Apocalipsa se poate împărţi în două mari părţi:</w:t>
      </w:r>
    </w:p>
    <w:p/>
    <w:p>
      <w:pPr>
        <w:pStyle w:val="bloclateral-1"/>
      </w:pPr>
      <w:r>
        <w:rPr>
          <w:b/>
        </w:rPr>
        <w:t xml:space="preserve">1-3, secţiunea epistolară</w:t>
      </w:r>
      <w:r>
        <w:t xml:space="preserve">, </w:t>
      </w:r>
      <w:r>
        <w:t xml:space="preserve">viziunea și mesajele din</w:t>
      </w:r>
      <w:r>
        <w:t xml:space="preserve"> Patmos (Ioan scrie o epistolă în care istoriseşte viziunea despre Isus cel înviat, apoi urmează</w:t>
      </w:r>
      <w:r>
        <w:t xml:space="preserve"> şapte </w:t>
      </w:r>
      <w:r>
        <w:t xml:space="preserve">epistole ale lui Isus către</w:t>
      </w:r>
      <w:r>
        <w:t xml:space="preserve"> şapte </w:t>
      </w:r>
      <w:r>
        <w:t xml:space="preserve">Biserici reprezentative).</w:t>
      </w:r>
    </w:p>
    <w:p>
      <w:pPr>
        <w:pStyle w:val="bloclateral-1"/>
      </w:pPr>
    </w:p>
    <w:p>
      <w:pPr>
        <w:pStyle w:val="bloclateral-1"/>
      </w:pPr>
      <w:r>
        <w:rPr>
          <w:b/>
        </w:rPr>
        <w:t xml:space="preserve">4-22, secţiunea de viziuni,</w:t>
      </w:r>
      <w:r>
        <w:t xml:space="preserve"> </w:t>
      </w:r>
      <w:r>
        <w:t xml:space="preserve">viziunea despre liturghia din Templul ceresc și judecata pământului</w:t>
      </w:r>
      <w:r>
        <w:t xml:space="preserve"> (Ioan este </w:t>
      </w:r>
      <w:r>
        <w:t xml:space="preserve">luat</w:t>
      </w:r>
      <w:r>
        <w:t xml:space="preserve"> în cer şi acolo vede tronul lui Dumnezeu şi Templul ceresc, </w:t>
      </w:r>
      <w:r>
        <w:t xml:space="preserve">iar în timp ce </w:t>
      </w:r>
      <w:r>
        <w:t xml:space="preserve">urmăreşte o slujbă de închinare cerească, </w:t>
      </w:r>
      <w:r>
        <w:t xml:space="preserve">vede și judecata care se abate peste oameni și peste îngeri, pe pământ</w:t>
      </w:r>
      <w:r>
        <w:t xml:space="preserve">).</w:t>
      </w:r>
      <w:r>
        <w:rPr>
          <w:rFonts w:ascii="Calibri" w:hAnsi="Calibri" w:cs="Arial"/>
          <w:lang w:bidi="he-IL"/>
        </w:rPr>
        <w:t xml:space="preserve"> </w:t>
      </w:r>
    </w:p>
    <w:p/>
    <w:p/>
    <w:p>
      <w:pPr>
        <w:pStyle w:val="Heading4"/>
      </w:pPr>
      <w:r>
        <w:t xml:space="preserve">4.1 Secţiunea epistolară: Isus </w:t>
      </w:r>
      <w:r>
        <w:t xml:space="preserve">şi cele şapte</w:t>
      </w:r>
      <w:r>
        <w:t xml:space="preserve"> biserici reprezentative</w:t>
      </w:r>
    </w:p>
    <w:p/>
    <w:p>
      <w:pPr>
        <w:ind w:firstLine="0"/>
      </w:pPr>
      <w:r>
        <w:t xml:space="preserve">Ioan acţionează ca receptor al viziunii şi ca secretar al lui Isus cel înviat </w:t>
      </w:r>
      <w:r>
        <w:t xml:space="preserve">și glorificat, </w:t>
      </w:r>
      <w:r>
        <w:t xml:space="preserve">care îi dictează direct prima parte a lucrării</w:t>
      </w:r>
      <w:r>
        <w:t xml:space="preserve">, adică revelația despre sine și cele șapte mesaje către șapte biserici reprezentative</w:t>
      </w:r>
      <w:r>
        <w:t xml:space="preserve"> (</w:t>
      </w:r>
      <w:r>
        <w:t xml:space="preserve">Apo.</w:t>
      </w:r>
      <w:r>
        <w:t xml:space="preserve">1-3). Localizarea precisă în timp şi spaţiu, precizarea credibilă a autorului,</w:t>
      </w:r>
      <w:r>
        <w:t xml:space="preserve"> precum</w:t>
      </w:r>
      <w:r>
        <w:t xml:space="preserve"> şi prezenţa lui Isus în persoană, în loc de</w:t>
      </w:r>
      <w:r>
        <w:t xml:space="preserve"> prezenţa, de la bun început,</w:t>
      </w:r>
      <w:r>
        <w:t xml:space="preserve"> a unui înger – ca în alte apocalipse, conferă Apocalipsei lui Ioan un aer proaspăt şi credibil, o autenticitate care va fi confirmată de restul mesajului.</w:t>
      </w:r>
    </w:p>
    <w:p>
      <w:r>
        <w:t xml:space="preserve">Prima parte a cărţii este o viziune asupra persoanei glorioase a lui Isus cel înviat, care este prezentat în mod impresionant şi impunător. Isus are o înfăţişare memorabilă (picioare roşii ca arama în cuptor – denotând vigoare şi sănătate, putere; păr ca lâna albă şi faţă albă, mai strălucitoare decât soarele – denotând nobleţe şi regalitate, divinitate; o haină albă şi un brâu galben, de aur – denotând eleganţă şi gust; vocea ca o revărsare de ape mari, iar din gura sa ieşea o sabie cu două tăişuri, cuvântul său – denotând putere şi divinitate). Şi alţi îngeri poartă acest fel de haine, în ceruri (cf. 15.6, cei şapte îngeri purtători de potire; cf. Daniel 6.5).</w:t>
      </w:r>
      <w:r>
        <w:t xml:space="preserve"> </w:t>
      </w:r>
    </w:p>
    <w:p>
      <w:r>
        <w:t xml:space="preserve">În mod caracteristic, aici şi în altă parte în Apocalipsa, Isus este numit Fiul omului, sau Cineva ca un Fiu al omului.</w:t>
      </w:r>
    </w:p>
    <w:p>
      <w:r>
        <w:t xml:space="preserve">Isus cel înviat </w:t>
      </w:r>
      <w:r>
        <w:t xml:space="preserve">în glorie este prezentat</w:t>
      </w:r>
      <w:r>
        <w:t xml:space="preserve"> ca un director executiv care </w:t>
      </w:r>
      <w:r>
        <w:t xml:space="preserve">verifică starea celor şapte Biserici şi le adresează </w:t>
      </w:r>
      <w:r>
        <w:t xml:space="preserve">şapte scrisori </w:t>
      </w:r>
      <w:r>
        <w:t xml:space="preserve">specifice, la care ataşează un mesaj comun, seria de viziuni despre judecata lumii din 4-22.</w:t>
      </w:r>
      <w:r>
        <w:t xml:space="preserve"> El stă în mijlocul acestor Biseric</w:t>
      </w:r>
      <w:r>
        <w:t xml:space="preserve">i (cele şapte sfeşnicie), îi ţine</w:t>
      </w:r>
      <w:r>
        <w:t xml:space="preserve"> în mână pe cei şapte lideri (şapte îngeri, sau mesageri, sau responsabili ai bisericilor) şi </w:t>
      </w:r>
      <w:r>
        <w:t xml:space="preserve">cele</w:t>
      </w:r>
      <w:r>
        <w:t xml:space="preserve"> şapte </w:t>
      </w:r>
      <w:r>
        <w:t xml:space="preserve">scurte </w:t>
      </w:r>
      <w:r>
        <w:t xml:space="preserve">mesaje </w:t>
      </w:r>
      <w:r>
        <w:t xml:space="preserve">au o</w:t>
      </w:r>
      <w:r>
        <w:t xml:space="preserve"> </w:t>
      </w:r>
      <w:r>
        <w:t xml:space="preserve">formă literară </w:t>
      </w:r>
      <w:r>
        <w:t xml:space="preserve">comună</w:t>
      </w:r>
      <w:r>
        <w:t xml:space="preserve">:</w:t>
      </w:r>
    </w:p>
    <w:p/>
    <w:p>
      <w:pPr>
        <w:pStyle w:val="bloclateral-1"/>
        <w:ind w:left="288"/>
      </w:pPr>
      <w:r>
        <w:tab/>
        <w:t xml:space="preserve">Destinatar: îngerului Bisericii din... scrie-i...</w:t>
      </w:r>
    </w:p>
    <w:p>
      <w:pPr>
        <w:pStyle w:val="bloclateral-1"/>
        <w:ind w:left="288"/>
      </w:pPr>
      <w:r>
        <w:tab/>
        <w:t xml:space="preserve">Autor: iată ce spune Cel care... etc.</w:t>
      </w:r>
    </w:p>
    <w:p>
      <w:pPr>
        <w:pStyle w:val="bloclateral-1"/>
        <w:ind w:left="288"/>
      </w:pPr>
      <w:r>
        <w:tab/>
        <w:t xml:space="preserve">Mesaj: </w:t>
      </w:r>
    </w:p>
    <w:p>
      <w:pPr>
        <w:pStyle w:val="bloclateral-1"/>
        <w:ind w:left="288"/>
      </w:pPr>
      <w:r>
        <w:tab/>
      </w:r>
      <w:r>
        <w:tab/>
        <w:t xml:space="preserve">a. Confirmare: Ştiu faptele tale....</w:t>
      </w:r>
    </w:p>
    <w:p>
      <w:pPr>
        <w:pStyle w:val="bloclateral-1"/>
        <w:ind w:left="288"/>
      </w:pPr>
      <w:r>
        <w:tab/>
      </w:r>
      <w:r>
        <w:tab/>
        <w:t xml:space="preserve">b. Mustrare: Dar am ceva împotriva ta...</w:t>
      </w:r>
    </w:p>
    <w:p>
      <w:pPr>
        <w:pStyle w:val="bloclateral-1"/>
        <w:ind w:left="288"/>
      </w:pPr>
      <w:r>
        <w:tab/>
      </w:r>
      <w:r>
        <w:tab/>
        <w:t xml:space="preserve">c. Avertizare: Pocăieşte-te, altfel...</w:t>
      </w:r>
    </w:p>
    <w:p>
      <w:pPr>
        <w:pStyle w:val="bloclateral-1"/>
        <w:ind w:left="288"/>
      </w:pPr>
      <w:r>
        <w:tab/>
      </w:r>
      <w:r>
        <w:tab/>
        <w:t xml:space="preserve">d. Promisiune finală: </w:t>
      </w:r>
    </w:p>
    <w:p>
      <w:pPr>
        <w:pStyle w:val="bloclateral-1"/>
        <w:ind w:left="288"/>
      </w:pPr>
      <w:r>
        <w:tab/>
      </w:r>
      <w:r>
        <w:tab/>
        <w:t xml:space="preserve">Cine are urechi să asculte spune Bisericilor</w:t>
      </w:r>
    </w:p>
    <w:p>
      <w:pPr>
        <w:pStyle w:val="bloclateral-1"/>
        <w:ind w:left="288"/>
      </w:pPr>
      <w:r>
        <w:tab/>
      </w:r>
      <w:r>
        <w:tab/>
        <w:t xml:space="preserve">Duhul: celui ce va birui</w:t>
      </w:r>
      <w:r>
        <w:t xml:space="preserve"> etc.</w:t>
      </w:r>
      <w:r>
        <w:t xml:space="preserve"> </w:t>
      </w:r>
    </w:p>
    <w:p/>
    <w:p/>
    <w:p>
      <w:r>
        <w:rPr>
          <w:lang w:val="en-US"/>
        </w:rPr>
        <mc:AlternateContent>
          <mc:Choice Requires="wpg">
            <w:drawing>
              <wp:inline xmlns:wp="http://schemas.openxmlformats.org/drawingml/2006/wordprocessingDrawing" distT="0" distB="0" distL="0" distR="0">
                <wp:extent cx="3955415" cy="2637155"/>
                <wp:effectExtent l="19050" t="19050" r="26034" b="1079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r/>
                      </pic:nvPicPr>
                      <pic:blipFill>
                        <a:blip r:embed="rId13"/>
                        <a:srcRect/>
                        <a:stretch>
                          <a:fillRect/>
                        </a:stretch>
                      </pic:blipFill>
                      <pic:spPr bwMode="auto">
                        <a:xfrm>
                          <a:off x="0" y="0"/>
                          <a:ext cx="3955415" cy="2637155"/>
                        </a:xfrm>
                        <a:prstGeom prst="rect">
                          <a:avLst/>
                        </a:prstGeom>
                        <a:noFill/>
                        <a:ln w="3175">
                          <a:solidFill>
                            <a:schemeClr val="tx1"/>
                          </a:solid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311.45pt;height:207.65pt;mso-wrap-distance-left:0.00pt;mso-wrap-distance-top:0.00pt;mso-wrap-distance-right:0.00pt;mso-wrap-distance-bottom:0.00pt;z-index:1;" strokecolor="#000000" strokeweight="0.25pt">
                <v:imagedata r:id="rId13" o:title=""/>
                <o:lock v:ext="edit" rotation="t"/>
              </v:shape>
            </w:pict>
          </mc:Fallback>
        </mc:AlternateContent>
      </w:r>
    </w:p>
    <w:p/>
    <w:p>
      <w:r>
        <w:t xml:space="preserve">Aşa cum se observă din forma standard a acestor scurte scrisori, Isus le dictează avându-l drept co-autor pe Duhul Sfânt. Autoritatea lui include autoritatea Duhului Sfânt, de fapt, autoritatea divină a întregii Sfinte Treimi. </w:t>
      </w:r>
    </w:p>
    <w:p>
      <w:r>
        <w:t xml:space="preserve">De la început, prezentarea lui Isus are conotaţii mesianice şi divine. El foloseşte titluri cum sunt: Cel care ţine în mâna dreaptă cele şapte stele, Cel care umblă în mijlocul celor şapte sfeşnice de aur; Cel dintâi şi Cel de pe urmă, Cel ce a murit şi a înviat; Cel ce are sabia ascuţită cu două tăişuri; Fiul lui Dumnezeu, Cel ce are ochii ca para focului, iar picioarele asemenea aramei; Cel care are cele şapte duhuri ale lui Dumnezeu şi cele şapte stele; Cel Sfânt, Cel Adevărat, Cel ce are cheia lui David, Cel care deschide şi nimeni nu închide şi Cel care închide şi nimeni nu deschide; Cel ce este Amin, martorul credincios şi adevărat, începutul (sau: „conducătorul”) creaţiei lui Dumnezeu. Se observă că prezentarea lui Isus în aceste scrisori scurte este congruentă cu viziunea iniţială a lui Ioan despre Isus cel înviat, de la detaliile exterioare la trăsăturile şi caracteristicile sufleteşti. Pe parcursul cărţii Apocalipsa se observă cum, în mod progresiv, lui Isus i se atribuie tot mai multe trăsături divine, astfel încât, în final, el este alfa şi omega, începutul şi sfârşitul (22:13), în vreme ce la început Dumnezeu Tatăl era alfa şi omega, începutul şi sfârşitul (1:8).</w:t>
      </w:r>
    </w:p>
    <w:p>
      <w:pPr>
        <w:rPr>
          <w:color w:val="auto"/>
        </w:rPr>
      </w:pPr>
      <w:r>
        <w:t xml:space="preserve">Dacă începutul scrisorilor ni-l prezintă pe Mântuitor, finalul lor arată răsplătirile divine pentru cel credincios şi felul în care este restaurat omul, prin comparaţie cu căderea sa în cartea Geneza. Astfel, s</w:t>
      </w:r>
      <w:r>
        <w:rPr>
          <w:color w:val="auto"/>
        </w:rPr>
        <w:t xml:space="preserve">e observă că oamenii care au credinţă şi ies învingători prin credinţa lor primesc ceea ce li s-a interzis în Eden, în urma păcătuirii: libertatea de a se hrăni cu rodul pomului vieţii; ei nu vor fi vătămaţi de a doua moarte (care urmează judecăţii finale, şi care aduce ca pedeapsă iadul); ei primesc un nume nou, o identitate pe care o ştie doar Dumnezeu; ei primesc o hrană specială de la Dumnezeu (mana ascunsă; aşa cum şi Israel a fost hrănit cu mană în pustie); ei primesc autoritate peste neamuri şi peste îngeri (toiag de fier şi stăpânire); numele lor este mărturisit de Isus în faţa tuturor îngerilor, în faţa lui Dumnezeu; ei devin, în sens spiritual, nişte stâlpi glorioşi, de încredere, maiestuoşi, în Templul etern al lui Dumnezeu – şi pe ei va fi înscris Numele lui Dumnezeu, al lui Isus şi al cetăţii eterne, Ierusalimul ceresc (aceste trei nume, dimpreună cu numele secret, definesc identitatea omului credincios); ei vor sta pe scaunul de domnie al lui Hristos, împreună cu Hristos, cu Dumnezeu. Răsplătirile par să alcătuiască, pe ansamblu, suma totală a răsplătirilor celor credincioşi, din toate timpurile (deci nu aparţin doar credincioşilor din anumite perioade, cum s-ar putea interpreta în urma unei abordări dispensaţionaliste).</w:t>
      </w:r>
    </w:p>
    <w:p>
      <w:r>
        <w:t xml:space="preserve">Din cele</w:t>
      </w:r>
      <w:r>
        <w:t xml:space="preserve"> şapte </w:t>
      </w:r>
      <w:r>
        <w:t xml:space="preserve">biserici amintite în </w:t>
      </w:r>
      <w:r>
        <w:t xml:space="preserve">Apocalipsa </w:t>
      </w:r>
      <w:r>
        <w:t xml:space="preserve">2-3, doar două au primit scrisori de la apostoli şi doar una din scrisori ne este păstrată în NT (Efes şi Laodiceea; Epistola către efeseni). În rest, Isus dictează aceste scrisori unor Biserici relativ mici, despre care nu se cunosc multe. Este interesant de observat că lipsesc Biserici mari cum ar fi cele din Roma, Corint, Tesalonic, Filipi, Ierusalim, Antiohia. Isus se foloseşte în mod intenţionat de Biserici relativ mici ca să ilustreze problemele generale ale tuturor Bisericilor. S-ar putea spune, totuşi, că există o anumită relaţie între aceste Biserici: Biserica din Efes este, probabil, Biserica mamă, deci, ele se află într-o relaţie de continuitate, de legătură istorică, spirituală.</w:t>
      </w:r>
      <w:r>
        <w:t xml:space="preserve"> </w:t>
      </w:r>
    </w:p>
    <w:p>
      <w:r>
        <w:t xml:space="preserve">Mai există câteva legături notabile: seria de şapte mesaje are un anumit paralelism intern </w:t>
      </w:r>
      <w:r>
        <w:t xml:space="preserve">de tip </w:t>
      </w:r>
      <w:r>
        <w:t xml:space="preserve">ABC</w:t>
      </w:r>
      <w:r>
        <w:t xml:space="preserve">D</w:t>
      </w:r>
      <w:r>
        <w:t xml:space="preserve">C’</w:t>
      </w:r>
      <w:r>
        <w:t xml:space="preserve">B’A’</w:t>
      </w:r>
      <w:r>
        <w:t xml:space="preserve"> (de exemplu, bisericile din Smirna (2) şi </w:t>
      </w:r>
      <w:r>
        <w:t xml:space="preserve">Filadelfia (</w:t>
      </w:r>
      <w:r>
        <w:t xml:space="preserve">6</w:t>
      </w:r>
      <w:r>
        <w:t xml:space="preserve">)</w:t>
      </w:r>
      <w:r>
        <w:t xml:space="preserve"> sunt slabe şi totuşi puternice,</w:t>
      </w:r>
      <w:r>
        <w:t xml:space="preserve"> cea din Efes (1) şi Laodicea (7) au faimă bună, dar au nevoie de pocăinţă (la fel, însă şi cea din Sardes, a cincea); în acelaşi timp, Bisericile din Pergam (3) şi Tiatira (4) sunt încercate de imoralitate şi idolatrie, etc.</w:t>
      </w:r>
    </w:p>
    <w:p>
      <w:r>
        <w:t xml:space="preserve">Într-un fel, seria de şapte mesaje către cele şapte Biserici reprezintă şi </w:t>
      </w:r>
      <w:r>
        <w:t xml:space="preserve">o primă serie de şapte judecăţi,</w:t>
      </w:r>
      <w:r>
        <w:t xml:space="preserve"> anume de judecăţi ale creştinilor, în vederea răsplătirii, în timp ce celelalte serii de câte şapte judecăţi (peceţi, trâmbiţe şi potire) sunt judecăţi </w:t>
      </w:r>
      <w:r>
        <w:t xml:space="preserve">ale pedepsei</w:t>
      </w:r>
      <w:r>
        <w:t xml:space="preserve">, fără </w:t>
      </w:r>
      <w:r>
        <w:t xml:space="preserve">mesaj de pocăinţă şi răsplătire</w:t>
      </w:r>
      <w:r>
        <w:t xml:space="preserve">,</w:t>
      </w:r>
      <w:r>
        <w:t xml:space="preserve"> şi nu sunt adresate creştinilor.</w:t>
      </w:r>
    </w:p>
    <w:p/>
    <w:p>
      <w:pPr>
        <w:pStyle w:val="Heading5"/>
      </w:pPr>
      <w:r>
        <w:t xml:space="preserve">1. Efes, </w:t>
      </w:r>
      <w:r>
        <w:t xml:space="preserve">Biserica dezvoltată </w:t>
      </w:r>
      <w:r>
        <w:t xml:space="preserve">şi activă, dar fără dragoste, </w:t>
      </w:r>
      <w:r>
        <w:t xml:space="preserve">2:1-7</w:t>
      </w:r>
    </w:p>
    <w:p>
      <w:pPr>
        <w:pStyle w:val="normal11"/>
      </w:pPr>
    </w:p>
    <w:p>
      <w:pPr>
        <w:pStyle w:val="normal11"/>
        <w:ind w:firstLine="0"/>
      </w:pPr>
      <w:r>
        <w:t xml:space="preserve">Isus se prezintă drept conducător al sfeşnicelor şi avertizează această Biserică de primejdia de a i se lua sfeşnicul, dacă nu se pocăieşte. </w:t>
      </w:r>
      <w:r>
        <w:t xml:space="preserve">Deşi are merite clare (fapte, efort, perseverenţă, corectitudine în învăţătură, distingerea duhurilor, curăţie în persecuţie, respingerea ierarhiei şi dictaturii religioase întruchipate de nicolaiţi), Biserica aceasta este mustrată </w:t>
      </w:r>
      <w:r>
        <w:t xml:space="preserve">că îi lipseşte dragostea dintâi. O biserică perfectă teologic, dar lipsită de dragoste pentru Dumnezeu şi oameni, începe să semene a instituţie antihristică, şi se află în primejdie să fie desfiinţată. Pentru cei ce vor birui acest neajuns, răsplata este accesul la pomul vieţii, din paradisul lui Dumnezeu.</w:t>
      </w:r>
    </w:p>
    <w:p>
      <w:pPr>
        <w:pStyle w:val="normal11"/>
      </w:pPr>
    </w:p>
    <w:p>
      <w:pPr>
        <w:pStyle w:val="Heading5"/>
      </w:pPr>
      <w:r>
        <w:t xml:space="preserve">2. Smirna, </w:t>
      </w:r>
      <w:r>
        <w:t xml:space="preserve">Biserica bogată, deşi săracă</w:t>
      </w:r>
      <w:r>
        <w:t xml:space="preserve"> şi batjocorită</w:t>
      </w:r>
      <w:r>
        <w:t xml:space="preserve">, </w:t>
      </w:r>
      <w:r>
        <w:t xml:space="preserve">2:8-11</w:t>
      </w:r>
    </w:p>
    <w:p>
      <w:pPr>
        <w:pStyle w:val="normal11"/>
        <w:ind w:firstLine="0"/>
      </w:pPr>
    </w:p>
    <w:p>
      <w:pPr>
        <w:pStyle w:val="normal11"/>
        <w:ind w:firstLine="0"/>
      </w:pPr>
      <w:r>
        <w:t xml:space="preserve">Isus se prezintă cu caracteristici mesianice umane, </w:t>
      </w:r>
      <w:r>
        <w:t xml:space="preserve">glorificate, posibil şi divine:</w:t>
      </w:r>
      <w:r>
        <w:t xml:space="preserve"> Primul şi Ultimul (cel din Urmă), Cel ce a fost mort şi a înviat. </w:t>
      </w:r>
      <w:r>
        <w:t xml:space="preserve">Ca </w:t>
      </w:r>
      <w:r>
        <w:t xml:space="preserve">urmare a titlurilor,</w:t>
      </w:r>
      <w:r>
        <w:t xml:space="preserve"> şi răsplata sa ţine de viaţă: cel credincios până la moarte va primi cununa de învingător</w:t>
      </w:r>
      <w:r>
        <w:t xml:space="preserve">, cununa</w:t>
      </w:r>
      <w:r>
        <w:t xml:space="preserve"> vieţii, şi nu va fi afectat de puterea morţii a doua, adică nu va avea parte de judecata aruncării în iad. Isus cunoaşte şi necazul şi sărăcia acestei Biserici, este aspru faţă de iudeii care o batjocoresc (îi numeşte „o sinagogă a Satanei”) şi deşi anunţă un necaz destul de serios (zece zile, ceva puternic şi de durată), îi încurajează să fie credincioşi până la moarte. Suferinţa şi persecuţia sunt provocate de Diavolul, dar rezistenţa şi răsplătirea vin de la Domnul.</w:t>
      </w:r>
    </w:p>
    <w:p>
      <w:pPr>
        <w:pStyle w:val="normal11"/>
      </w:pPr>
    </w:p>
    <w:p>
      <w:pPr>
        <w:pStyle w:val="Heading5"/>
      </w:pPr>
      <w:r>
        <w:t xml:space="preserve">3. Pergam, </w:t>
      </w:r>
      <w:r>
        <w:t xml:space="preserve">Biserica încercată de i</w:t>
      </w:r>
      <w:r>
        <w:t xml:space="preserve">dolatrie</w:t>
      </w:r>
      <w:r>
        <w:t xml:space="preserve">, </w:t>
      </w:r>
      <w:r>
        <w:t xml:space="preserve">2:12-17</w:t>
      </w:r>
    </w:p>
    <w:p>
      <w:pPr>
        <w:pStyle w:val="normal11"/>
        <w:ind w:firstLine="0"/>
      </w:pPr>
    </w:p>
    <w:p>
      <w:pPr>
        <w:pStyle w:val="normal11"/>
        <w:ind w:firstLine="0"/>
      </w:pPr>
      <w:r>
        <w:t xml:space="preserve">Isus se prezintă ca un războinic, cu</w:t>
      </w:r>
      <w:r>
        <w:t xml:space="preserve"> o sabie ascuţită cu tăiş dublu, nimicitoare. De aceea şi pedeapsa pe care o va da, în caz de nepocăinţă, va fi o pedeapsă a nimicirii prin război.</w:t>
      </w:r>
      <w:r>
        <w:t xml:space="preserve"> Problema Bisericii din Pergam este că, deşi îşi trăieşte viaţa în condiţii grele, dar </w:t>
      </w:r>
      <w:r>
        <w:t xml:space="preserve">cu </w:t>
      </w:r>
      <w:r>
        <w:t xml:space="preserve">birui</w:t>
      </w:r>
      <w:r>
        <w:t xml:space="preserve">nţă </w:t>
      </w:r>
      <w:r>
        <w:t xml:space="preserve">(acolo este locuinţa şi domnia Satanei, creştinii sunt daţi morţii,  </w:t>
      </w:r>
      <w:r>
        <w:t xml:space="preserve">dar </w:t>
      </w:r>
      <w:r>
        <w:t xml:space="preserve">ei rezistă cu credinţă şi onoare), biruinţa </w:t>
      </w:r>
      <w:r>
        <w:t xml:space="preserve">aceasta </w:t>
      </w:r>
      <w:r>
        <w:t xml:space="preserve">este amestecată cu cedare faţă de imoralitate</w:t>
      </w:r>
      <w:r>
        <w:t xml:space="preserve"> şi idolatrie </w:t>
      </w:r>
      <w:r>
        <w:t xml:space="preserve">(învăţători ca Balaam) </w:t>
      </w:r>
      <w:r>
        <w:t xml:space="preserve">şi dictatură religioasă</w:t>
      </w:r>
      <w:r>
        <w:t xml:space="preserve"> (creştini nicolaiţi)</w:t>
      </w:r>
      <w:r>
        <w:t xml:space="preserve">. Celor biruitori în această ispitire, care se pocăiesc, Isus le dă din hrana misterioasă a manei ascunse şi le va dărui o piatră rară, albă, ca semn al identităţii lor înnoite în Hristos. Dacă ştii cine eşti şi că îi aparţii lui Hristos, </w:t>
      </w:r>
      <w:r>
        <w:t xml:space="preserve">vei avea putere să rezişti imoralităţii.</w:t>
      </w:r>
    </w:p>
    <w:p>
      <w:pPr>
        <w:pStyle w:val="normal11"/>
      </w:pPr>
    </w:p>
    <w:p>
      <w:pPr>
        <w:pStyle w:val="Heading5"/>
      </w:pPr>
      <w:r>
        <w:t xml:space="preserve">4. Tiatira, </w:t>
      </w:r>
      <w:r>
        <w:t xml:space="preserve">Biserica încercată de imoralitate, </w:t>
      </w:r>
      <w:r>
        <w:t xml:space="preserve">2:18-29</w:t>
      </w:r>
    </w:p>
    <w:p>
      <w:pPr>
        <w:pStyle w:val="normal11"/>
      </w:pPr>
    </w:p>
    <w:p>
      <w:pPr>
        <w:pStyle w:val="normal11"/>
        <w:ind w:firstLine="0"/>
      </w:pPr>
      <w:r>
        <w:t xml:space="preserve">Isus se prezintă în formă d</w:t>
      </w:r>
      <w:r>
        <w:t xml:space="preserve">e om glorificat, de Domn înviat şi ca Dumnezeu care verifică „rinichii şi inima”, adică </w:t>
      </w:r>
      <w:r>
        <w:t xml:space="preserve">acțiunea și gândurile, sau faptele și motivațiile, sentimentele</w:t>
      </w:r>
      <w:r>
        <w:t xml:space="preserve">.</w:t>
      </w:r>
      <w:r>
        <w:t xml:space="preserve"> </w:t>
      </w:r>
      <w:r>
        <w:t xml:space="preserve">Ca atare, şi răsplătirile sale vor avea forma unei domnii </w:t>
      </w:r>
      <w:r>
        <w:t xml:space="preserve">autoritare</w:t>
      </w:r>
      <w:r>
        <w:t xml:space="preserve"> asupra neamurilor păcătoase şi asupra universului. </w:t>
      </w:r>
      <w:r>
        <w:t xml:space="preserve">Deşi biserica din Tia</w:t>
      </w:r>
      <w:r>
        <w:t xml:space="preserve">ti</w:t>
      </w:r>
      <w:r>
        <w:t xml:space="preserve">ra are fapte bune, credinţă, lucrare, perseverenţă – şi semne </w:t>
      </w:r>
      <w:r>
        <w:t xml:space="preserve">de progres spiritual continuu – iar Isus le cunoaşte, </w:t>
      </w:r>
      <w:r>
        <w:t xml:space="preserve">ea</w:t>
      </w:r>
      <w:r>
        <w:t xml:space="preserve"> are învăţători falşi</w:t>
      </w:r>
      <w:r>
        <w:t xml:space="preserve"> care îndeamnă la imoralitate </w:t>
      </w:r>
      <w:r>
        <w:t xml:space="preserve">şi idolatrie </w:t>
      </w:r>
      <w:r>
        <w:t xml:space="preserve">(ca Izabela</w:t>
      </w:r>
      <w:r>
        <w:t xml:space="preserve">; asemănător cu situaţia Bisericii din Smirna</w:t>
      </w:r>
      <w:r>
        <w:t xml:space="preserve">), </w:t>
      </w:r>
      <w:r>
        <w:t xml:space="preserve">şi recomandă experienţe </w:t>
      </w:r>
      <w:r>
        <w:t xml:space="preserve">extreme</w:t>
      </w:r>
      <w:r>
        <w:t xml:space="preserve">, păgâne,</w:t>
      </w:r>
      <w:r>
        <w:t xml:space="preserve"> numite </w:t>
      </w:r>
      <w:r>
        <w:t xml:space="preserve">„adâncimi ale Satanei”. Isus promite că va cerceta faptele tuturor şi îi va pedepsi cu moartea pe cei vinovaţi. </w:t>
      </w:r>
      <w:r>
        <w:t xml:space="preserve">Ca poruncă, le spune să păzească ce au primit, fără alte îndatoriri suplimentare, şi ca răsplată, le va da autoritate (toiag de fier) </w:t>
      </w:r>
      <w:r>
        <w:t xml:space="preserve">peste neamurile păgâne </w:t>
      </w:r>
      <w:r>
        <w:t xml:space="preserve">şi stăpânirea cosmică</w:t>
      </w:r>
      <w:r>
        <w:t xml:space="preserve"> peste rău (luceafărul de dimin</w:t>
      </w:r>
      <w:r>
        <w:t xml:space="preserve">eaţă). </w:t>
      </w:r>
    </w:p>
    <w:p>
      <w:pPr>
        <w:pStyle w:val="normal11"/>
        <w:ind w:firstLine="0"/>
      </w:pPr>
      <w:bookmarkStart w:id="6" w:name="3"/>
      <w:bookmarkEnd w:id="6"/>
    </w:p>
    <w:p>
      <w:pPr>
        <w:pStyle w:val="Heading5"/>
      </w:pPr>
      <w:r>
        <w:t xml:space="preserve">5. Sardes, </w:t>
      </w:r>
      <w:r>
        <w:t xml:space="preserve">Biserica faimei supra-dimensionate, </w:t>
      </w:r>
      <w:r>
        <w:t xml:space="preserve">3:1-6</w:t>
      </w:r>
    </w:p>
    <w:p>
      <w:pPr>
        <w:pStyle w:val="normal11"/>
      </w:pPr>
    </w:p>
    <w:p>
      <w:pPr>
        <w:pStyle w:val="normal11"/>
        <w:ind w:firstLine="0"/>
      </w:pPr>
      <w:r>
        <w:t xml:space="preserve">În mod asemănător cu prezentarea faţă de Biserica din Efes,</w:t>
      </w:r>
      <w:r>
        <w:t xml:space="preserve"> şi faţă de Biserica din Sardes, Isus se prezintă drept </w:t>
      </w:r>
      <w:r>
        <w:t xml:space="preserve">mesia divin, drept </w:t>
      </w:r>
      <w:r>
        <w:t xml:space="preserve">Cel ce are conducerea îngerilor Bisericilor (ţine cele şapte stele) şi care deţine autoritatea în lucrarea divină pe pământ (</w:t>
      </w:r>
      <w:r>
        <w:t xml:space="preserve">are </w:t>
      </w:r>
      <w:r>
        <w:t xml:space="preserve">cele şapte Duhuri ale lui Dumnezeu).</w:t>
      </w:r>
      <w:r>
        <w:t xml:space="preserve"> Ca atare, el promite că toţi cei curaţi</w:t>
      </w:r>
      <w:r>
        <w:t xml:space="preserve">, care nu şi-au mânjit mărturia şi viaţa,</w:t>
      </w:r>
      <w:r>
        <w:t xml:space="preserve"> vor umbla în ceruri cu el, în haine albe, că numele lor nu va fi şters din Cartea vieţii, ci va fi mărturisit înaintea Tatălui şi înaintea îngerilor. </w:t>
      </w:r>
    </w:p>
    <w:p>
      <w:pPr>
        <w:pStyle w:val="normal11"/>
      </w:pPr>
      <w:r>
        <w:t xml:space="preserve">Problema profundă a acestei Biserici este faima falsă, pare că trăieşte, dar este pe moarte. Porunca pentru ea este să întărească rămăşiţa vie şi să vegheze, altfel venirea Domnului şi a judecăţii lui va fi o surpriză neplăcută.</w:t>
      </w:r>
    </w:p>
    <w:p>
      <w:pPr>
        <w:pStyle w:val="normal11"/>
      </w:pPr>
    </w:p>
    <w:p>
      <w:pPr>
        <w:pStyle w:val="Heading5"/>
      </w:pPr>
      <w:r>
        <w:t xml:space="preserve">6. Filadelfia, </w:t>
      </w:r>
      <w:r>
        <w:t xml:space="preserve">Biserica slabă, dar puternică, </w:t>
      </w:r>
      <w:r>
        <w:t xml:space="preserve">3:7-13</w:t>
      </w:r>
    </w:p>
    <w:p>
      <w:pPr>
        <w:pStyle w:val="normal11"/>
      </w:pPr>
    </w:p>
    <w:p>
      <w:pPr>
        <w:pStyle w:val="normal11"/>
        <w:ind w:firstLine="0"/>
      </w:pPr>
      <w:r>
        <w:t xml:space="preserve">Către </w:t>
      </w:r>
      <w:r>
        <w:t xml:space="preserve">Biseri</w:t>
      </w:r>
      <w:r>
        <w:t xml:space="preserve">ca din Filadefia Mântuitorul Isus se prezintă cu o imagine deosebit de nobilă și plină de autoritate</w:t>
      </w:r>
      <w:r>
        <w:t xml:space="preserve">, </w:t>
      </w:r>
      <w:r>
        <w:t xml:space="preserve">ca M</w:t>
      </w:r>
      <w:r>
        <w:t xml:space="preserve">esia divin: </w:t>
      </w:r>
      <w:r>
        <w:t xml:space="preserve">Cel </w:t>
      </w:r>
      <w:r>
        <w:t xml:space="preserve">Sfânt, Adevărat, </w:t>
      </w:r>
      <w:r>
        <w:t xml:space="preserve">Cel ce posedă cheia lui David, C</w:t>
      </w:r>
      <w:r>
        <w:t xml:space="preserve">el ce închide şi deschide </w:t>
      </w:r>
      <w:r>
        <w:t xml:space="preserve">în mod </w:t>
      </w:r>
      <w:r>
        <w:t xml:space="preserve">definitiv, </w:t>
      </w:r>
      <w:r>
        <w:t xml:space="preserve">fără drept de </w:t>
      </w:r>
      <w:r>
        <w:t xml:space="preserve">apel</w:t>
      </w:r>
      <w:r>
        <w:t xml:space="preserve">. De aceea, </w:t>
      </w:r>
      <w:r>
        <w:t xml:space="preserve">Isus promite celui biruitor şi drept păzitor al credinţei, în răbdare, că îl va păzi</w:t>
      </w:r>
      <w:r>
        <w:t xml:space="preserve"> și el</w:t>
      </w:r>
      <w:r>
        <w:t xml:space="preserve"> de încercarea ce va veni asupra lumii întregi, că îl va face un stâlp de laudă în templul spiritual al Domnului, şi îi va da o identitate sfântă, legată de </w:t>
      </w:r>
      <w:r>
        <w:t xml:space="preserve">numele lui Dumnezeu, </w:t>
      </w:r>
      <w:r>
        <w:t xml:space="preserve">de numele şi </w:t>
      </w:r>
      <w:r>
        <w:t xml:space="preserve">destinul Noului Ierusalim, </w:t>
      </w:r>
      <w:r>
        <w:t xml:space="preserve">adică al noii umanităţi salvate, şi de numele nou al lui Isus (ceea ce înseamnă că, în viitor, el va fi şi se va dezvălui cu identitatea unui conducător glorios, fără egal, despre care, în prezent, ştim foarte puţin – sau nimic).</w:t>
      </w:r>
      <w:r>
        <w:t xml:space="preserve"> </w:t>
      </w:r>
    </w:p>
    <w:p>
      <w:pPr>
        <w:pStyle w:val="normal11"/>
      </w:pPr>
      <w:r>
        <w:t xml:space="preserve">Biserica aceasta are o mărturie tare, deşi este slabă, şi suferă şi ea, la fel ca Biserica din Smirna, de bajocurile</w:t>
      </w:r>
      <w:r>
        <w:t xml:space="preserve"> iudeilor din Biserica Satanei. Isus îi pune înainte o uşă de oportunitate pe care nimeni nu o poate închide şi, în dragostea lui, îi promite că lumea va şti că îi iubeşte pe cei din Filadelfia (iubire de fraţi), prin faptul că îi va sili pe prigonitori să vină şi să se închine la picioarele celor credincioşi.</w:t>
      </w:r>
    </w:p>
    <w:p>
      <w:pPr>
        <w:pStyle w:val="normal11"/>
      </w:pPr>
    </w:p>
    <w:p>
      <w:pPr>
        <w:pStyle w:val="Heading5"/>
      </w:pPr>
      <w:r>
        <w:t xml:space="preserve">7. Laodicea, </w:t>
      </w:r>
      <w:r>
        <w:t xml:space="preserve">o Biseric</w:t>
      </w:r>
      <w:r>
        <w:t xml:space="preserve">ă </w:t>
      </w:r>
      <w:r>
        <w:t xml:space="preserve">în nevoie de </w:t>
      </w:r>
      <w:r>
        <w:t xml:space="preserve">tratament, </w:t>
      </w:r>
      <w:r>
        <w:t xml:space="preserve">3:14-22</w:t>
      </w:r>
    </w:p>
    <w:p>
      <w:pPr>
        <w:pStyle w:val="normal11"/>
        <w:ind w:firstLine="0"/>
      </w:pPr>
    </w:p>
    <w:p>
      <w:pPr>
        <w:pStyle w:val="normal11"/>
        <w:ind w:firstLine="0"/>
      </w:pPr>
      <w:r>
        <w:t xml:space="preserve">Una din cele mai frumoase prezentări ale lui Isus este cea către a şaptea Biserică, cea din Laodicea: </w:t>
      </w:r>
      <w:r>
        <w:t xml:space="preserve">el este Amin, Martorul </w:t>
      </w:r>
      <w:r>
        <w:t xml:space="preserve">cel </w:t>
      </w:r>
      <w:r>
        <w:t xml:space="preserve">credincios şi </w:t>
      </w:r>
      <w:r>
        <w:t xml:space="preserve">cel </w:t>
      </w:r>
      <w:r>
        <w:t xml:space="preserve">adevărat, Începutul creaţiei lui Dumnezeu. </w:t>
      </w:r>
      <w:r>
        <w:t xml:space="preserve">Expresia „începutul creaţiei lui Dumnezeu” nu înseamnă că Isus este parte din creaţie</w:t>
      </w:r>
      <w:r>
        <w:t xml:space="preserve">, ori că a fost creat</w:t>
      </w:r>
      <w:r>
        <w:t xml:space="preserve">, ci că </w:t>
      </w:r>
      <w:r>
        <w:t xml:space="preserve">el </w:t>
      </w:r>
      <w:r>
        <w:t xml:space="preserve">a început creaţia lui Dumnezeu</w:t>
      </w:r>
      <w:r>
        <w:t xml:space="preserve">, </w:t>
      </w:r>
      <w:r>
        <w:t xml:space="preserve">ca logos divin (ca Dumnezeu în</w:t>
      </w:r>
      <w:r>
        <w:t xml:space="preserve">trupat, el a intrat în creaţie</w:t>
      </w:r>
      <w:r>
        <w:t xml:space="preserve">, ca om, dar aşa cum spune crezul „este născut, iar nu creat”</w:t>
      </w:r>
      <w:r>
        <w:t xml:space="preserve">). </w:t>
      </w:r>
      <w:r>
        <w:t xml:space="preserve">Ca astfel de lider, </w:t>
      </w:r>
      <w:r>
        <w:t xml:space="preserve">Isus cere zel şi cere să fie primit la uşa ascultării vieţii şi a credinţei: cine îi deschide, va deveni prietenul său, vor sta la masă şi vor cina împreună (un mod oriental de a descrie prietenia). </w:t>
      </w:r>
      <w:r>
        <w:t xml:space="preserve">De asemenea, </w:t>
      </w:r>
      <w:r>
        <w:t xml:space="preserve">Isus îi va da biruitorului dreptul de a sta pe tronul împărătesc, împreună cu el şi împreună cu Tatăl din ceruri. </w:t>
      </w:r>
    </w:p>
    <w:p>
      <w:pPr>
        <w:pStyle w:val="normal11"/>
      </w:pPr>
      <w:r>
        <w:t xml:space="preserve">Defectele Bisericii din Laodicea</w:t>
      </w:r>
      <w:r>
        <w:t xml:space="preserve">, o biserică</w:t>
      </w:r>
      <w:r>
        <w:t xml:space="preserve"> așezată într-o cetate care era o însemnată</w:t>
      </w:r>
      <w:r>
        <w:t xml:space="preserve"> staţiune balneară,</w:t>
      </w:r>
      <w:r>
        <w:t xml:space="preserve"> includ faptul că</w:t>
      </w:r>
      <w:r>
        <w:t xml:space="preserve"> a ajuns</w:t>
      </w:r>
      <w:r>
        <w:t xml:space="preserve"> o biserică închipuită, </w:t>
      </w:r>
      <w:r>
        <w:t xml:space="preserve">care se crede</w:t>
      </w:r>
      <w:r>
        <w:t xml:space="preserve">a</w:t>
      </w:r>
      <w:r>
        <w:t xml:space="preserve"> mult mai bună decât </w:t>
      </w:r>
      <w:r>
        <w:t xml:space="preserve">era</w:t>
      </w:r>
      <w:r>
        <w:t xml:space="preserve"> în realitate (imagine falsă şi mândrie, ca Biserica din Sardes)</w:t>
      </w:r>
      <w:r>
        <w:t xml:space="preserve">. Ea se crede bogată, sănătoasă şi eficientă, dar, în fapt este nefolositoare, bolnavă şi săracă. Remediul este medicamentul oferit de Isus: aur curat – pentru bogăţie, haine albe – pentru sărăcie şi ruşine, unguent pentru ochii minţii şi ai credinţei – pentru  sănătate spirituală. În mod cuceritor, Isus îi spune acestei Biserici că o iubeşte şi că o va disciplina, dar nu o ameninţă, ci o îndeamnă la pocăinţă.</w:t>
      </w:r>
    </w:p>
    <w:p/>
    <w:p>
      <w:pPr>
        <w:pStyle w:val="Heading4"/>
      </w:pPr>
      <w:r>
        <w:t xml:space="preserve">4.2 Viziunile judecăţii omenirii</w:t>
      </w:r>
    </w:p>
    <w:p/>
    <w:p>
      <w:pPr>
        <w:ind w:firstLine="0"/>
      </w:pPr>
      <w:r>
        <w:t xml:space="preserve">Până aici, Apocalipsa a inclus o întâlnire a lui Ioan cu Isus cel înviat, pe insula Patmos, şi şapte mesaje către şapte Biserici principale, reprezentative. În </w:t>
      </w:r>
      <w:r>
        <w:t xml:space="preserve">capitolele 4-22</w:t>
      </w:r>
      <w:r>
        <w:t xml:space="preserve"> avem, mai departe, o serie de viziuni asupra judecării şi sfârşitului lumii, ca şi despre instaurarea unui nou univers, fără păcat, care ar putea fi descrise ca un material ataşat, în comun, tuturor celor şapte mesaje amintite (şapte emailuri către şapte Biserici, cu material ataşat în comun).</w:t>
      </w:r>
    </w:p>
    <w:p>
      <w:pPr>
        <w:rPr>
          <w:rStyle w:val="apple-style-span"/>
        </w:rPr>
      </w:pPr>
      <w:r>
        <w:t xml:space="preserve">Acest material special</w:t>
      </w:r>
      <w:r>
        <w:t xml:space="preserve"> cuprind</w:t>
      </w:r>
      <w:r>
        <w:t xml:space="preserve">e</w:t>
      </w:r>
      <w:r>
        <w:t xml:space="preserve"> viziunea generală despre istorie şi dreptate divină pe pământ şi în întreg universul, </w:t>
      </w:r>
      <w:r>
        <w:t xml:space="preserve">iar </w:t>
      </w:r>
      <w:r>
        <w:t xml:space="preserve">scenele se desfăşoară într-un crescendo captivant. Ioan se află în cer, fiind invitat în acel loc de un înger. Îngerul îl cheamă ca să îi arate „ce trebuie să se întâmple după acestea” (</w:t>
      </w:r>
      <w:r>
        <w:rPr>
          <w:rFonts w:ascii="EGreek" w:hAnsi="EGreek"/>
        </w:rPr>
        <w:t xml:space="preserve">kai deixw soi aJ dei genesqai meta tauta</w:t>
      </w:r>
      <w:r>
        <w:rPr>
          <w:rStyle w:val="apple-style-span"/>
          <w:rFonts w:ascii="Galatia SIL" w:hAnsi="Galatia SIL"/>
        </w:rPr>
        <w:t xml:space="preserve">). </w:t>
      </w:r>
      <w:r>
        <w:rPr>
          <w:rStyle w:val="apple-style-span"/>
        </w:rPr>
        <w:t xml:space="preserve">Merită remarcată forţa verbului </w:t>
      </w:r>
      <w:r>
        <w:rPr>
          <w:rStyle w:val="apple-style-span"/>
          <w:i/>
          <w:iCs/>
        </w:rPr>
        <w:t xml:space="preserve">dei</w:t>
      </w:r>
      <w:r>
        <w:rPr>
          <w:rStyle w:val="apple-style-span"/>
        </w:rPr>
        <w:t xml:space="preserve"> (trebuie): evenimentele vestite în 4-22 sunt ceea ce trebuie să se împlinească, şi este hotărât de Dumnezeu, fără posibilitate de amânare sau evitare. Ioan ajunge în locul ceresc „în Duhul”, adică prin puterea şi controlul Duhului Sfânt şi devine martor al acestor lucruri. </w:t>
      </w:r>
    </w:p>
    <w:p>
      <w:r>
        <w:rPr>
          <w:rStyle w:val="apple-style-span"/>
        </w:rPr>
        <w:t xml:space="preserve">În acelaşi timp,  trebuie subliniate implicaţiile faptului că Ioan se află în cer şi vede acolo viziuni despre cer şi despre pământ. Din această cauză apare context temporal aparte: în ceruri timpul curge altfel, evenimentele sunt văzute şi interpretate în contextul veşniciei (îngerii şi profetul au acces simultan la trecut, prezent şi viitor), ceea ce face ca viziunile să se poate referi în mod egal la evenimente care au fost, sunt, sau care vor fi (</w:t>
      </w:r>
      <w:r>
        <w:rPr>
          <w:rStyle w:val="apple-style-span"/>
          <w:b/>
          <w:bCs w:val="0"/>
          <w:i/>
        </w:rPr>
        <w:t xml:space="preserve">flash-forward</w:t>
      </w:r>
      <w:r>
        <w:rPr>
          <w:rStyle w:val="apple-style-span"/>
          <w:b/>
          <w:bCs w:val="0"/>
        </w:rPr>
        <w:t xml:space="preserve">, </w:t>
      </w:r>
      <w:r>
        <w:rPr>
          <w:rStyle w:val="apple-style-span"/>
          <w:b/>
          <w:bCs w:val="0"/>
          <w:i/>
        </w:rPr>
        <w:t xml:space="preserve">flash-back</w:t>
      </w:r>
      <w:r>
        <w:rPr>
          <w:rStyle w:val="apple-style-span"/>
        </w:rPr>
        <w:t xml:space="preserve">). Curgerea timpului pe pământ este însă alta. Percepţia despre evenimente, pe pământ, este cronologică, liniară. </w:t>
      </w:r>
      <w:r>
        <w:rPr>
          <w:rStyle w:val="apple-style-span"/>
        </w:rPr>
        <w:t xml:space="preserve">Chiar profeţiile sunt date, în naraţiune, în mod liniar, cronologic, numai că o profeţie poate fi dată cu perspective globale, veşnice, din afara timpului şi, de aceea, se poate  referi la evenimente din trecut, prezent şi viitor ca şi cum ar fi toate petrecute în acelaşi timp, sau ar fi foarte apropiate unele de altele. Astfel,</w:t>
      </w:r>
      <w:r>
        <w:rPr>
          <w:rStyle w:val="apple-style-span"/>
        </w:rPr>
        <w:t xml:space="preserve"> este nevoie ca în firul naraţiunii să se înţeleagă ce viziuni se referă la toată istoria, atemporal, şi ce viziuni se referă la succesiunea temporală a evenimentelor judecăţii. Uneori, perspectiva temporală se schimbă chiar în cadrul uneia şi aceleiaşi viziuni.</w:t>
      </w:r>
    </w:p>
    <w:p>
      <w:r>
        <w:t xml:space="preserve"> </w:t>
      </w:r>
    </w:p>
    <w:p>
      <w:pPr>
        <w:pStyle w:val="Heading5"/>
        <w:numPr>
          <w:ilvl w:val="0"/>
          <w:numId w:val="36"/>
        </w:numPr>
      </w:pPr>
      <w:r>
        <w:t xml:space="preserve">Liturghia cerească şi judecata pământească</w:t>
      </w:r>
    </w:p>
    <w:p/>
    <w:p>
      <w:pPr>
        <w:ind w:firstLine="0"/>
      </w:pPr>
      <w:r>
        <w:t xml:space="preserve">În </w:t>
      </w:r>
      <w:r>
        <w:rPr>
          <w:b/>
        </w:rPr>
        <w:t xml:space="preserve">capitolul patru</w:t>
      </w:r>
      <w:r>
        <w:t xml:space="preserve"> se observă v</w:t>
      </w:r>
      <w:r>
        <w:t xml:space="preserve">iziunea de bază </w:t>
      </w:r>
      <w:r>
        <w:t xml:space="preserve">a secţiunii, care </w:t>
      </w:r>
      <w:r>
        <w:t xml:space="preserve">este cea a unei liturghii glorioase în ceruri, în prezenţa lui Dumnezeu. În timpul acestei închinări cereşti, diversele momente ale liturghiei aduc judecăţile lui Dumnezeu pe pământ (trâmbiţe, potire, tămâieri, jertfă pe altar</w:t>
      </w:r>
      <w:r>
        <w:t xml:space="preserve"> etc.</w:t>
      </w:r>
      <w:r>
        <w:t xml:space="preserve">). De fapt, Templul ceresc este amintit abia din 11.19, dar în capitolul 5 se observă deja altarul (sub care sunt sufletele martirilor morţi din pricina cuvântului mărturisit). Aceste detalii duc la concluzia că, într-adevăr, 4-22 reprezintă o liturghie în cer, în prezenţa tronului lui Dumnezeu şi lângă Templul ceresc, ale cărei acţiuni duc la judecarea pământului. </w:t>
      </w:r>
    </w:p>
    <w:p>
      <w:pPr>
        <w:rPr>
          <w:rFonts w:ascii="Calibri" w:hAnsi="Calibri" w:cs="Arial"/>
          <w:lang w:bidi="he-IL"/>
        </w:rPr>
      </w:pPr>
      <w:r>
        <w:t xml:space="preserve">În privinţa aceasta merită prezentat contextul acestei slujbe cereşti în Templu. În jurul tronului ceresc sunt mai multe fiinţe glorioase, neobişnuite (fantastice): mai întâi sunt 4 fiinţe vii, cu câte 6 aripi, pline de ochi pe dinăutru şi pe dinafară – ori aripile, ori fiinţele), care par responsabile de cei patru cai ai apocalipsei (peceţile 1-4): una arată ca un leu, una ca un taur, una ca un om şi una ca un vultur în zbor (numărul lor de 4 arată o conexiune cu pământul; prezenţa ochilor nenumăraţi, şi pe dinăuntru şi pe dinafară, arată cunoaşterea şi puterea de observaţie asupra tot ceea ce se face pe pământ; aripile indică funcţia şi rangul ceresc, capacitatea de deplasare; numărul aripilor, 6, poate să indice faptul că au responsabilităţi chiar de la creaţie şi că sunt martori ai creaţiei divine, 2x3=6); apoi următorul cerc din jurul tronului este format de grupul celor 24 de bătrâni (care aduc slavă lui Dumnezeu, în diverse momente, şi care par să simbolizeze pe cei mântuiţi în Israel şi în Biserică: 12 + 12; ei pot fi oameni – sau nu – şi, cum Ioan nu face parte dintre ei, se pare că aceşti 24 de bătrâni, nu îi cuprind pe patriarhi şi pe apostoli; din mijlocul lor apare, în cap. 5, Mielul). Înaintea tronului sunt</w:t>
      </w:r>
      <w:r>
        <w:t xml:space="preserve"> şapte </w:t>
      </w:r>
      <w:r>
        <w:t xml:space="preserve">sfeşnice (făclii), cele</w:t>
      </w:r>
      <w:r>
        <w:t xml:space="preserve"> şapte </w:t>
      </w:r>
      <w:r>
        <w:t xml:space="preserve">duhuri ale lui Dumnezeu (care pot ilustra fie atotştiinţa lui Dumnezeu şi controlul perfect asupra creaţiei, exprimat prin imaginea a</w:t>
      </w:r>
      <w:r>
        <w:t xml:space="preserve"> şapte </w:t>
      </w:r>
      <w:r>
        <w:t xml:space="preserve">duhuri sub control divin, fie plinătatea Duhului Sfânt; în acest ultim caz, cele</w:t>
      </w:r>
      <w:r>
        <w:t xml:space="preserve"> şapte </w:t>
      </w:r>
      <w:r>
        <w:t xml:space="preserve">Duhuri ale lui Dumnezeu sunt un simbol pentru Duhul Sfânt care are</w:t>
      </w:r>
      <w:r>
        <w:t xml:space="preserve"> şapte </w:t>
      </w:r>
      <w:r>
        <w:t xml:space="preserve">slujiri perfecte, distincte; în acest fel, în capitolele 4-5 ar fi întâlnită întreaga Sfânta Treime, manifestată prin Tatăl – care şade pe tron, Fiul – sub imaginea Mielului, şi Duhul Sfânt – prin imaginea celor</w:t>
      </w:r>
      <w:r>
        <w:t xml:space="preserve"> şapte </w:t>
      </w:r>
      <w:r>
        <w:t xml:space="preserve">Duhuri). Desfăşurarea evenimentelor principale este punctată de diverse intervenţii secundare, care vin să explice evenimentele şi viziunile la care Ioan este martor.</w:t>
      </w:r>
      <w:r>
        <w:rPr>
          <w:rStyle w:val="FootnoteReference"/>
        </w:rPr>
        <w:footnoteReference w:id="1"/>
      </w:r>
      <w:r>
        <w:t xml:space="preserve"> </w:t>
      </w:r>
    </w:p>
    <w:p>
      <w:r>
        <w:t xml:space="preserve">După prezentarea contextului Templului ceresc, urmează v</w:t>
      </w:r>
      <w:r>
        <w:t xml:space="preserve">iziunea judecăţii</w:t>
      </w:r>
      <w:r>
        <w:t xml:space="preserve"> din </w:t>
      </w:r>
      <w:r>
        <w:rPr>
          <w:b/>
        </w:rPr>
        <w:t xml:space="preserve">capitolele 5-20</w:t>
      </w:r>
      <w:r>
        <w:t xml:space="preserve"> care</w:t>
      </w:r>
      <w:r>
        <w:t xml:space="preserve"> începe cu prezentarea cărţii închise cu şapte peceţi. Foarte probabil că această carte este cartea vieţii, a Mielului (cf. 13:8, 21:27), iar peceţile reprezintă judecăţi sau etape ale judecăţii lui Dumnezeu asupra pământului (prima pecete se deschide în 6:1, iar ultima este deschisă în 8:1). Cartea, sub forma unui sul, este scrisă pe dinafară şi pe dinăuntru, lucru neobişnuit – căci sulurile erau scrise, de obicei, pe dinăuntru. Această precizare înseamnă că ea cuprinde foarte multă informaţie despre istoria omenirii, foarte multe detalii care aşteaptă să se îndeplinească.</w:t>
      </w:r>
    </w:p>
    <w:p/>
    <w:p>
      <w:pPr>
        <w:jc w:val="center"/>
      </w:pPr>
      <w:r>
        <w:rPr>
          <w:lang w:val="en-US"/>
        </w:rPr>
        <mc:AlternateContent>
          <mc:Choice Requires="wpg">
            <w:drawing>
              <wp:inline xmlns:wp="http://schemas.openxmlformats.org/drawingml/2006/wordprocessingDrawing" distT="0" distB="0" distL="0" distR="0">
                <wp:extent cx="2057400" cy="1714500"/>
                <wp:effectExtent l="0" t="0" r="0"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r/>
                      </pic:nvPicPr>
                      <pic:blipFill>
                        <a:blip r:embed="rId14"/>
                        <a:srcRect/>
                        <a:stretch>
                          <a:fillRect/>
                        </a:stretch>
                      </pic:blipFill>
                      <pic:spPr bwMode="auto">
                        <a:xfrm>
                          <a:off x="0" y="0"/>
                          <a:ext cx="2057400" cy="17145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62.00pt;height:135.00pt;mso-wrap-distance-left:0.00pt;mso-wrap-distance-top:0.00pt;mso-wrap-distance-right:0.00pt;mso-wrap-distance-bottom:0.00pt;z-index:1;" stroked="f">
                <v:imagedata r:id="rId14" o:title=""/>
                <o:lock v:ext="edit" rotation="t"/>
              </v:shape>
            </w:pict>
          </mc:Fallback>
        </mc:AlternateContent>
      </w:r>
    </w:p>
    <w:p/>
    <w:p>
      <w:r>
        <w:t xml:space="preserve">Înainte de ruperea peceţilor, se prezintă că în ceruri a fost o pauză, pentru că nimeni nu îndrăznea să ia cartea din mâna dreaptă a Celui ce şedea pe tron (5:3-4). Aici este o problemă de demnitate, de autoritate, de vrednicie: doar Mielul înjunghiat, Leul din Iuda, Hristos, a fost vrednic (</w:t>
      </w:r>
      <w:r>
        <w:rPr>
          <w:i/>
          <w:iCs/>
        </w:rPr>
        <w:t xml:space="preserve">axios</w:t>
      </w:r>
      <w:r>
        <w:t xml:space="preserve">) să preia conducerea istoriei</w:t>
      </w:r>
      <w:r>
        <w:t xml:space="preserve"> şi să asigure desfăşurarea ei, în sensul restabilirii domniei binelui, a Împărăţiei cerurilor</w:t>
      </w:r>
      <w:r>
        <w:t xml:space="preserve">. </w:t>
      </w:r>
    </w:p>
    <w:p/>
    <w:p>
      <w:pPr>
        <w:jc w:val="center"/>
      </w:pPr>
      <w:r>
        <w:rPr>
          <w:lang w:val="en-US"/>
        </w:rPr>
        <mc:AlternateContent>
          <mc:Choice Requires="wpg">
            <w:drawing>
              <wp:inline xmlns:wp="http://schemas.openxmlformats.org/drawingml/2006/wordprocessingDrawing" distT="0" distB="0" distL="0" distR="0">
                <wp:extent cx="1752600" cy="1352550"/>
                <wp:effectExtent l="0" t="0" r="0" b="0"/>
                <wp:docPr id="3" name="Picture 4" descr="E:\Lucrari teologice\apocalipsa\eschatology\lamb_s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ucrari teologice\apocalipsa\eschatology\lamb_slain.jpg"/>
                        <pic:cNvPicPr>
                          <a:picLocks noChangeAspect="1" noChangeArrowheads="1"/>
                        </pic:cNvPicPr>
                        <pic:nvPr/>
                      </pic:nvPicPr>
                      <pic:blipFill>
                        <a:blip r:embed="rId15"/>
                        <a:srcRect/>
                        <a:stretch>
                          <a:fillRect/>
                        </a:stretch>
                      </pic:blipFill>
                      <pic:spPr bwMode="auto">
                        <a:xfrm>
                          <a:off x="0" y="0"/>
                          <a:ext cx="1752600" cy="135255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38.00pt;height:106.50pt;mso-wrap-distance-left:0.00pt;mso-wrap-distance-top:0.00pt;mso-wrap-distance-right:0.00pt;mso-wrap-distance-bottom:0.00pt;z-index:1;" stroked="f">
                <v:imagedata r:id="rId15" o:title=""/>
                <o:lock v:ext="edit" rotation="t"/>
              </v:shape>
            </w:pict>
          </mc:Fallback>
        </mc:AlternateContent>
      </w:r>
    </w:p>
    <w:p/>
    <w:p/>
    <w:p/>
    <w:p/>
    <w:p>
      <w:r>
        <w:t xml:space="preserve">În mod similar, după ruperea ultimei peceţi (8:1) în ceruri se lasă o tăcere de o jumătate de oră, probabil, din cauza gravităţii momentului şi a consecinţelor sale. Acest Miel reapare în diverse alte pasaje ale Apocalipsei, de exemplu, în 7:17, unde se spune că Mielul este păstorul celor mântuiţi (o imagine destul de veselă: un miel a ajuns păstorul turmei!). </w:t>
      </w:r>
    </w:p>
    <w:p/>
    <w:p>
      <w:pPr>
        <w:pStyle w:val="Heading5"/>
        <w:numPr>
          <w:ilvl w:val="0"/>
          <w:numId w:val="36"/>
        </w:numPr>
      </w:pPr>
      <w:r>
        <w:t xml:space="preserve">Viziunile celor</w:t>
      </w:r>
      <w:r>
        <w:t xml:space="preserve"> şapte </w:t>
      </w:r>
      <w:r>
        <w:t xml:space="preserve">peceţi</w:t>
      </w:r>
    </w:p>
    <w:p/>
    <w:p>
      <w:pPr>
        <w:ind w:firstLine="0"/>
      </w:pPr>
      <w:r>
        <w:t xml:space="preserve">Viziunea celor</w:t>
      </w:r>
      <w:r>
        <w:t xml:space="preserve"> şapte peceţi respectă </w:t>
      </w:r>
      <w:r>
        <w:t xml:space="preserve">structura</w:t>
      </w:r>
      <w:r>
        <w:t xml:space="preserve"> generală, de </w:t>
      </w:r>
      <w:r>
        <w:t xml:space="preserve">tip 4 + 3, din care primele patru peceţi</w:t>
      </w:r>
      <w:r>
        <w:t xml:space="preserve"> reprezintă pedepse (urgii) asupra omenirii şi a întregului pământ (ba chiar şi asupra cerului: văzduh, lumină, soare şi lună), iar ultimile </w:t>
      </w:r>
      <w:r>
        <w:t xml:space="preserve">trei</w:t>
      </w:r>
      <w:r>
        <w:t xml:space="preserve"> reprezintă viziuni speciale, revelaţii importante despre istoria judecăţii şi, bi</w:t>
      </w:r>
      <w:r>
        <w:t xml:space="preserve">neînţeles, continuarea judecăţii</w:t>
      </w:r>
      <w:r>
        <w:t xml:space="preserve">. </w:t>
      </w:r>
    </w:p>
    <w:p>
      <w:r>
        <w:t xml:space="preserve">Deschiderea primelor patru</w:t>
      </w:r>
      <w:r>
        <w:t xml:space="preserve"> peceţi aduce</w:t>
      </w:r>
      <w:r>
        <w:t xml:space="preserve"> seria celor patru</w:t>
      </w:r>
      <w:r>
        <w:t xml:space="preserve"> cai ai apocalipsei – o temă </w:t>
      </w:r>
      <w:r>
        <w:t xml:space="preserve">devenită faimoasă în lumea artei </w:t>
      </w:r>
      <w:r>
        <w:t xml:space="preserve">(fiecare cal şi călăreţ vin după deschiderea unei noi peceţi).</w:t>
      </w:r>
      <w:r>
        <w:rPr>
          <w:rStyle w:val="FootnoteReference"/>
        </w:rPr>
        <w:footnoteReference w:id="2"/>
      </w:r>
      <w:r>
        <w:t xml:space="preserve">  </w:t>
      </w:r>
    </w:p>
    <w:p/>
    <w:p>
      <w:pPr>
        <w:jc w:val="center"/>
      </w:pPr>
      <w:r>
        <w:rPr>
          <w:lang w:val="en-US"/>
        </w:rPr>
        <mc:AlternateContent>
          <mc:Choice Requires="wpg">
            <w:drawing>
              <wp:inline xmlns:wp="http://schemas.openxmlformats.org/drawingml/2006/wordprocessingDrawing" distT="0" distB="0" distL="0" distR="0">
                <wp:extent cx="2295523" cy="132397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r/>
                      </pic:nvPicPr>
                      <pic:blipFill>
                        <a:blip r:embed="rId16"/>
                        <a:srcRect/>
                        <a:stretch>
                          <a:fillRect/>
                        </a:stretch>
                      </pic:blipFill>
                      <pic:spPr bwMode="auto">
                        <a:xfrm>
                          <a:off x="0" y="0"/>
                          <a:ext cx="2295117" cy="132374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80.75pt;height:104.25pt;mso-wrap-distance-left:0.00pt;mso-wrap-distance-top:0.00pt;mso-wrap-distance-right:0.00pt;mso-wrap-distance-bottom:0.00pt;z-index:1;" stroked="f">
                <v:imagedata r:id="rId16" o:title=""/>
                <o:lock v:ext="edit" rotation="t"/>
              </v:shape>
            </w:pict>
          </mc:Fallback>
        </mc:AlternateContent>
      </w:r>
    </w:p>
    <w:p/>
    <w:p>
      <w:pPr>
        <w:rPr>
          <w:rFonts w:ascii="Times New Roman" w:hAnsi="Times New Roman"/>
          <w:color w:val="auto"/>
          <w:lang w:bidi="he-IL"/>
        </w:rPr>
      </w:pPr>
      <w:r>
        <w:t xml:space="preserve">La deschiderea fiecărei peceţi, câte una din cele patru fiinţe vii descrise la început (leul, viţelul, omul şi vulturul) are autoritatea de a adresa o chemare spre împlinirea judecăţilor.</w:t>
      </w:r>
      <w:r>
        <w:t xml:space="preserve"> Pentru unii din Părinţii Bisericii cele patru animale îi reprezentau pe cei 4 evanghelişti </w:t>
      </w:r>
      <w:r>
        <w:t xml:space="preserve">(leul</w:t>
      </w:r>
      <w:r>
        <w:t xml:space="preserve"> - Marcu</w:t>
      </w:r>
      <w:r>
        <w:t xml:space="preserve">, viţelul</w:t>
      </w:r>
      <w:r>
        <w:t xml:space="preserve"> - Luca</w:t>
      </w:r>
      <w:r>
        <w:t xml:space="preserve">, omul</w:t>
      </w:r>
      <w:r>
        <w:t xml:space="preserve"> </w:t>
      </w:r>
      <w:r>
        <w:t xml:space="preserve">sau</w:t>
      </w:r>
      <w:r>
        <w:t xml:space="preserve"> îngerul </w:t>
      </w:r>
      <w:r>
        <w:t xml:space="preserve">- Matei</w:t>
      </w:r>
      <w:r>
        <w:t xml:space="preserve"> şi vulturul</w:t>
      </w:r>
      <w:r>
        <w:t xml:space="preserve"> - Ioan</w:t>
      </w:r>
      <w:r>
        <w:t xml:space="preserve">)</w:t>
      </w:r>
      <w:r>
        <w:t xml:space="preserve">.</w:t>
      </w:r>
      <w:r>
        <w:t xml:space="preserve"> </w:t>
      </w:r>
      <w:r>
        <w:t xml:space="preserve">Conform unor manuscrise</w:t>
      </w:r>
      <w:r>
        <w:t xml:space="preserve"> vechi ale căr</w:t>
      </w:r>
      <w:r>
        <w:rPr>
          <w:rFonts w:ascii="Times New Roman" w:hAnsi="Times New Roman"/>
        </w:rPr>
        <w:t xml:space="preserve">ții</w:t>
      </w:r>
      <w:r>
        <w:t xml:space="preserve">, </w:t>
      </w:r>
      <w:r>
        <w:t xml:space="preserve">pare</w:t>
      </w:r>
      <w:r>
        <w:t xml:space="preserve"> că aceste fiinţe îl cheamă pe Ioan să vină şi să vadă ce se întâmplă („vino şi vezi”, </w:t>
      </w:r>
      <w:r>
        <w:rPr>
          <w:i/>
          <w:iCs/>
        </w:rPr>
        <w:t xml:space="preserve">erchou kai ide</w:t>
      </w:r>
      <w:r>
        <w:t xml:space="preserve">), conform altor manuscrise, se adresează o chemare simplă, „vino” (</w:t>
      </w:r>
      <w:r>
        <w:rPr>
          <w:i/>
          <w:iCs/>
        </w:rPr>
        <w:t xml:space="preserve">erchou</w:t>
      </w:r>
      <w:r>
        <w:t xml:space="preserve">) şi apoi Ioan vede ceea ce se întâmplă, „şi am văzut” (</w:t>
      </w:r>
      <w:r>
        <w:rPr>
          <w:i/>
          <w:iCs/>
        </w:rPr>
        <w:t xml:space="preserve">kai eidon</w:t>
      </w:r>
      <w:r>
        <w:t xml:space="preserve">). În acest al doilea caz </w:t>
      </w:r>
      <w:r>
        <w:t xml:space="preserve">se dă impresia că </w:t>
      </w:r>
      <w:r>
        <w:t xml:space="preserve">fiinţele vii </w:t>
      </w:r>
      <w:r>
        <w:t xml:space="preserve">cheamă</w:t>
      </w:r>
      <w:r>
        <w:t xml:space="preserve"> caii şi călăreţii lor, să vină spre împlinirea istoriei.</w:t>
      </w:r>
      <w:r>
        <w:rPr>
          <w:rFonts w:ascii="Times New Roman" w:hAnsi="Times New Roman"/>
          <w:color w:val="auto"/>
          <w:vertAlign w:val="superscript"/>
          <w:lang w:bidi="he-IL"/>
        </w:rPr>
        <w:footnoteReference w:id="3"/>
      </w:r>
      <w:r>
        <w:rPr>
          <w:rFonts w:ascii="Times New Roman" w:hAnsi="Times New Roman"/>
          <w:color w:val="auto"/>
          <w:lang w:bidi="he-IL"/>
        </w:rPr>
        <w:t xml:space="preserve"> </w:t>
      </w:r>
    </w:p>
    <w:p>
      <w:pPr>
        <w:rPr>
          <w:lang w:bidi="he-IL"/>
        </w:rPr>
      </w:pPr>
      <w:r>
        <w:rPr>
          <w:lang w:bidi="he-IL"/>
        </w:rPr>
        <w:t xml:space="preserve">Seria celor şapte peceţi are un grad de generalitate destul de mare, având în vedere, de exemplu, că a cincea pec</w:t>
      </w:r>
      <w:r>
        <w:rPr>
          <w:lang w:bidi="he-IL"/>
        </w:rPr>
        <w:t xml:space="preserve">ete vorbeşte despre un timp de aşteptare al sfinţilor din ceruri (sufletele lor), sub altar, până la înfăptuirea dreptăţii pe pământ, iar pecetea a şasea conţine imagini de la sfârşitul judecăţii când pământul şi cerurile cele vechi trec şi oamenii vor să se ascundă de groaza  judecăţii. De aceea, este posibil ca şi primele patru peceţi să reprezinte epoci sau tipuri de acţiune generală care încep să fie active în istorie, în vederea apropierii judecăţii lui Dumnezeu (sistem statal global, războaie, lipsuri generalizate, moarte).</w:t>
      </w:r>
    </w:p>
    <w:p>
      <w:r>
        <w:rPr>
          <w:b/>
          <w:bCs w:val="0"/>
        </w:rPr>
        <w:t xml:space="preserve">Prima pecete</w:t>
      </w:r>
      <w:r>
        <w:t xml:space="preserve">, 6:2, vorbeşte despre </w:t>
      </w:r>
      <w:r>
        <w:t xml:space="preserve">apariţia</w:t>
      </w:r>
      <w:r>
        <w:t xml:space="preserve"> unui sistem </w:t>
      </w:r>
      <w:r>
        <w:t xml:space="preserve">statal </w:t>
      </w:r>
      <w:r>
        <w:t xml:space="preserve">mondial</w:t>
      </w:r>
      <w:r>
        <w:t xml:space="preserve">: vine</w:t>
      </w:r>
      <w:r>
        <w:t xml:space="preserve"> calul alb şi călăreţul său, care poartă un arc (este posibil ca acest călăreţ să îl reprezinte pe Hristos, dar</w:t>
      </w:r>
      <w:r>
        <w:t xml:space="preserve">, tot aşa, este posibil să reprezinte</w:t>
      </w:r>
      <w:r>
        <w:t xml:space="preserve"> un precursor al Antihristului care ad</w:t>
      </w:r>
      <w:r>
        <w:t xml:space="preserve">uce un regim mondial, unificat</w:t>
      </w:r>
      <w:r>
        <w:t xml:space="preserve"> cu forţa</w:t>
      </w:r>
      <w:r>
        <w:t xml:space="preserve">).</w:t>
      </w:r>
      <w:r>
        <w:t xml:space="preserve"> Ideea transmisă este ideea de unificare şi de imperiu mondial. </w:t>
      </w:r>
      <w:r>
        <w:t xml:space="preserve">Ea pare</w:t>
      </w:r>
      <w:r>
        <w:t xml:space="preserve"> să fi apărut în istoria biblică</w:t>
      </w:r>
      <w:r>
        <w:t xml:space="preserve"> odată cu primul imperiu de anvergură, cel babilonian (cu Nebucadneţar</w:t>
      </w:r>
      <w:r>
        <w:t xml:space="preserve"> ca împărat</w:t>
      </w:r>
      <w:r>
        <w:t xml:space="preserve">, vezi şi visul acestuia interpretat de Daniel, în Daniel 2), </w:t>
      </w:r>
      <w:r>
        <w:rPr>
          <w:rFonts w:ascii="Cambria Math" w:hAnsi="Cambria Math"/>
        </w:rPr>
        <w:t xml:space="preserve">și </w:t>
      </w:r>
      <w:r>
        <w:t xml:space="preserve">să fi continuat cu diverse alte imperii mon</w:t>
      </w:r>
      <w:r>
        <w:t xml:space="preserve">diale (egiptean, persan, grec, r</w:t>
      </w:r>
      <w:r>
        <w:t xml:space="preserve">oman,</w:t>
      </w:r>
      <w:r>
        <w:t xml:space="preserve"> european </w:t>
      </w:r>
      <w:r>
        <w:t xml:space="preserve">etc.)</w:t>
      </w:r>
      <w:r>
        <w:rPr>
          <w:rStyle w:val="FootnoteReference"/>
        </w:rPr>
        <w:footnoteReference w:id="4"/>
      </w:r>
      <w:r>
        <w:t xml:space="preserve">. Această serie de imperii va conduce la imperiul final care va avea o formă</w:t>
      </w:r>
      <w:r>
        <w:t xml:space="preserve"> antihristic</w:t>
      </w:r>
      <w:r>
        <w:t xml:space="preserve">ă, înlocuită în cele din urmă de</w:t>
      </w:r>
      <w:r>
        <w:t xml:space="preserve"> Împărăţia lui Dumnezeu condusă de Hristos</w:t>
      </w:r>
      <w:r>
        <w:t xml:space="preserve"> (se poate spune că Împărăţia lui Hristos deja a început şi în final va fi instaurată complet, iar împărăţia antihristică va fi o ultimă încercare de </w:t>
      </w:r>
      <w:r>
        <w:t xml:space="preserve">a o înlocui sau împiedica. C</w:t>
      </w:r>
      <w:r>
        <w:t xml:space="preserve">entralitatea ideii de imperiu mondial se vede </w:t>
      </w:r>
      <w:r>
        <w:rPr>
          <w:rFonts w:ascii="Cambria Math" w:hAnsi="Cambria Math"/>
        </w:rPr>
        <w:t xml:space="preserve">și </w:t>
      </w:r>
      <w:r>
        <w:t xml:space="preserve">în cele două naraţiuni ale ispitirii lui Isus de către Diavolul, în Luca 4:1-13 şi Matei 4:1-11, </w:t>
      </w:r>
      <w:r>
        <w:t xml:space="preserve">în care </w:t>
      </w:r>
      <w:r>
        <w:t xml:space="preserve">una din ispitiri are de a face chiar cu</w:t>
      </w:r>
      <w:r>
        <w:t xml:space="preserve"> această imagine a stăpânirii</w:t>
      </w:r>
      <w:r>
        <w:t xml:space="preserve"> mondiale</w:t>
      </w:r>
      <w:r>
        <w:t xml:space="preserve">.</w:t>
      </w:r>
    </w:p>
    <w:p>
      <w:r>
        <w:rPr>
          <w:b/>
        </w:rPr>
        <w:t xml:space="preserve">A</w:t>
      </w:r>
      <w:r>
        <w:rPr>
          <w:b/>
          <w:bCs w:val="0"/>
        </w:rPr>
        <w:t xml:space="preserve"> doua pecete</w:t>
      </w:r>
      <w:r>
        <w:t xml:space="preserve">, 6:3, vesteşte venirea unor războaie distrugătoare</w:t>
      </w:r>
      <w:r>
        <w:t xml:space="preserve"> care afectează viaţa planetei</w:t>
      </w:r>
      <w:r>
        <w:t xml:space="preserve">: </w:t>
      </w:r>
      <w:r>
        <w:t xml:space="preserve">la deschiderea ei, </w:t>
      </w:r>
      <w:r>
        <w:t xml:space="preserve">vine calul roşu şi călăr</w:t>
      </w:r>
      <w:r>
        <w:t xml:space="preserve">eţul său (ei primesc pu</w:t>
      </w:r>
      <w:r>
        <w:t xml:space="preserve">terea să ia pacea de pe pământ</w:t>
      </w:r>
      <w:r>
        <w:t xml:space="preserve"> </w:t>
      </w:r>
      <w:r>
        <w:rPr>
          <w:rFonts w:ascii="Times New Roman" w:hAnsi="Times New Roman"/>
        </w:rPr>
        <w:t xml:space="preserve">ș</w:t>
      </w:r>
      <w:r>
        <w:t xml:space="preserve">i c</w:t>
      </w:r>
      <w:r>
        <w:rPr>
          <w:rFonts w:cs="New Century Schoolbook"/>
        </w:rPr>
        <w:t xml:space="preserve">ă</w:t>
      </w:r>
      <w:r>
        <w:t xml:space="preserve">l</w:t>
      </w:r>
      <w:r>
        <w:rPr>
          <w:rFonts w:cs="New Century Schoolbook"/>
        </w:rPr>
        <w:t xml:space="preserve">ă</w:t>
      </w:r>
      <w:r>
        <w:t xml:space="preserve">re</w:t>
      </w:r>
      <w:r>
        <w:rPr>
          <w:rFonts w:ascii="Times New Roman" w:hAnsi="Times New Roman"/>
        </w:rPr>
        <w:t xml:space="preserve">ț</w:t>
      </w:r>
      <w:r>
        <w:t xml:space="preserve">ului i se d</w:t>
      </w:r>
      <w:r>
        <w:rPr>
          <w:rFonts w:cs="New Century Schoolbook"/>
        </w:rPr>
        <w:t xml:space="preserve">ă</w:t>
      </w:r>
      <w:r>
        <w:t xml:space="preserve"> o sabie mare</w:t>
      </w:r>
      <w:r>
        <w:t xml:space="preserve">).</w:t>
      </w:r>
      <w:r>
        <w:t xml:space="preserve"> Poate fi un eveniment</w:t>
      </w:r>
      <w:r>
        <w:t xml:space="preserve"> sau un proces, o serie de evenimente.</w:t>
      </w:r>
      <w:r>
        <w:t xml:space="preserve"> </w:t>
      </w:r>
    </w:p>
    <w:p>
      <w:r>
        <w:rPr>
          <w:b/>
          <w:bCs w:val="0"/>
        </w:rPr>
        <w:t xml:space="preserve">A</w:t>
      </w:r>
      <w:r>
        <w:rPr>
          <w:b/>
          <w:bCs w:val="0"/>
        </w:rPr>
        <w:t xml:space="preserve"> treia pecete</w:t>
      </w:r>
      <w:r>
        <w:t xml:space="preserve">, 6:5, indică </w:t>
      </w:r>
      <w:r>
        <w:t xml:space="preserve">apariția unei lipse</w:t>
      </w:r>
      <w:r>
        <w:t xml:space="preserve"> de hrană la nivel global, </w:t>
      </w:r>
      <w:r>
        <w:t xml:space="preserve">a unei mari foameteș; la deschiderea ei,</w:t>
      </w:r>
      <w:r>
        <w:t xml:space="preserve"> vine calul negru şi călăreţul său, care cântăreşte în balanţă hrana şi pune preţuri ridicate la alimente (un glas dintre cele patru fiinţe vii anunţă preţurile, dar interzice, totuşi, vătămarea untdelemnului şi a viţei de vie, adică lucruri importante legate de sănătate, elemente alimentare esenţiale, bucuria hranei, </w:t>
      </w:r>
      <w:r>
        <w:t xml:space="preserve">care </w:t>
      </w:r>
      <w:r>
        <w:t xml:space="preserve">rămân neatinse</w:t>
      </w:r>
      <w:r>
        <w:t xml:space="preserve">).</w:t>
      </w:r>
      <w:r>
        <w:t xml:space="preserve"> Pare să vestească o lipsă, dar o lipsă controlată, limitată.</w:t>
      </w:r>
    </w:p>
    <w:p>
      <w:r>
        <w:rPr>
          <w:b/>
          <w:bCs w:val="0"/>
        </w:rPr>
        <w:t xml:space="preserve">A</w:t>
      </w:r>
      <w:r>
        <w:rPr>
          <w:b/>
          <w:bCs w:val="0"/>
        </w:rPr>
        <w:t xml:space="preserve"> patra pecete</w:t>
      </w:r>
      <w:r>
        <w:t xml:space="preserve">, 6:7, aduce epidemii mondiale şi moarte: vine calul galben-vânăt şi călăreţul său, Moartea; împreună cu el vine şi Lo</w:t>
      </w:r>
      <w:r>
        <w:t xml:space="preserve">cuinţa morţilor, adică Hadesul. S</w:t>
      </w:r>
      <w:r>
        <w:t xml:space="preserve">e poate observa că aici apar două zeităţi păgâne, zeul </w:t>
      </w:r>
      <w:r>
        <w:rPr>
          <w:i/>
          <w:iCs/>
        </w:rPr>
        <w:t xml:space="preserve">Thanatos</w:t>
      </w:r>
      <w:r>
        <w:t xml:space="preserve">, Moartea,</w:t>
      </w:r>
      <w:r>
        <w:t xml:space="preserve"> călare pe cal</w:t>
      </w:r>
      <w:r>
        <w:t xml:space="preserve"> şi zeul </w:t>
      </w:r>
      <w:r>
        <w:rPr>
          <w:i/>
          <w:iCs/>
        </w:rPr>
        <w:t xml:space="preserve">Hades</w:t>
      </w:r>
      <w:r>
        <w:t xml:space="preserve">, </w:t>
      </w:r>
      <w:r>
        <w:t xml:space="preserve">în urma sa, ca paj.</w:t>
      </w:r>
      <w:r>
        <w:t xml:space="preserve"> </w:t>
      </w:r>
      <w:r>
        <w:t xml:space="preserve">Termenul </w:t>
      </w:r>
      <w:r>
        <w:t xml:space="preserve">Hades se refer</w:t>
      </w:r>
      <w:r>
        <w:t xml:space="preserve">ă atât </w:t>
      </w:r>
      <w:r>
        <w:t xml:space="preserve">la persoana zeului</w:t>
      </w:r>
      <w:r>
        <w:t xml:space="preserve">, cât</w:t>
      </w:r>
      <w:r>
        <w:t xml:space="preserve"> şi la împărăţia lui</w:t>
      </w:r>
      <w:r>
        <w:t xml:space="preserve">, </w:t>
      </w:r>
      <w:r>
        <w:t xml:space="preserve">ca loc, </w:t>
      </w:r>
      <w:r>
        <w:t xml:space="preserve">adică </w:t>
      </w:r>
      <w:r>
        <w:t xml:space="preserve">la </w:t>
      </w:r>
      <w:r>
        <w:t xml:space="preserve">Locuinţa morţilor); ei primes</w:t>
      </w:r>
      <w:r>
        <w:t xml:space="preserve">c autoritate să aducă moartea peste</w:t>
      </w:r>
      <w:r>
        <w:t xml:space="preserve"> omenire (asupra unei pătrimi din omenire)</w:t>
      </w:r>
      <w:r>
        <w:rPr>
          <w:rStyle w:val="FootnoteReference"/>
        </w:rPr>
        <w:footnoteReference w:id="5"/>
      </w:r>
      <w:r>
        <w:t xml:space="preserve"> prin război, foamete, epidemie şi fiarele pământului. Este posibil ca prezenţa celor doi zei păgâni să însemne o referinţă ascunsă la păgânismul oamenilor care vor îndura aceste dureri.</w:t>
      </w:r>
    </w:p>
    <w:p>
      <w:r>
        <w:t xml:space="preserve">După cum se </w:t>
      </w:r>
      <w:r>
        <w:t xml:space="preserve">vede, nu toţi călăreţii par a face parte</w:t>
      </w:r>
      <w:r>
        <w:t xml:space="preserve"> din rândul îngerilor buni, chiar dimpotrivă. Totuşi, ei primesc autoritate şi vin la porunca lui Dumnezeu, atunci când Mielul rupe peceţile cărţii. </w:t>
      </w:r>
    </w:p>
    <w:p>
      <w:r>
        <w:rPr>
          <w:b/>
        </w:rPr>
        <w:t xml:space="preserve">A cincea pecete</w:t>
      </w:r>
      <w:r>
        <w:t xml:space="preserve">, 6:9, aduce </w:t>
      </w:r>
      <w:r>
        <w:t xml:space="preserve">cu sine </w:t>
      </w:r>
      <w:r>
        <w:t xml:space="preserve">imaginea sfinţilor martiri </w:t>
      </w:r>
      <w:r>
        <w:t xml:space="preserve">(ale sufletelor lor</w:t>
      </w:r>
      <w:r>
        <w:t xml:space="preserve">, </w:t>
      </w:r>
      <w:r>
        <w:rPr>
          <w:i/>
        </w:rPr>
        <w:t xml:space="preserve">psy</w:t>
      </w:r>
      <w:r>
        <w:rPr>
          <w:i/>
        </w:rPr>
        <w:t xml:space="preserve">chai</w:t>
      </w:r>
      <w:r>
        <w:t xml:space="preserve">) </w:t>
      </w:r>
      <w:r>
        <w:t xml:space="preserve">care stau sub altarul ceresc şi cer dreptate pentru sângele lor vărsat pentru cuvântul lui Dumnezeu. </w:t>
      </w:r>
      <w:r>
        <w:t xml:space="preserve">A</w:t>
      </w:r>
      <w:r>
        <w:t xml:space="preserve">ste o altă faţă a morţii, locul de aşteptare a veşniciei unde merg cei drepţi. În sine, este o imagine opusă domniei Morţii şi a Locuinţei morţilor din viziunea celei de a patra peceţi.</w:t>
      </w:r>
    </w:p>
    <w:p>
      <w:r>
        <w:t xml:space="preserve">Sfinţilor</w:t>
      </w:r>
      <w:r>
        <w:t xml:space="preserve"> li se recunosc faptele drepte (sunt îmbrăcaţi în haine albe de in fin, care reprezintă faptele bune), şi li se cere să aibă răbdare şi să aştepte desfăşurarea evenimentelor, precum şi să aştepte şi implinirea numărului de martiri care încă mai trebuie să moară (dacă aceşti martiri de sub altar vin dinaintea începerii judecăţilor anunţate de trâmbiţe şi potire, atunci numărul de martiri care mai trebuie să moară va veni din timpul acestor judecăţi; aici este o problemă: apar două înţelegeri diferite despre timpul suferinţei lor în funcţie de originea acestor martiri, dacă ei vor fi dintre neamuri sau din poporul Israel). </w:t>
      </w:r>
    </w:p>
    <w:p>
      <w:r>
        <w:rPr>
          <w:b/>
          <w:bCs w:val="0"/>
        </w:rPr>
        <w:t xml:space="preserve">Cea de-a şasea pecete</w:t>
      </w:r>
      <w:r>
        <w:t xml:space="preserve">, 6:12-7:17, pare să cuprindă o imagine profetică despre viitor, despre judecăţi în ansamblul lor, un </w:t>
      </w:r>
      <w:r>
        <w:rPr>
          <w:b/>
          <w:bCs w:val="0"/>
        </w:rPr>
        <w:t xml:space="preserve">flash-forward</w:t>
      </w:r>
      <w:r>
        <w:t xml:space="preserve">: aici se vede judecata lui Dumnezeu până la consecinţele ei finale, adică până la trecerea pământului şi a cerului, până la pedepsirea finală a păcătoşilor, şi la răsplătirea celor credincioşi (cu imagini care amintesc de Apocalipsa 22). Amănuntele despre trecerea pământului şi cerului par să indice clar finalul, venirea judecăţii (cerul se strânge ca un sul, munţii şi insulele se mişcă din locul lor, stele – sau meteoriţi, cad asemenea smochinelor dintr-un copac). Continuarea etapelor judecăţii pare să indice că această viziune ne-cronologică anunţă direcţia direcţia în care se merge, sfârşitul tuturor etapelor. Există, totuşi, şi elemente care indică altceva: versetele 6.18-19 arată reacţia plină de frică a oamenilor necredincioşi, săraci sau bogaţi, care nu se întorc la Dumnezeu, dar se ascund în peşterile munţilor, văitându-se că a venit ziua mâniei lui Dumnezeu şi a Mielului. Atunci, înseamnă că pecetea a 6a aduce o viziune mixtă: parte din ea indică finalul, şi parte din ea indică anticiparea zilei mâniei divine care a şi venit. Se poate înţelege, de asemeni, că forţele şi st</w:t>
      </w:r>
      <w:r>
        <w:t xml:space="preserve">ructurile cereşti au fost</w:t>
      </w:r>
      <w:r>
        <w:t xml:space="preserve"> clătinate</w:t>
      </w:r>
      <w:r>
        <w:t xml:space="preserve"> din temelii</w:t>
      </w:r>
      <w:r>
        <w:t xml:space="preserve">, aşa încât în ceruri s-a întâmplat o catastrofă </w:t>
      </w:r>
      <w:r>
        <w:t xml:space="preserve">majoră </w:t>
      </w:r>
      <w:r>
        <w:t xml:space="preserve">(cerurile se fac sul ca o carte</w:t>
      </w:r>
      <w:r>
        <w:t xml:space="preserve">: </w:t>
      </w:r>
      <w:r>
        <w:t xml:space="preserve">Isa.</w:t>
      </w:r>
      <w:r>
        <w:t xml:space="preserve"> 3</w:t>
      </w:r>
      <w:r>
        <w:t xml:space="preserve">4:4; Evr.</w:t>
      </w:r>
      <w:r>
        <w:t xml:space="preserve"> 1:12; </w:t>
      </w:r>
      <w:r>
        <w:t xml:space="preserve">Psa.104:2</w:t>
      </w:r>
      <w:r>
        <w:t xml:space="preserve">)</w:t>
      </w:r>
      <w:r>
        <w:t xml:space="preserve">, iar pe pământ atmosfera dispare într-un mod neaşteptat.</w:t>
      </w:r>
      <w:r>
        <w:t xml:space="preserve"> Refugierea oamenilor în peşteri poate reflecta o </w:t>
      </w:r>
      <w:r>
        <w:t xml:space="preserve">asemenea catastrofă</w:t>
      </w:r>
      <w:r>
        <w:t xml:space="preserve"> globală.</w:t>
      </w:r>
      <w:r>
        <w:t xml:space="preserve"> </w:t>
      </w:r>
    </w:p>
    <w:p>
      <w:r>
        <w:rPr>
          <w:i/>
          <w:iCs/>
        </w:rPr>
        <w:t xml:space="preserve">Capitolul 7: interludiu între peceţile 6 şi 7</w:t>
      </w:r>
      <w:r>
        <w:t xml:space="preserve">. De vreme ce pecetea a şaptea va fi ruptă de abia în capitolul 8:1, se poate observa că în capitolul</w:t>
      </w:r>
      <w:r>
        <w:t xml:space="preserve"> şapte </w:t>
      </w:r>
      <w:r>
        <w:t xml:space="preserve">apare o pauză semnificativă, care conţine câteva evenimente importante.</w:t>
      </w:r>
    </w:p>
    <w:p>
      <w:r>
        <w:t xml:space="preserve">Astfel, în 7:1-8 se vorbeşte despre o intervenţie specială, legată de tema peceţilor: un înger special al lui Dumnezeu porunceşte pecetluirea a 144.000 de israeliţi, ca să nu fie vătămaţi de cei 4 îngeri care vor judeca pământul. Textul oferă şi lista de 12 triburi israelite, din care s-a făcut pecetluirea: Iuda, Ruben, Gad, Aşer, Neftali, Manase, Simeon, Levi, Isahar, Zabulon, Iosif, Beniamin</w:t>
      </w:r>
      <w:r>
        <w:rPr>
          <w:rStyle w:val="FootnoteReference"/>
        </w:rPr>
        <w:footnoteReference w:id="6"/>
      </w:r>
      <w:r>
        <w:t xml:space="preserve">. </w:t>
      </w:r>
      <w:r>
        <w:t xml:space="preserve">Menţionarea lui Levi, </w:t>
      </w:r>
      <w:r>
        <w:t xml:space="preserve">pe deoparte, </w:t>
      </w:r>
      <w:r>
        <w:t xml:space="preserve">precum şi l</w:t>
      </w:r>
      <w:r>
        <w:t xml:space="preserve">ipsa lui Dan şi </w:t>
      </w:r>
      <w:r>
        <w:t xml:space="preserve">a lui </w:t>
      </w:r>
      <w:r>
        <w:t xml:space="preserve">Efraim</w:t>
      </w:r>
      <w:r>
        <w:t xml:space="preserve"> (7:6) </w:t>
      </w:r>
      <w:r>
        <w:t xml:space="preserve">din această listă</w:t>
      </w:r>
      <w:r>
        <w:t xml:space="preserve">, pe de alta,</w:t>
      </w:r>
      <w:r>
        <w:t xml:space="preserve"> </w:t>
      </w:r>
      <w:r>
        <w:t xml:space="preserve">arată că </w:t>
      </w:r>
      <w:r>
        <w:t xml:space="preserve">a fost </w:t>
      </w:r>
      <w:r>
        <w:t xml:space="preserve">mai important să se evidenţieze 12 grupuri israelite, din seminţii diferite, a câte 12,000 de aleşi, decât să se acopere cu mare exactitate lista celor 12 seminţii ca atare, conform copiilor lui Iacov. Practic, se lasă să se înţeleagă ideea că aceştia sunt oameni mântuiţi din Israel, adică „rămăşiţa” – aşa cum se scrie în Romani 9</w:t>
      </w:r>
      <w:r>
        <w:t xml:space="preserve">:27, </w:t>
      </w:r>
      <w:r>
        <w:t xml:space="preserve">11</w:t>
      </w:r>
      <w:r>
        <w:t xml:space="preserve">:5-7</w:t>
      </w:r>
      <w:r>
        <w:t xml:space="preserve">. Această imagine aduce aminte şi de păstrarea lui Israel în Egipt, în timpul plăgilor, precum şi de rămăşiţa rămăşiţa din timpul lui Ilie şi Ahab etc. Ei pot reprezenta creştinii din Israel, din vremea sfârşitului, sau pot reprezenta toţi creştinii din Israel, de-a lungul istoriei. Pentru unii autori, ei ar putea să fie chiar Biserica, deoarece şi Biserica a început cu 12 apostoli</w:t>
      </w:r>
      <w:r>
        <w:rPr>
          <w:rStyle w:val="FootnoteReference"/>
        </w:rPr>
        <w:footnoteReference w:id="7"/>
      </w:r>
      <w:r>
        <w:t xml:space="preserve">.</w:t>
      </w:r>
      <w:r>
        <w:t xml:space="preserve"> Problema </w:t>
      </w:r>
      <w:r>
        <w:t xml:space="preserve">cu această interpretare </w:t>
      </w:r>
      <w:r>
        <w:t xml:space="preserve">este că Biserica nu poate fi raportată </w:t>
      </w:r>
      <w:r>
        <w:t xml:space="preserve">în mod </w:t>
      </w:r>
      <w:r>
        <w:t xml:space="preserve">exact la </w:t>
      </w:r>
      <w:r>
        <w:t xml:space="preserve">cele </w:t>
      </w:r>
      <w:r>
        <w:t xml:space="preserve">12 seminţii ale fiilor lui Iacov şi, de asemenea, se pare că Biserica din toate neamurile este reprezentată </w:t>
      </w:r>
      <w:r>
        <w:t xml:space="preserve">prin</w:t>
      </w:r>
      <w:r>
        <w:t xml:space="preserve"> mulţimea mare de oameni îmbrăcaţi în haine albe, cu finici în mâini, stând înaintea tronului lui Isus</w:t>
      </w:r>
      <w:r>
        <w:t xml:space="preserve"> în capitolul 7 şi 22</w:t>
      </w:r>
      <w:r>
        <w:t xml:space="preserve"> (7:9; cf. Apoc. 22)</w:t>
      </w:r>
      <w:r>
        <w:rPr>
          <w:rStyle w:val="FootnoteReference"/>
        </w:rPr>
        <w:footnoteReference w:id="8"/>
      </w:r>
      <w:r>
        <w:t xml:space="preserve">. </w:t>
      </w:r>
    </w:p>
    <w:p>
      <w:r>
        <w:t xml:space="preserve">I</w:t>
      </w:r>
      <w:r>
        <w:t xml:space="preserve">maginea pecetluirii comunică apartenenţă, identitate, alegere</w:t>
      </w:r>
      <w:r>
        <w:t xml:space="preserve">, </w:t>
      </w:r>
      <w:r>
        <w:t xml:space="preserve"> pază şi </w:t>
      </w:r>
      <w:r>
        <w:t xml:space="preserve">mai indică ceva: pecetluirea pe mână şi frunte este iniţiativa lui Dumnezeu. Când în capitolul 13 Fiara va pecetlui pe adepţii ei, acţiunea </w:t>
      </w:r>
      <w:r>
        <w:t xml:space="preserve">aceea va fi, de fapt, una </w:t>
      </w:r>
      <w:r>
        <w:t xml:space="preserve">copiată după iniţiativa lui Dumnezeu,</w:t>
      </w:r>
      <w:r>
        <w:t xml:space="preserve"> prin contrast şi</w:t>
      </w:r>
      <w:r>
        <w:t xml:space="preserve"> prin răzvrătire (13:16-17; cf. şi 19:20; în 9:4 oamenii care nu au pecetea lui Dumnezeu vor fi vătămaţi de suferinţe, la fel şi în 16:2).</w:t>
      </w:r>
    </w:p>
    <w:p>
      <w:r>
        <w:t xml:space="preserve">În ce-i priveşte pe cei 144,000, este interesant că acest număr reapare în</w:t>
      </w:r>
      <w:r>
        <w:t xml:space="preserve"> cap. 14:1-4</w:t>
      </w:r>
      <w:r>
        <w:t xml:space="preserve"> şi acolo se spune despre ei că sunt feciorelnici – sau „verguri” (adică oameni </w:t>
      </w:r>
      <w:r>
        <w:t xml:space="preserve">necăsătoriţi, feciori; </w:t>
      </w:r>
      <w:r>
        <w:t xml:space="preserve">şi </w:t>
      </w:r>
      <w:r>
        <w:t xml:space="preserve">se spune că nu s-au întinat cu femei), şi că </w:t>
      </w:r>
      <w:r>
        <w:t xml:space="preserve">ei sunt primul rod al Mielulu</w:t>
      </w:r>
      <w:r>
        <w:t xml:space="preserve">i şi îl urmează peste tot, oriunde ar merge.</w:t>
      </w:r>
      <w:r>
        <w:t xml:space="preserve"> În acel context, din capitolul 14, cei 144,000 se pare că reprezintă toată Biserica, şi cu neamuri şi cu evrei, şi merge oriunde cu Hristos (el fiind Capul Bisericii, iar ei pârga,</w:t>
      </w:r>
      <w:r>
        <w:t xml:space="preserve"> primul rod a</w:t>
      </w:r>
      <w:r>
        <w:t xml:space="preserve">l suferinţelor sale). Persoanele din jur nu sunt umane, doar ei reprezintă omenirea. </w:t>
      </w:r>
    </w:p>
    <w:p>
      <w:r>
        <w:t xml:space="preserve">Precizarea că </w:t>
      </w:r>
      <w:r>
        <w:t xml:space="preserve">nu s-au întinat cu femei se referă, foarte probabil, la neîntinarea cu prostituate (</w:t>
      </w:r>
      <w:r>
        <w:t xml:space="preserve">deoarece </w:t>
      </w:r>
      <w:r>
        <w:t xml:space="preserve">căsătoria este sfântă în Biblie). Or, în Apocalipsa apare Prostituata cea mare cu care s-au prostituat popoarele lumii şi conducătorii </w:t>
      </w:r>
      <w:r>
        <w:t xml:space="preserve">lor </w:t>
      </w:r>
      <w:r>
        <w:t xml:space="preserve">(</w:t>
      </w:r>
      <w:r>
        <w:t xml:space="preserve">prostituata reprezintă </w:t>
      </w:r>
      <w:r>
        <w:t xml:space="preserve">un sistem politic </w:t>
      </w:r>
      <w:r>
        <w:t xml:space="preserve">şi religios decăzut). De asemenea, mai există în Exod şi Numeri, detalii despre prostituarea </w:t>
      </w:r>
      <w:r>
        <w:t xml:space="preserve">israeliţilor cu femeile din popoarele canaanite, fapt pedepsit de Dumnezeu. De aceea, cei 144,000 sunt cei care nu s-au prostituat cu păgânismul, ci au fost mântuiţi şi au rămas credincioşi Domnului</w:t>
      </w:r>
      <w:r>
        <w:t xml:space="preserve">, toată Biserica, toţi cei mântuiţi, dintre neamuri şi dintre evrei</w:t>
      </w:r>
      <w:r>
        <w:t xml:space="preserve">. Este posibil ca imaginea fecioriei să însemne mai mult decât curăţie şi dedicare, să însemne şi înviere în slavă, deoarece după înviere, spune Mântuitorul, oamenii vor fi ca îngerii şi nu se vor mai căsători.</w:t>
      </w:r>
    </w:p>
    <w:p>
      <w:r>
        <w:rPr>
          <w:b/>
          <w:bCs w:val="0"/>
        </w:rPr>
        <w:t xml:space="preserve">A şaptea pecete</w:t>
      </w:r>
      <w:r>
        <w:t xml:space="preserve">, </w:t>
      </w:r>
      <w:r>
        <w:t xml:space="preserve">şi </w:t>
      </w:r>
      <w:r>
        <w:t xml:space="preserve">ultima (8:1), aduce o tăcere de jumătate de oră şi cu ea vine o nouă serie de şapte judecăţi, ce vor conduse de şapte îngeri puternici: anume, judecata trâmbiţelor.</w:t>
      </w:r>
      <w:r>
        <w:rPr>
          <w:rStyle w:val="fr-Footnote-Reference"/>
        </w:rPr>
        <w:footnoteReference w:id="9"/>
      </w:r>
      <w:r>
        <w:t xml:space="preserve"> Ruperea celei de a şaptea peceţi reprezintă, astfel, viziunea celor şapte îngeri care vor suna din şapte trâmbiţe, vestind judecata. Scena este însoţită de gesturi specifice de închinare, în cadrul liturghiei din Templul ceresc (cădelniţare cu tămâie, la altar, rugăciunile sfinţilor, aruncarea de foc din altar, cu cădelniţa, pe pământ, unde acesta porneşte cutremure, vaiete, fulgere şi tunete).</w:t>
      </w:r>
    </w:p>
    <w:p/>
    <w:p>
      <w:pPr>
        <w:pStyle w:val="Heading5"/>
        <w:numPr>
          <w:ilvl w:val="0"/>
          <w:numId w:val="36"/>
        </w:numPr>
      </w:pPr>
      <w:r>
        <w:t xml:space="preserve">Viziunile celor</w:t>
      </w:r>
      <w:r>
        <w:t xml:space="preserve"> şapte </w:t>
      </w:r>
      <w:r>
        <w:t xml:space="preserve">trâmbiţe</w:t>
      </w:r>
    </w:p>
    <w:p/>
    <w:p>
      <w:pPr>
        <w:ind w:firstLine="0"/>
      </w:pPr>
      <w:r>
        <w:t xml:space="preserve">Judecata trâmbiţelor urmează aceeaşi structură, ca şi judecata </w:t>
      </w:r>
      <w:r>
        <w:t xml:space="preserve">peceţilor, 4+3. Prima serie de patru</w:t>
      </w:r>
      <w:r>
        <w:t xml:space="preserve"> trâmbiţe afectează 1/3 din omenire, din planetă (prima trâmbiţă, 8:7; a doua, 8.8;  a treia trâmbiţă, 8.10; a patra trâmbiţă, 8.12), iar ultimile trei trâmbiţe aduc un element nou în desfăşurarea judecăţilor, anume implicarea forţelor demonice în istoria pedepselor şi a răzvrătirii pământului (9.1; 9.13; 11.15). Ultima trâmbiţă deschide seria unor viziuni speciale, anume a viziunilor celor</w:t>
      </w:r>
      <w:r>
        <w:t xml:space="preserve"> şapte </w:t>
      </w:r>
      <w:r>
        <w:t xml:space="preserve">semne mari (cap. 12-15; totuşi, trebuie remarcat că aceste</w:t>
      </w:r>
      <w:r>
        <w:t xml:space="preserve"> şapte </w:t>
      </w:r>
      <w:r>
        <w:t xml:space="preserve">semne mari nu sunt numerotate în textul biblic, ca atare). </w:t>
      </w:r>
    </w:p>
    <w:p>
      <w:r>
        <w:rPr>
          <w:b/>
          <w:bCs w:val="0"/>
        </w:rPr>
        <w:t xml:space="preserve">Prima trâmbiţă</w:t>
      </w:r>
      <w:r>
        <w:t xml:space="preserve"> aduce grindină şi foc pe pământ: o treime, 1/3, din pământ este arsă, iar oamenii mor. </w:t>
      </w:r>
    </w:p>
    <w:p>
      <w:r>
        <w:t xml:space="preserve">La </w:t>
      </w:r>
      <w:r>
        <w:rPr>
          <w:b/>
          <w:bCs w:val="0"/>
        </w:rPr>
        <w:t xml:space="preserve">a doua trâmbiţă</w:t>
      </w:r>
      <w:r>
        <w:t xml:space="preserve">, un munte în flăcări cade în mare: o treime, 1/3, din mare şi oceane se preface în sânge şi o treime din viaţa marină este distrusă. </w:t>
      </w:r>
    </w:p>
    <w:p>
      <w:r>
        <w:t xml:space="preserve">La cea de-a </w:t>
      </w:r>
      <w:r>
        <w:rPr>
          <w:b/>
          <w:bCs w:val="0"/>
        </w:rPr>
        <w:t xml:space="preserve">treia trâmbiţă</w:t>
      </w:r>
      <w:r>
        <w:t xml:space="preserve">, o stea </w:t>
      </w:r>
      <w:r>
        <w:t xml:space="preserve">de foc</w:t>
      </w:r>
      <w:r>
        <w:t xml:space="preserve"> – cu numele simbolic Absint</w:t>
      </w:r>
      <w:r>
        <w:t xml:space="preserve"> (Pelin, adică „amar”)</w:t>
      </w:r>
      <w:r>
        <w:t xml:space="preserve">, cade în râuri: o t</w:t>
      </w:r>
      <w:r>
        <w:t xml:space="preserve">reime, 1/3, din apa dulce devine</w:t>
      </w:r>
      <w:r>
        <w:t xml:space="preserve"> amară, dăunătoare</w:t>
      </w:r>
      <w:r>
        <w:t xml:space="preserve">,</w:t>
      </w:r>
      <w:r>
        <w:t xml:space="preserve"> şi mor mulţi oameni. </w:t>
      </w:r>
    </w:p>
    <w:p>
      <w:r>
        <w:t xml:space="preserve">Când sună </w:t>
      </w:r>
      <w:r>
        <w:rPr>
          <w:b/>
          <w:bCs w:val="0"/>
        </w:rPr>
        <w:t xml:space="preserve">a patra trâmbiţă</w:t>
      </w:r>
      <w:r>
        <w:t xml:space="preserve"> lumina </w:t>
      </w:r>
      <w:r>
        <w:t xml:space="preserve">cerului</w:t>
      </w:r>
      <w:r>
        <w:t xml:space="preserve"> este lovită: o</w:t>
      </w:r>
      <w:r>
        <w:t xml:space="preserve"> treime, 1/3, din lumina lunii, soarelui şi a stelelor</w:t>
      </w:r>
      <w:r>
        <w:t xml:space="preserve"> este distrusă</w:t>
      </w:r>
      <w:r>
        <w:t xml:space="preserve">, se pierde</w:t>
      </w:r>
      <w:r>
        <w:t xml:space="preserve">. </w:t>
      </w:r>
    </w:p>
    <w:p>
      <w:r>
        <w:t xml:space="preserve">Între primele patru trâmbiţe şi ultimele trei, apare un vultur zburând la zenit, care pronunţă trei vaiete profetice: „</w:t>
      </w:r>
      <w:r>
        <w:rPr>
          <w:b/>
          <w:bCs w:val="0"/>
        </w:rPr>
        <w:t xml:space="preserve">Vai, vai, vai</w:t>
      </w:r>
      <w:r>
        <w:t xml:space="preserve">, locuitorilor pământului, din cauza celorlalte glasuri ale trâmbiţelor celor trei îngeri care urmează să trâmbiţeze” (8:13). </w:t>
      </w:r>
      <w:r>
        <w:t xml:space="preserve">Aceste trei vaiuri sau nenorociri reprezintă ultimele</w:t>
      </w:r>
      <w:r>
        <w:t xml:space="preserve"> </w:t>
      </w:r>
      <w:r>
        <w:t xml:space="preserve">trei </w:t>
      </w:r>
      <w:r>
        <w:t xml:space="preserve">trâmbiţe</w:t>
      </w:r>
      <w:r>
        <w:t xml:space="preserve">, în </w:t>
      </w:r>
      <w:r>
        <w:t xml:space="preserve">8:13, 9:12, 11:14, </w:t>
      </w:r>
      <w:r>
        <w:t xml:space="preserve">şi asigură</w:t>
      </w:r>
      <w:r>
        <w:t xml:space="preserve"> un fel de structură secundară</w:t>
      </w:r>
      <w:r>
        <w:t xml:space="preserve">, integrată,</w:t>
      </w:r>
      <w:r>
        <w:t xml:space="preserve"> în interiorul seriei de trâmbiţe.</w:t>
      </w:r>
    </w:p>
    <w:p>
      <w:r>
        <w:rPr>
          <w:b/>
          <w:bCs w:val="0"/>
        </w:rPr>
        <w:t xml:space="preserve">A cincea trâmbiţă</w:t>
      </w:r>
      <w:r>
        <w:t xml:space="preserve"> aduce viziunea căderii unei stele – probabil a unui înger (posibil un înger necurat), care primeşte cheile şi deschide fântâna Adâncului, închisoarea îngerilor căzuţi, fapt ce duce la invadarea pământului de către spirite necurate, ca nişte lăcuste uriaşe – cât nişte cai, conduse de îngerul demonic al distrugerii, Abbadon – Apollion. Din perspectiva acestei trâmbiţe se poate pune întrebarea dacă muntele căzut din cer la trâmbiţa a 3-a şi steaua Pelin, din cadrul trâmbiţei a 4-a, sunt şi ele simple corpuri cereşti, nişte meteoriţi, eventual, sau au şi ele un corespondent spiritual, un înger care conduce evenimentul. </w:t>
      </w:r>
    </w:p>
    <w:p>
      <w:r>
        <w:t xml:space="preserve">O observaţie importantă, în acest moment, este faptul că î</w:t>
      </w:r>
      <w:r>
        <w:t xml:space="preserve">ncepând cu trâmbiţa a cincea se asistă la o îngemănare a răzvrătirii omeneşti cu cea a îngerilor căzuţi, iar suferinţele nu vor fi cauzate doar de pedepsele divine, ci şi de acţiunile distrugătoare ale acestor îngeri. </w:t>
      </w:r>
      <w:r>
        <w:t xml:space="preserve">Trâmbiţa a cincea este un fel de pivot narativ, din acest punct de vedere, de aici încolo răzvrătirea umană merge în asociere deplină cu răzvrătirea demonică (deşi adesea oamenii suferă în plus foarte mult din cauza acestei asocieri).</w:t>
      </w:r>
    </w:p>
    <w:p>
      <w:r>
        <w:t xml:space="preserve">Invazia demonică se continuă cu </w:t>
      </w:r>
      <w:r>
        <w:rPr>
          <w:b/>
          <w:bCs w:val="0"/>
        </w:rPr>
        <w:t xml:space="preserve">trâmbiţa a şasea</w:t>
      </w:r>
      <w:r>
        <w:t xml:space="preserve">: dezlegarea celor patru îngeri necuraţi care ţint vânturile distrugerii. Nenorocirile aduse de ei şi de armatele lor (20.000x10.000 = 200.000.000, 200 de milioane) distrug o treime din populaţia pământului, dar oamenii tot nu se pocăiesc de răut</w:t>
      </w:r>
      <w:r>
        <w:t xml:space="preserve">ate</w:t>
      </w:r>
      <w:r>
        <w:t xml:space="preserve"> şi </w:t>
      </w:r>
      <w:r>
        <w:t xml:space="preserve">de </w:t>
      </w:r>
      <w:r>
        <w:t xml:space="preserve">ocultism. În mijlocul acestui dezastru, autoritatea divină se face, totuşi simţită, şi un înger extrem de puternic, asemănător cu Isus din capitolul 1, coboară din ceruri şi vorbeşte cu glas puternic, făcând să se audă un mesaj intimidant al celor</w:t>
      </w:r>
      <w:r>
        <w:t xml:space="preserve"> şapte </w:t>
      </w:r>
      <w:r>
        <w:t xml:space="preserve">tunete. </w:t>
      </w:r>
    </w:p>
    <w:p>
      <w:r>
        <w:t xml:space="preserve">În acest punct</w:t>
      </w:r>
      <w:r>
        <w:t xml:space="preserve"> specific</w:t>
      </w:r>
      <w:r>
        <w:t xml:space="preserve">, cartea Apocalipsa devine </w:t>
      </w:r>
      <w:r>
        <w:t xml:space="preserve">extrem de interesantă, deoarece</w:t>
      </w:r>
      <w:r>
        <w:t xml:space="preserve"> lui Ioan nu i se permite să scrie mesajul </w:t>
      </w:r>
      <w:r>
        <w:t xml:space="preserve">celor</w:t>
      </w:r>
      <w:r>
        <w:t xml:space="preserve"> şapte </w:t>
      </w:r>
      <w:r>
        <w:t xml:space="preserve">tunete</w:t>
      </w:r>
      <w:r>
        <w:t xml:space="preserve">, deşi este evident că l-a înţeles şi că era gata să îl consemneze (10:4). Apocalipsa (descoperire</w:t>
      </w:r>
      <w:r>
        <w:t xml:space="preserve">, dezvăluire, decriptare</w:t>
      </w:r>
      <w:r>
        <w:t xml:space="preserve">) include, astfel, şi </w:t>
      </w:r>
      <w:r>
        <w:t xml:space="preserve">referinţe despre</w:t>
      </w:r>
      <w:r>
        <w:t xml:space="preserve"> </w:t>
      </w:r>
      <w:r>
        <w:t xml:space="preserve">mesaje „acoperite”, ascunse, pecetluite, încriptate</w:t>
      </w:r>
      <w:r>
        <w:t xml:space="preserve"> (aduce aminte de cartea Daniel, când i se cere să pecetluiască anumite vedenii</w:t>
      </w:r>
      <w:r>
        <w:t xml:space="preserve"> din carte</w:t>
      </w:r>
      <w:r>
        <w:t xml:space="preserve">, adică să nu le explice, deoarece sunt pentru vremuri îndepărtate</w:t>
      </w:r>
      <w:r>
        <w:t xml:space="preserve">, Dan. </w:t>
      </w:r>
      <w:r>
        <w:t xml:space="preserve">12:</w:t>
      </w:r>
      <w:r>
        <w:t xml:space="preserve">4</w:t>
      </w:r>
      <w:r>
        <w:t xml:space="preserve">)</w:t>
      </w:r>
      <w:r>
        <w:t xml:space="preserve">.</w:t>
      </w:r>
    </w:p>
    <w:p>
      <w:r>
        <w:t xml:space="preserve">Îngerul foarte puternic anunţă ca timpul judecăţii se sfârşeşte şi ca finalul va fi adus de a şaptea trâmbiţă. Lui Ioan i se dă o carte să o mănânce şi i se dau profeţii despre neamuri şi împăraţi. Apare aici o relaţie interesantă cu cuvântul divin care este hrană: el are o acţiune de curăţire, de tulburare a trupului, dar şi de satisfacţie intelectuală şi de încurajare a comunicării.</w:t>
      </w:r>
    </w:p>
    <w:p>
      <w:r>
        <w:t xml:space="preserve">După intervenţia acestui înger, capitolul 10 vine să descrie conflictul dintre forţele demonice (conduse de îngerul Abisului) şi umanitatea păcătoasă, pe deoparte, şi doi martori credincioşi ai lui Dumnezeu, pe de cealaltă parte. Fie întreaga trâmbiţă a şasea, fie doar acest ultim conflict, reprezintă cea  de a treia nenorocire, adică cel de al treilea vai din cele trei anunţate de vulturul din 8.13. Aici intră şi distrugerile provocate de Dumnezeu, la învierea şi ridicarea la ceruri a acestor doi martori: un cutremur mare distruge o zecime din cetatea Ierihon – Sodoma (nume simbolic) şi ucide 7.000 de oameni.</w:t>
      </w:r>
    </w:p>
    <w:p>
      <w:r>
        <w:t xml:space="preserve">În final, 11:15, a şaptea trâmbiţă aduce reluarea închinării cereşti prin deschiderea Templului din cer, şi prin cântarea unor cântări de glorie şi de biruinţă (din nou se întrevede finalul biruintor, cf. Apocalipsa 22). În acelaşi timp, ea va aduce a treia mare nenorocire (vai). Această trâmbiţă este urmată de o serie de</w:t>
      </w:r>
      <w:r>
        <w:t xml:space="preserve"> şapte </w:t>
      </w:r>
      <w:r>
        <w:t xml:space="preserve">semne „mari’.</w:t>
      </w:r>
    </w:p>
    <w:p/>
    <w:p>
      <w:pPr>
        <w:pStyle w:val="Heading5"/>
        <w:numPr>
          <w:ilvl w:val="0"/>
          <w:numId w:val="36"/>
        </w:numPr>
      </w:pPr>
      <w:r>
        <w:t xml:space="preserve">Marele interludiu 12-15:</w:t>
      </w:r>
      <w:r>
        <w:t xml:space="preserve"> </w:t>
      </w:r>
      <w:r>
        <w:t xml:space="preserve">încă </w:t>
      </w:r>
      <w:r>
        <w:t xml:space="preserve">şapte </w:t>
      </w:r>
      <w:r>
        <w:t xml:space="preserve">semne mari</w:t>
      </w:r>
      <w:r>
        <w:rPr>
          <w:vertAlign w:val="superscript"/>
        </w:rPr>
        <w:footnoteReference w:id="10"/>
      </w:r>
      <w:r>
        <w:t xml:space="preserve">?</w:t>
      </w:r>
    </w:p>
    <w:p/>
    <w:p>
      <w:pPr>
        <w:ind w:firstLine="0"/>
      </w:pPr>
      <w:r>
        <w:t xml:space="preserve">Această serie de semne apare în spaţiul dintre trâmbiţa a şaptea şi primul potir (un </w:t>
      </w:r>
      <w:r>
        <w:rPr>
          <w:i/>
        </w:rPr>
        <w:t xml:space="preserve">intermezzo</w:t>
      </w:r>
      <w:r>
        <w:t xml:space="preserve"> sau o pauză în seria de pedepse şi de urgii) şi cuprinde: </w:t>
      </w:r>
    </w:p>
    <w:p/>
    <w:p>
      <w:pPr>
        <w:pStyle w:val="bloclateral-1"/>
      </w:pPr>
      <w:r>
        <w:t xml:space="preserve">1) semnul mare al femeii din cer şi al balaurului roşu (cap. 12;</w:t>
      </w:r>
      <w:r>
        <w:t xml:space="preserve"> se pare că semnul este alcătuit din două semne mari distincte</w:t>
      </w:r>
      <w:r>
        <w:t xml:space="preserve">: unul al femeii şi al copilului, iar celălalt semnul balaurului). Este remarcabil că în cadrul acestui semn se vede într-o imagine globală, întregul destin al omenirii, de la Eva, la Israel, la Maria şi la Hristos, şi până la victoria finală a celor sfinţi; totuşi, semnul se încheie cu ideea că Satana, balaurul roşu, mai încearcă o ultimă stratagemă pentru înfrângerea celor credincioşi: ridicarea unor sisteme şi personalităţi politice influente: fiara din mare şi fiara de pe pământ); </w:t>
      </w:r>
    </w:p>
    <w:p>
      <w:pPr>
        <w:pStyle w:val="bloclateral-1"/>
      </w:pPr>
    </w:p>
    <w:p>
      <w:pPr>
        <w:pStyle w:val="bloclateral-1"/>
      </w:pPr>
      <w:r>
        <w:t xml:space="preserve">2) semnul fiarei ieşite din mare: Imper</w:t>
      </w:r>
      <w:r>
        <w:t xml:space="preserve">iul neamurilor sau Antihristul, cap. 13.</w:t>
      </w:r>
    </w:p>
    <w:p>
      <w:pPr>
        <w:pStyle w:val="bloclateral-1"/>
      </w:pPr>
    </w:p>
    <w:p>
      <w:pPr>
        <w:pStyle w:val="bloclateral-1"/>
      </w:pPr>
      <w:r>
        <w:t xml:space="preserve">3) semnul fiarei ieşite din pământ (cap. 13), Antichristul sau profetul mincinos. </w:t>
      </w:r>
    </w:p>
    <w:p>
      <w:pPr>
        <w:pStyle w:val="bloclateral-1"/>
      </w:pPr>
    </w:p>
    <w:p>
      <w:pPr>
        <w:pStyle w:val="bloclateral-1"/>
      </w:pPr>
      <w:r>
        <w:t xml:space="preserve">4) </w:t>
      </w:r>
      <w:r>
        <w:t xml:space="preserve">semnul Mielului şi a celor 144.</w:t>
      </w:r>
      <w:r>
        <w:t xml:space="preserve">000 (o prefigurare a victoriei celor credincioşi din Israel şi a lui Hristos – detaliile Mielului corespund cu imaginea lui Hristos din cap. 1), </w:t>
      </w:r>
    </w:p>
    <w:p>
      <w:pPr>
        <w:pStyle w:val="bloclateral-1"/>
      </w:pPr>
    </w:p>
    <w:p>
      <w:pPr>
        <w:pStyle w:val="bloclateral-1"/>
      </w:pPr>
      <w:r>
        <w:t xml:space="preserve">5) semnul celor trei îngeri care vestesc căderea Babilonului şi judecata omenirii;</w:t>
      </w:r>
    </w:p>
    <w:p>
      <w:pPr>
        <w:pStyle w:val="bloclateral-1"/>
      </w:pPr>
    </w:p>
    <w:p>
      <w:pPr>
        <w:pStyle w:val="bloclateral-1"/>
      </w:pPr>
      <w:r>
        <w:t xml:space="preserve">6) viziunea Fiului omului şi a secerişului final al omenirii (cu secera divină, tăioasă şi sângeroasă) – o prevestire a judecăţii finale (cap. 14);</w:t>
      </w:r>
    </w:p>
    <w:p>
      <w:pPr>
        <w:pStyle w:val="bloclateral-1"/>
      </w:pPr>
    </w:p>
    <w:p>
      <w:pPr>
        <w:pStyle w:val="bloclateral-1"/>
      </w:pPr>
      <w:r>
        <w:t xml:space="preserve">7) semnul „mare şi minunat” (15:1 etc.), care include şi viziunea privitoare la cei şapte îngeri care aduc ultimele</w:t>
      </w:r>
      <w:r>
        <w:t xml:space="preserve"> şapte </w:t>
      </w:r>
      <w:r>
        <w:t xml:space="preserve"> judecăţi, judecăţile potirelor mâniei lui Dumnezeu. </w:t>
      </w:r>
    </w:p>
    <w:p>
      <w:pPr>
        <w:pStyle w:val="bloclateral-1"/>
      </w:pPr>
    </w:p>
    <w:p/>
    <w:p>
      <w:r>
        <w:rPr>
          <w:b/>
          <w:bCs w:val="0"/>
        </w:rPr>
        <w:t xml:space="preserve">Capitolul 12</w:t>
      </w:r>
      <w:r>
        <w:t xml:space="preserve"> reprezintă un rezumat rapid al istoriei omenirii (</w:t>
      </w:r>
      <w:r>
        <w:rPr>
          <w:b/>
          <w:bCs w:val="0"/>
        </w:rPr>
        <w:t xml:space="preserve">flash-back</w:t>
      </w:r>
      <w:r>
        <w:t xml:space="preserve"> şi </w:t>
      </w:r>
      <w:r>
        <w:rPr>
          <w:b/>
          <w:bCs w:val="0"/>
        </w:rPr>
        <w:t xml:space="preserve">flash-forward)</w:t>
      </w:r>
      <w:r>
        <w:t xml:space="preserve">, pentru că se pleacă de la imaginea femeii învăluite în soare şi cu luna la picioare, având o cunună de 12 stele pe cap (posibil omenirea mântuită întruchipată ca o femeie; posibil femeia generică din care se va naşte Mesia – aluzie la naşterea lui Mesia aşa cum s-a pro</w:t>
      </w:r>
      <w:r>
        <w:t xml:space="preserve">fe</w:t>
      </w:r>
      <w:r>
        <w:rPr>
          <w:rFonts w:ascii="Times New Roman" w:hAnsi="Times New Roman"/>
        </w:rPr>
        <w:t xml:space="preserve">țit</w:t>
      </w:r>
      <w:r>
        <w:t xml:space="preserve"> în Geneza 3; şi desigur posibil Israel sau chiar Maria din care se va naşte Hristos; spre sfârşitul capitolului femeia poate fi interpretată ca Biserica – ea şi urmaşii ei, rămăşiţa urmaşilor ei, care au crezut în Hristos, cu posibilitatea ca să se refere la o parte din Biserică venită din Israel, Rămăşiţa). Capitolul are trei părţi: 1-6, 7-12, 13-17 (18). Ele descriu naşterea şi înălţarea lui Hristos şi izbăvirea copilului, precum şi a femeii (în restul capitolului, în momentul în care este dusă să fie ocrotită de cel rău, ea pare să devină Biserica; la fel şi în finalul capitolului, când se vorbeşte despre femeie şi urmaşii seminţei copilului, care au credinţa lui Hristos), de atacurile Balaurului mare şi roşu (Satana). </w:t>
      </w:r>
    </w:p>
    <w:p/>
    <w:p>
      <w:pPr>
        <w:jc w:val="center"/>
      </w:pPr>
      <w:r>
        <w:rPr>
          <w:lang w:val="en-US"/>
        </w:rPr>
        <mc:AlternateContent>
          <mc:Choice Requires="wpg">
            <w:drawing>
              <wp:inline xmlns:wp="http://schemas.openxmlformats.org/drawingml/2006/wordprocessingDrawing" distT="0" distB="0" distL="0" distR="0">
                <wp:extent cx="2914650" cy="2019300"/>
                <wp:effectExtent l="0" t="0" r="0" b="0"/>
                <wp:docPr id="5" name="Picture 7" descr="E:\Lucrari teologice\apocalipsa\eschatology\re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ucrari teologice\apocalipsa\eschatology\rev12.jpg"/>
                        <pic:cNvPicPr>
                          <a:picLocks noChangeAspect="1" noChangeArrowheads="1"/>
                        </pic:cNvPicPr>
                        <pic:nvPr/>
                      </pic:nvPicPr>
                      <pic:blipFill>
                        <a:blip r:embed="rId17"/>
                        <a:srcRect/>
                        <a:stretch>
                          <a:fillRect/>
                        </a:stretch>
                      </pic:blipFill>
                      <pic:spPr bwMode="auto">
                        <a:xfrm>
                          <a:off x="0" y="0"/>
                          <a:ext cx="2919169" cy="202243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9.50pt;height:159.00pt;mso-wrap-distance-left:0.00pt;mso-wrap-distance-top:0.00pt;mso-wrap-distance-right:0.00pt;mso-wrap-distance-bottom:0.00pt;z-index:1;" stroked="f">
                <v:imagedata r:id="rId17" o:title=""/>
                <o:lock v:ext="edit" rotation="t"/>
              </v:shape>
            </w:pict>
          </mc:Fallback>
        </mc:AlternateContent>
      </w:r>
    </w:p>
    <w:p/>
    <w:p>
      <w:r>
        <w:t xml:space="preserve">Este impresionant să vezi cum doar în câteva versete este recapitulată viaţa lui Isus, păzirea Bisericii (un timp petrecut în pustie, hrănită de Domnul, 1260 de zile; posibilă referinţa la viaţa Bisericii până la venirea Domnului; episodul este reluat, 1:6, 1:14). </w:t>
      </w:r>
    </w:p>
    <w:p>
      <w:r>
        <w:t xml:space="preserve">Războiul din cer din partea a doua, între Mihail şi Satana, şi îngerii lor, se încheie cu înfrângerea lui Satan, care este aruncat pe pământ. Nu se poate preciza însă localizarea temporală a acestui război (după înălţarea lui Isus, înainte de revenirea sa şi de apariţia lui Antihrist, etc). Apar aici două evenimente interesante: un cântec de victorie în ceruri (10-12; în Apocalipsa de mai multe ori este anticipată victoria finală; de asemeni, aici sunt menţionaţi şi oamenii care au ieşit victorioşi împotriva Diavolului: dar nu se ştie despre cine este vorba: despre oameni care au murit în prigoane, sau despre creştinii înainte de venirea Antihristului, sau despre cei care au murit în timpul n</w:t>
      </w:r>
      <w:r>
        <w:t xml:space="preserve">ecazului din timpul stăpânirii a</w:t>
      </w:r>
      <w:r>
        <w:t xml:space="preserve">ntihristice</w:t>
      </w:r>
      <w:r>
        <w:t xml:space="preserve">, sau despre to</w:t>
      </w:r>
      <w:r>
        <w:rPr>
          <w:rFonts w:ascii="Times New Roman" w:hAnsi="Times New Roman"/>
        </w:rPr>
        <w:t xml:space="preserve">ți creștinii care au fost gata să își dea viața pentru Hristos, unii fiind martiri, alții nu</w:t>
      </w:r>
      <w:r>
        <w:t xml:space="preserve">). Acest cântec de victorie pare cântat de un om (</w:t>
      </w:r>
      <w:r>
        <w:t xml:space="preserve">cel ce cântă </w:t>
      </w:r>
      <w:r>
        <w:t xml:space="preserve">îi numeşte pe oameni „fraţii noştri”) şi se referă la jertfa Domnului (victoria prin sângele Mielului), la aruncarea Diavolului din cer pe pământ, precum şi la victoria prin martirajul creştinilor (un element de istorie a Bisericii)</w:t>
      </w:r>
      <w:r>
        <w:t xml:space="preserve">, dar ar putea fi cântat </w:t>
      </w:r>
      <w:r>
        <w:rPr>
          <w:rFonts w:ascii="Times New Roman" w:hAnsi="Times New Roman"/>
        </w:rPr>
        <w:t xml:space="preserve">și de un înger (îngerii sunt descriși, de obicei, în Apocalipsa, ca vorbind cu glas „mare”)</w:t>
      </w:r>
      <w:r>
        <w:t xml:space="preserve">. Cântecul, deci, este fie cântat într-un moment aproape de venirea lui Antihrist şi de sfârşitul istoriei, fie este cântat în ceruri, dintr-o perspectivă atemporală care are acces, dintr-o privire, la prezent, trecut şi viitor. </w:t>
      </w:r>
    </w:p>
    <w:p>
      <w:r>
        <w:t xml:space="preserve">Războiul din ceruri rămâne ca un fel de paranteză, în naraţiunea capitolului, pentru că de la 13-17 se reia imagina cu urmărirea femeii de către Balaur. Acesta îşi reia prigonirea asupra Bisericii şi, întrucât nu reuşeşte să o distrugă, rămâne pe malul mării contemplând cum se poate război cu</w:t>
      </w:r>
      <w:r>
        <w:t xml:space="preserve"> rămăşiţa seminţei ei (</w:t>
      </w:r>
      <w:r>
        <w:t xml:space="preserve">Biserica sau</w:t>
      </w:r>
      <w:r>
        <w:t xml:space="preserve">, posibil,</w:t>
      </w:r>
      <w:r>
        <w:t xml:space="preserve"> israeliţi deveniţi creştini, sfinţi care mărturisesc despre Hristos), evenimente care se vor vedea în capitolul 13.</w:t>
      </w:r>
    </w:p>
    <w:p>
      <w:r>
        <w:rPr>
          <w:b/>
          <w:bCs w:val="0"/>
        </w:rPr>
        <w:t xml:space="preserve">Capitolul 13</w:t>
      </w:r>
      <w:r>
        <w:t xml:space="preserve"> arată alte două viziuni, despre două fiare, care sunt subordonate Balaurului. O fiară se ridică din mare şi la înfăţişare este copia aproape perfectă a Balaurului (după chipul şi asemănare sa: şapte capete, 10 coarne), şi ea reprezintă un imperiu dintre neamuri, care va domina lumea, dar îl reprezintă şi pe Antihrist, ultimul rege care va conduce acest imperiu. După cum se vede, Antihristul pare să vină dintre neamuri. Numărul persoanei reprezentată de prima fiară este 666, un număr de om, şi acesta îşi va impune numărul sau numele, ca o pecete, peste locuitorii pământului, ucigând pe cei care îl refuză.</w:t>
      </w:r>
    </w:p>
    <w:p/>
    <w:p>
      <w:r>
        <w:rPr>
          <w:lang w:val="en-US"/>
        </w:rPr>
        <mc:AlternateContent>
          <mc:Choice Requires="wpg">
            <w:drawing>
              <wp:inline xmlns:wp="http://schemas.openxmlformats.org/drawingml/2006/wordprocessingDrawing" distT="0" distB="0" distL="0" distR="0">
                <wp:extent cx="1927860" cy="1844040"/>
                <wp:effectExtent l="0" t="0" r="0" b="381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r/>
                      </pic:nvPicPr>
                      <pic:blipFill>
                        <a:blip r:embed="rId18"/>
                        <a:srcRect/>
                        <a:stretch>
                          <a:fillRect/>
                        </a:stretch>
                      </pic:blipFill>
                      <pic:spPr bwMode="auto">
                        <a:xfrm>
                          <a:off x="0" y="0"/>
                          <a:ext cx="1927860" cy="184404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1.80pt;height:145.20pt;mso-wrap-distance-left:0.00pt;mso-wrap-distance-top:0.00pt;mso-wrap-distance-right:0.00pt;mso-wrap-distance-bottom:0.00pt;z-index:1;" stroked="f">
                <v:imagedata r:id="rId18" o:title=""/>
                <o:lock v:ext="edit" rotation="t"/>
              </v:shape>
            </w:pict>
          </mc:Fallback>
        </mc:AlternateContent>
      </w:r>
      <w:r>
        <w:rPr>
          <w:lang w:val="en-US"/>
        </w:rPr>
        <mc:AlternateContent>
          <mc:Choice Requires="wpg">
            <w:drawing>
              <wp:inline xmlns:wp="http://schemas.openxmlformats.org/drawingml/2006/wordprocessingDrawing" distT="0" distB="0" distL="0" distR="0">
                <wp:extent cx="1981200" cy="1848049"/>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r/>
                      </pic:nvPicPr>
                      <pic:blipFill>
                        <a:blip r:embed="rId19"/>
                        <a:srcRect/>
                        <a:stretch>
                          <a:fillRect/>
                        </a:stretch>
                      </pic:blipFill>
                      <pic:spPr bwMode="auto">
                        <a:xfrm>
                          <a:off x="0" y="0"/>
                          <a:ext cx="1988003" cy="18543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6.00pt;height:145.52pt;mso-wrap-distance-left:0.00pt;mso-wrap-distance-top:0.00pt;mso-wrap-distance-right:0.00pt;mso-wrap-distance-bottom:0.00pt;z-index:1;" stroked="f">
                <v:imagedata r:id="rId19" o:title=""/>
                <o:lock v:ext="edit" rotation="t"/>
              </v:shape>
            </w:pict>
          </mc:Fallback>
        </mc:AlternateContent>
      </w:r>
    </w:p>
    <w:p/>
    <w:p>
      <w:r>
        <w:t xml:space="preserve">A doua fiară se ridică din uscat, din teritoriul lui Israel, este ca un Miel, dar un fals Miel (este anti-Mielul, numit şi „profetul mincinos”, 16.13, 19.20). Aceasta din urmă lucrează cu puteri supranaturale, demonice, impresionează lumea şi </w:t>
      </w:r>
      <w:r>
        <w:t xml:space="preserve">cheamă omenire să se închine</w:t>
      </w:r>
      <w:r>
        <w:t xml:space="preserve"> la prima fiară. </w:t>
      </w:r>
    </w:p>
    <w:p/>
    <w:p>
      <w:pPr>
        <w:jc w:val="center"/>
      </w:pPr>
      <w:r>
        <w:rPr>
          <w:lang w:val="en-US"/>
        </w:rPr>
        <mc:AlternateContent>
          <mc:Choice Requires="wpg">
            <w:drawing>
              <wp:inline xmlns:wp="http://schemas.openxmlformats.org/drawingml/2006/wordprocessingDrawing" distT="0" distB="0" distL="0" distR="0">
                <wp:extent cx="1607820" cy="1386840"/>
                <wp:effectExtent l="0" t="0" r="0" b="381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r/>
                      </pic:nvPicPr>
                      <pic:blipFill>
                        <a:blip r:embed="rId20"/>
                        <a:srcRect/>
                        <a:stretch>
                          <a:fillRect/>
                        </a:stretch>
                      </pic:blipFill>
                      <pic:spPr bwMode="auto">
                        <a:xfrm>
                          <a:off x="0" y="0"/>
                          <a:ext cx="1607820" cy="138684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6.60pt;height:109.20pt;mso-wrap-distance-left:0.00pt;mso-wrap-distance-top:0.00pt;mso-wrap-distance-right:0.00pt;mso-wrap-distance-bottom:0.00pt;z-index:1;" stroked="f">
                <v:imagedata r:id="rId20" o:title=""/>
                <o:lock v:ext="edit" rotation="t"/>
              </v:shape>
            </w:pict>
          </mc:Fallback>
        </mc:AlternateContent>
      </w:r>
    </w:p>
    <w:p/>
    <w:p>
      <w:r>
        <w:t xml:space="preserve">De asemeni, cea de a doua fiară făureşte o </w:t>
      </w:r>
      <w:r>
        <w:t xml:space="preserve">entitate</w:t>
      </w:r>
      <w:r>
        <w:t xml:space="preserve"> care </w:t>
      </w:r>
      <w:r>
        <w:t xml:space="preserve">redă</w:t>
      </w:r>
      <w:r>
        <w:t xml:space="preserve"> chipul primei fiare, o icoană – sau imagine a acesteia, </w:t>
      </w:r>
      <w:r>
        <w:t xml:space="preserve">prime</w:t>
      </w:r>
      <w:r>
        <w:rPr>
          <w:rFonts w:ascii="Times New Roman" w:hAnsi="Times New Roman"/>
        </w:rPr>
        <w:t xml:space="preserve">ș</w:t>
      </w:r>
      <w:r>
        <w:t xml:space="preserve">te suflare</w:t>
      </w:r>
      <w:r>
        <w:t xml:space="preserve"> de via</w:t>
      </w:r>
      <w:r>
        <w:rPr>
          <w:rFonts w:ascii="Times New Roman" w:hAnsi="Times New Roman"/>
        </w:rPr>
        <w:t xml:space="preserve">ț</w:t>
      </w:r>
      <w:r>
        <w:t xml:space="preserve">ă</w:t>
      </w:r>
      <w:r>
        <w:t xml:space="preserve"> (fiind o încercare demonică de a crea o fiin</w:t>
      </w:r>
      <w:r>
        <w:rPr>
          <w:rFonts w:ascii="Times New Roman" w:hAnsi="Times New Roman"/>
        </w:rPr>
        <w:t xml:space="preserve">ță vie)</w:t>
      </w:r>
      <w:r>
        <w:t xml:space="preserve">, </w:t>
      </w:r>
      <w:r>
        <w:t xml:space="preserve">care va uimi întregul pământ şi va copia comportamentul şi mesajul acestei fiare (o supra-realiza</w:t>
      </w:r>
      <w:r>
        <w:t xml:space="preserve">re tehnologică). </w:t>
      </w:r>
    </w:p>
    <w:p>
      <w:r>
        <w:t xml:space="preserve">Apare</w:t>
      </w:r>
      <w:r>
        <w:t xml:space="preserve"> astfel</w:t>
      </w:r>
      <w:r>
        <w:t xml:space="preserve">, pe pământ,</w:t>
      </w:r>
      <w:r>
        <w:t xml:space="preserve"> </w:t>
      </w:r>
      <w:r>
        <w:t xml:space="preserve">o treime a răului demonic şi uman (Balaurul, fiara din mare – asemănătoare Balaurului, şi fiara de pe uscat – cea asemănătoare cu un Miel; vezi şi 16:13), dar şi o treime a răului în guvernare politică terestră (fiara din mare, fiara de pe uscat, şi chipul fiarei din mare, un fel de android sau robot).</w:t>
      </w:r>
    </w:p>
    <w:p>
      <w:r>
        <w:rPr>
          <w:b/>
          <w:bCs w:val="0"/>
        </w:rPr>
        <w:t xml:space="preserve">Capitolul 14</w:t>
      </w:r>
      <w:r>
        <w:t xml:space="preserve"> începe cu o serie interesantă de imagini: Ioan vede 144.000 de oameni care sunt feciorelnici şi sunt „cel dintâi rod” al lui Hristos dintre oameni. Ei sunt fie cei 144.000 pecetluiţi în capitolul 7, fie un grup diferit, pentru că aceia erau pecetluiţi undeva la sfârşitul istoriei, iar aceştia sunt de undeva de la începutul istoriei Bisericii (sunt primul rod pentru Hristos şi pentru Dumnezeu, slujitori care nu s-au căsătorit şi s-au dedicat deplin slujirii); în plus, despre ei nu se spune că ar fi fost pecetluiţi înainte de vreo mare persecuţie finală sau înainte de plăgile finale. În cazul acesta </w:t>
      </w:r>
      <w:r>
        <w:t xml:space="preserve">144,000 ar fi un </w:t>
      </w:r>
      <w:r>
        <w:t xml:space="preserve">număr cu două semnificaţii</w:t>
      </w:r>
      <w:r>
        <w:t xml:space="preserve"> în cartea Apocalipsei.</w:t>
      </w:r>
    </w:p>
    <w:p>
      <w:r>
        <w:t xml:space="preserve">După această menţiune, apar trei îngeri cu mesaje profetice: un înger care vesteşte tuturor evanghelia, din înaltul cerului (14:6-7); un alt înger care vesteşte căderea Babilonului (8), şi un al treilea înger care vesteşte nenorocirile care vin pentru cei ce acceptă domnia Fiarei şi a Balaurului şi primesc pecetea lor (9-12). În paralel, o voce cerească anunţă şi răsplătirile celor ce vor muri cu credinţă în Domnul, făcând faţă presiunilor antihristice. Aceste avertizări şi promisiuni lasă impresia că încă se mai aşteaptă un răspuns pozitiv din partea unora; în orice caz, se arată clar, ca o avertizare, că soarta celor care cedează presiunii şi acceptă pecetluirea antihristică este alăt</w:t>
      </w:r>
      <w:r>
        <w:t xml:space="preserve">uri de Antihrist şi alături de D</w:t>
      </w:r>
      <w:r>
        <w:t xml:space="preserve">iavol, în iazul de foc, unde există o pedeapsă eternă (expresia „fumul chinului lor se ridică în sus, în veci”, 14.11, a născut numeroase discuţii). </w:t>
      </w:r>
    </w:p>
    <w:p>
      <w:r>
        <w:t xml:space="preserve">În capitolul 14 apare un paradox interesant, o ie</w:t>
      </w:r>
      <w:r>
        <w:rPr>
          <w:rFonts w:ascii="Times New Roman" w:hAnsi="Times New Roman"/>
        </w:rPr>
        <w:t xml:space="preserve">ș</w:t>
      </w:r>
      <w:r>
        <w:t xml:space="preserve">ire parcă din cronologia evenimentelor, în 14:13. V</w:t>
      </w:r>
      <w:r>
        <w:t xml:space="preserve">ersetul 13</w:t>
      </w:r>
      <w:r>
        <w:t xml:space="preserve"> spune:</w:t>
      </w:r>
      <w:r>
        <w:t xml:space="preserve"> „Şi am auzit un glas din cer care zicea: Scrie, ferice de acum încolo de morţii care mor în Domnul! Da, zice Duhul, ei se vor odihni de ostenelile lor, căci faptele lor îi urmează!”, </w:t>
      </w:r>
      <w:r>
        <w:t xml:space="preserve">iar acest mesaj </w:t>
      </w:r>
      <w:r>
        <w:t xml:space="preserve">pare să se adreseze prin Ioan tuturor credincioşilor, nu doar celor care pot să se întoarcă la Domnul în timpul plăgilor finale. Cele două perspective apocaliptice</w:t>
      </w:r>
      <w:r>
        <w:t xml:space="preserve"> complementare</w:t>
      </w:r>
      <w:r>
        <w:t xml:space="preserve">, cea istorică</w:t>
      </w:r>
      <w:r>
        <w:t xml:space="preserve">-cronologică</w:t>
      </w:r>
      <w:r>
        <w:t xml:space="preserve"> şi cea integrală, de tip atemporal, se împletesc subtil în acest verset.</w:t>
      </w:r>
    </w:p>
    <w:p>
      <w:r>
        <w:t xml:space="preserve">Apoi, chiar înainte de apariţia îngerilor cu şapte potire şi şapte plăgi, apar în capitolul 14 câteva scene în care oamenii sunt pedepsiţi de o seceră trimisă din cer care vine să secere strugurii copţi ai mâniei lui Dumnezeu, şi care aduce moarte între oameni (sângele se strânge pe pământ până la zăbalele cailor). Stâpânul secerei, descris în 14.14 stă pe un nor alb şi are înfăţişarea unui fiu al omului, cu o cunună de aur pe cap; el este, foarte probabil, chiar Mântuitorul Isus. Imaginea secerişului viei conduce la ideea celor şapte</w:t>
      </w:r>
      <w:r>
        <w:t xml:space="preserve"> şapte </w:t>
      </w:r>
      <w:r>
        <w:t xml:space="preserve">potire, pentru că ele vor conţine vinul mâniei lui Dumnezeu, iar acum se seceră strugurii mâniei lui Dumnezeu şi sunt zdrobiţi în teascul mâniei sale. Faptul că secerişul aduce şi suferinţă şi pedeapsă pentru oamenii de pe pământ este ilustrat prin sângele care iese până la zăbalele cailor.</w:t>
      </w:r>
    </w:p>
    <w:p>
      <w:r>
        <w:t xml:space="preserve">În </w:t>
      </w:r>
      <w:r>
        <w:rPr>
          <w:b/>
          <w:bCs w:val="0"/>
        </w:rPr>
        <w:t xml:space="preserve">capitolul 15</w:t>
      </w:r>
      <w:r>
        <w:t xml:space="preserve"> apar ultimele viziuni dinaintea potirelor cu plăgi. Astfel, într-un context ceresc (o mare ca de sticlă), se văd în ceruri cei care au fost martirizaţi în timpul dominaţiei Fiarei, dar care au ieşit biruitori pentru că nu au acceptat pecetea (sigiliul) fiarei, nici numărul ei. Ei cântă cântarea de glorie şi biruinţa numită „cântarea lui Moise şi a Mielului”.  S-ar părea că din acest moment, din cap. 15, pedeapsa finală vine peste cei care, în chip monolitic, au format o împărăţie redutabilă a Fiarei pe pământ, în vreme ce toată opoziţia credincioasă lui Isus a fost nimicită. </w:t>
      </w:r>
    </w:p>
    <w:p>
      <w:r>
        <w:t xml:space="preserve">Capitolul 15 însă, ca atare, întoarce privirea cititorului spre slujba din Templu a celor şapte îngeri cu potire. Ei sunt îmbrăcaţi ca şi mântuitorul Isus, în capitolul 1: în haine de in curat, strălucitor, şi poartă brâu de aur la piept. Ei primesc cele şapte potire de aur din parte uneia din cele patru fiinţe vii care stăteau în jurul tronului,  iar Templul se umple de fum, un simbol al prezenţei şi puterii divine. Fumul rămâne în Templu până la sfârşitul răsturnării potirelor. Astfel, este confirmată încă o dată, legătura dintre slujba din Templul ceresc, sus, şi judecata omenirii, jos, pe pământ.</w:t>
      </w:r>
    </w:p>
    <w:p/>
    <w:p/>
    <w:p>
      <w:pPr>
        <w:pStyle w:val="Heading5"/>
        <w:numPr>
          <w:ilvl w:val="0"/>
          <w:numId w:val="36"/>
        </w:numPr>
      </w:pPr>
      <w:r>
        <w:t xml:space="preserve">Viziunile celor</w:t>
      </w:r>
      <w:r>
        <w:t xml:space="preserve"> şapte </w:t>
      </w:r>
      <w:r>
        <w:t xml:space="preserve">potire</w:t>
      </w:r>
    </w:p>
    <w:p/>
    <w:p>
      <w:pPr>
        <w:ind w:firstLine="0"/>
      </w:pPr>
      <w:r>
        <w:t xml:space="preserve">Seria celor şapte potire arată judecata finală asupra istoriei omenirii, (16-19; prima urgie, 16:2, ultima urgie, 16:17). Seria de şapte potire începe şi se încheie în capitolul 16, de fapt, iar în capitolele 17-19, 20 apar câteva viziuni care detaliază decăderea</w:t>
      </w:r>
      <w:r>
        <w:t xml:space="preserve"> civilizaţiilor</w:t>
      </w:r>
      <w:r>
        <w:t xml:space="preserve"> de pe pământ şi etapele </w:t>
      </w:r>
      <w:r>
        <w:t xml:space="preserve">pedepsei finale</w:t>
      </w:r>
      <w:r>
        <w:t xml:space="preserve">.</w:t>
      </w:r>
    </w:p>
    <w:p>
      <w:pPr>
        <w:jc w:val="center"/>
      </w:pPr>
      <w:r>
        <w:rPr>
          <w:lang w:val="en-US"/>
        </w:rPr>
        <mc:AlternateContent>
          <mc:Choice Requires="wpg">
            <w:drawing>
              <wp:inline xmlns:wp="http://schemas.openxmlformats.org/drawingml/2006/wordprocessingDrawing" distT="0" distB="0" distL="0" distR="0">
                <wp:extent cx="1495425" cy="1181100"/>
                <wp:effectExtent l="0" t="0" r="9525" b="0"/>
                <wp:docPr id="9" name="Picture 6" descr="4.02.02.03 Seven Bowls – Four Corner Ministries (4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02.02.03 Seven Bowls – Four Corner Ministries (4CM)"/>
                        <pic:cNvPicPr>
                          <a:picLocks noChangeAspect="1" noChangeArrowheads="1"/>
                        </pic:cNvPicPr>
                        <pic:nvPr/>
                      </pic:nvPicPr>
                      <pic:blipFill>
                        <a:blip r:embed="rId21"/>
                        <a:srcRect/>
                        <a:stretch>
                          <a:fillRect/>
                        </a:stretch>
                      </pic:blipFill>
                      <pic:spPr bwMode="auto">
                        <a:xfrm>
                          <a:off x="0" y="0"/>
                          <a:ext cx="1495425" cy="11811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7.75pt;height:93.00pt;mso-wrap-distance-left:0.00pt;mso-wrap-distance-top:0.00pt;mso-wrap-distance-right:0.00pt;mso-wrap-distance-bottom:0.00pt;z-index:1;" stroked="f">
                <v:imagedata r:id="rId21" o:title=""/>
                <o:lock v:ext="edit" rotation="t"/>
              </v:shape>
            </w:pict>
          </mc:Fallback>
        </mc:AlternateContent>
      </w:r>
    </w:p>
    <w:p/>
    <w:p>
      <w:r>
        <w:t xml:space="preserve">Cele şapte potire afectează în mod expres oamenii care s-au supus Antihristului şi aveau pecetea fiarei şi se închinau chipului fiarei. </w:t>
      </w:r>
      <w:r>
        <w:rPr>
          <w:b/>
          <w:bCs w:val="0"/>
        </w:rPr>
        <w:t xml:space="preserve">Prima cupă</w:t>
      </w:r>
      <w:r>
        <w:t xml:space="preserve"> e vărsată pe pământ şi aduce o boală cumplită peste toţi oamenii necredincioşi. </w:t>
      </w:r>
      <w:r>
        <w:rPr>
          <w:b/>
          <w:bCs w:val="0"/>
        </w:rPr>
        <w:t xml:space="preserve">Cea de-a doua cupă</w:t>
      </w:r>
      <w:r>
        <w:t xml:space="preserve"> este vărsată în mare şi apa mării se preface în sânge, şi toate vieţuitoarele din mare mor. </w:t>
      </w:r>
      <w:r>
        <w:rPr>
          <w:b/>
          <w:bCs w:val="0"/>
        </w:rPr>
        <w:t xml:space="preserve">Cea de-a treia cupă</w:t>
      </w:r>
      <w:r>
        <w:t xml:space="preserve"> este vărsată în râuri şi soarta lor este aceeaşi cu a mării. Cei care au provocat moartea sfinţilor primesc şi ei ca răsplată moartea, să bea sânge. Printr-o personificare extrem de interesantă, se aude acum altarul vorbind cu voce inteligibilă (martirii de sub altar s-au auzit şi ei vorbind, mai devreme, după ruperea peceţii a 5a). </w:t>
      </w:r>
      <w:r>
        <w:rPr>
          <w:b/>
          <w:bCs w:val="0"/>
        </w:rPr>
        <w:t xml:space="preserve">Cea de-a patra cupă</w:t>
      </w:r>
      <w:r>
        <w:t xml:space="preserve"> este vărsată peste soare şi, în contrast cu pălirea luminii de până la pedepsele anterioare, acum soarele dogoreşte extrem de puternic. Oamenii hulesc numele lui Dumnezeu şi nu se pocăiesc ca să îi recunoască gloria. Cupele 1-4 au recapitulat structura şi tipul de pedepse al primelor patru trâmbiţe (</w:t>
      </w:r>
      <w:r>
        <w:t xml:space="preserve">conform formulei</w:t>
      </w:r>
      <w:r>
        <w:t xml:space="preserve"> 4+3).</w:t>
      </w:r>
    </w:p>
    <w:p>
      <w:r>
        <w:t xml:space="preserve">Cupele următoare nu mai pedepsesc tot pământul, ci au o semnificaţie mai generală, legată de implicarea forţelor demonice în viaţa omenirii. Astfel, </w:t>
      </w:r>
      <w:r>
        <w:rPr>
          <w:b/>
          <w:bCs w:val="0"/>
        </w:rPr>
        <w:t xml:space="preserve">cupa a cincea</w:t>
      </w:r>
      <w:r>
        <w:t xml:space="preserve"> este vărsată chiar pe tronul Fiarei, ceea ce îi afectează puterea: vine un întuneric mare peste împărăţie, iar oamenii sunt cuprinşi de dureri atroce (se poate observa aici contrastul între soarele arzător dinainte şi întunericul de acum, un contrast specific scrierilor şi evenimentelor apocaliptice). Ei nu se pocăiesc însă de faptele lor, ca şi după cupele 1-4. După ce se varsă </w:t>
      </w:r>
      <w:r>
        <w:rPr>
          <w:b/>
          <w:bCs w:val="0"/>
        </w:rPr>
        <w:t xml:space="preserve">potirul al şaselea</w:t>
      </w:r>
      <w:r>
        <w:t xml:space="preserve">, peste Eufrat (Eufratul a mai fost o dată afectat, când patru îngeri demonici, care erau legaţi acolo au fost eliberaţi ca să invadeze pământul cu oştile lor demonice, cf. 9:14, 16:12). Acum Eufratul este un fel de autostradă enormă pe care vor veni popoarele conduse de împăraţii lor ca să se confrunte cu Dumnezeu în valea Armaghedon. Trei duhuri rele, sub forma unor broaşte, ies din gura balaurului, a fiarei şi a profetului mincinos (este remarcabilă paralelismul între Satan, fiara Antihristică şi profetul mincinos: un demon şi doi oameni, un fel de treime nesfântă demonică-umană, vezi şi cap. 13).</w:t>
      </w:r>
    </w:p>
    <w:p>
      <w:r>
        <w:t xml:space="preserve">Revelaţia divină introduce aici o avertizare majoră din partea lui Isus („Iată eu vin ca un hoţ”..., Apoc. 16:15). </w:t>
      </w:r>
    </w:p>
    <w:p>
      <w:pPr>
        <w:rPr>
          <w:rFonts w:ascii="Calibri" w:hAnsi="Calibri" w:cs="Arial"/>
          <w:lang w:bidi="he-IL"/>
        </w:rPr>
      </w:pPr>
      <w:r>
        <w:t xml:space="preserve">Apocalipsa 16:16 aminteşte că aceste duhuri au strâns neamurile la  locul bătăliei, Armaghedon. Acest amănunt fie se referă la o acţiune din prezentul evenimentelor legate de acest potir, care va fi reluat în detaliu, în retrospectivă, în capitolul 19:17-21, fie la o acţiune din viitor, care urmează să se întâmple în capitolul 19. Desigur, această strângere a neamurilor, pentru confruntare militară cu Hristos, aduce aminte şi de confruntarea din 20:8-9 (confruntarea de la sfârşitul miei de ani; o întrebare validă este dacă aceste descrieri reprezintă una şi aceeaşi confruntare).</w:t>
      </w:r>
    </w:p>
    <w:p>
      <w:r>
        <w:t xml:space="preserve">În final, </w:t>
      </w:r>
      <w:r>
        <w:rPr>
          <w:b/>
          <w:bCs w:val="0"/>
        </w:rPr>
        <w:t xml:space="preserve">cel de-al şaptelea potir</w:t>
      </w:r>
      <w:r>
        <w:t xml:space="preserve"> este vărsat în aer, în atmosferă (atmosfera este locul </w:t>
      </w:r>
      <w:r>
        <w:t xml:space="preserve">de sălăşluire şi de stăpânire a</w:t>
      </w:r>
      <w:r>
        <w:t xml:space="preserve">l</w:t>
      </w:r>
      <w:r>
        <w:t xml:space="preserve"> duhurilor rele). Acum se aude glasul din Templu care zice: „s-a împlinit” (</w:t>
      </w:r>
      <w:r>
        <w:rPr>
          <w:i/>
          <w:iCs/>
        </w:rPr>
        <w:t xml:space="preserve">gegonen</w:t>
      </w:r>
      <w:r>
        <w:t xml:space="preserve">: „a fost”, „s-a făcut”, „a avut loc”, „este gata”!). Expresia are o paralelă în evanghelia după Ioan, prin </w:t>
      </w:r>
      <w:r>
        <w:rPr>
          <w:i/>
          <w:iCs/>
        </w:rPr>
        <w:t xml:space="preserve">tetelesthai</w:t>
      </w:r>
      <w:r>
        <w:t xml:space="preserve"> pe care l-a spus Isus, „s-a sfârşit”, „s-a săvârşit”, Ioan 19:30. Acum are loc un cutremur puternic de pământ, de o forţă nemaintâlnită pe pământ de la creaţie. Cetatea cea mare (Babilonul) se rupe în trei, iar cetăţile neamurilor se prăbuşesc. Acum este reluată o imagine prezentată mai devreme, şi la pecetea a şasea: insulele fug, munţii dispar, iar din ceruri cade o gridină mare, în urma căreia oamenii blasfemiază, dar nu se pocăiesc (acum pare să se confirme că la pecetea a şasea, în</w:t>
      </w:r>
      <w:r>
        <w:t xml:space="preserve"> Apocalipsa</w:t>
      </w:r>
      <w:r>
        <w:t xml:space="preserve"> 5:12-17, a avut o previziune, un </w:t>
      </w:r>
      <w:r>
        <w:rPr>
          <w:b/>
          <w:bCs w:val="0"/>
        </w:rPr>
        <w:t xml:space="preserve">flash-forward</w:t>
      </w:r>
      <w:r>
        <w:t xml:space="preserve">; dacă nu este aşa, atunci aici avem un alt doilea eveniment geografic catastrofic în care insulele şi munţii dispar; de asemeni ar mai fi o deosebire între cele două evenimente: în cap. 5, cad stelele ca nişte smochini, aici cade o grindină mare din ceruri).  În acelaşi timp, Apocalipsa 5:12-17 se poate referi şi la un eveniment mai îndepărtat în timp, anume la Judecata finală, din 20:11, unde se vorbeşte că cerul şi pământul dispar dinaintea lui Dumnezeu.</w:t>
      </w:r>
    </w:p>
    <w:p/>
    <w:p>
      <w:pPr>
        <w:pStyle w:val="Heading5"/>
        <w:numPr>
          <w:ilvl w:val="0"/>
          <w:numId w:val="36"/>
        </w:numPr>
      </w:pPr>
      <w:r>
        <w:t xml:space="preserve">Viziunile judecăţii finale, capitolele 17-20</w:t>
      </w:r>
    </w:p>
    <w:p>
      <w:pPr>
        <w:ind w:firstLine="0"/>
        <w:rPr>
          <w:b/>
          <w:bCs w:val="0"/>
        </w:rPr>
      </w:pPr>
    </w:p>
    <w:p>
      <w:pPr>
        <w:ind w:firstLine="0"/>
      </w:pPr>
      <w:r>
        <w:t xml:space="preserve">În aceste patru</w:t>
      </w:r>
      <w:r>
        <w:t xml:space="preserve"> capitole s</w:t>
      </w:r>
      <w:r>
        <w:t xml:space="preserve">e aduc detalii despre judecarea </w:t>
      </w:r>
      <w:r>
        <w:t xml:space="preserve">Babilonului şi a sistemului politic condus de Balaur, Fiară, şi de profetul mincinos. Capitolele 17-18 arată judecata Babilonului, capitolul 19 arată cântările victoriei, în ceruri, şi </w:t>
      </w:r>
      <w:r>
        <w:t xml:space="preserve">descrie </w:t>
      </w:r>
      <w:r>
        <w:t xml:space="preserve">bătălia Armaghedonului, iar capitolul 20 are o serie de viziuni despre sfârşit</w:t>
      </w:r>
      <w:r>
        <w:t xml:space="preserve">ul un</w:t>
      </w:r>
      <w:r>
        <w:t xml:space="preserve">i</w:t>
      </w:r>
      <w:r>
        <w:t xml:space="preserve">versului</w:t>
      </w:r>
      <w:r>
        <w:t xml:space="preserve">, </w:t>
      </w:r>
      <w:r>
        <w:t xml:space="preserve">care include viziunea închiderii în Adânc a Balaurului</w:t>
      </w:r>
      <w:r>
        <w:t xml:space="preserve"> Satan</w:t>
      </w:r>
      <w:r>
        <w:t xml:space="preserve">, învierea dintâi şi domnia celor credincioşi împreună cu Hristos vreme de 1000 de ani, eliberarea lui Satan şi înşelarea</w:t>
      </w:r>
      <w:r>
        <w:t xml:space="preserve"> neamurilor de pe tot globul (Gog şi Magog) şi, în final,</w:t>
      </w:r>
      <w:r>
        <w:t xml:space="preserve"> viziunea Judecăţii finale, singura care tratează acest subiect în detaliu, în cartea Apocalipsa.</w:t>
      </w:r>
    </w:p>
    <w:p>
      <w:r>
        <w:t xml:space="preserve">Pe deoparte, </w:t>
      </w:r>
      <w:r>
        <w:t xml:space="preserve">acest capitol se poate referi la</w:t>
      </w:r>
      <w:r>
        <w:t xml:space="preserve"> detaliile judecăţiilor potirelor vărsate în capitolul 16, </w:t>
      </w:r>
      <w:r>
        <w:t xml:space="preserve">iar </w:t>
      </w:r>
      <w:r>
        <w:t xml:space="preserve">pe de alta, această secţiune poate reprezenta o continuare a judecăţilor din capitolul 16, cu un număr de pedepse finale care prezintă distrugerea capitalei Babilon, a imperiului Fiarei, şi venirea Judecăţii finale. Tipul acesta de problemă apare cu deosebire în viziunile din capitolul 20, care premerg Judecata finală: ele </w:t>
      </w:r>
      <w:r>
        <w:t xml:space="preserve">pot</w:t>
      </w:r>
      <w:r>
        <w:t xml:space="preserve"> recapitul</w:t>
      </w:r>
      <w:r>
        <w:t xml:space="preserve">a</w:t>
      </w:r>
      <w:r>
        <w:t xml:space="preserve"> ce s-</w:t>
      </w:r>
      <w:r>
        <w:t xml:space="preserve">a întâmplat, sau pot descrie o secvenţă</w:t>
      </w:r>
      <w:r>
        <w:t xml:space="preserve"> cronologică </w:t>
      </w:r>
      <w:r>
        <w:t xml:space="preserve">din viitor care premerge strict Judecata finală din </w:t>
      </w:r>
      <w:r>
        <w:t xml:space="preserve">20:11-15</w:t>
      </w:r>
      <w:r>
        <w:t xml:space="preserve"> (sau amândouă)</w:t>
      </w:r>
      <w:r>
        <w:t xml:space="preserve">.</w:t>
      </w:r>
    </w:p>
    <w:p>
      <w:r>
        <w:t xml:space="preserve">Mai întâi, în </w:t>
      </w:r>
      <w:r>
        <w:rPr>
          <w:b/>
          <w:bCs w:val="0"/>
        </w:rPr>
        <w:t xml:space="preserve">capitolul 17</w:t>
      </w:r>
      <w:r>
        <w:t xml:space="preserve">, unul dintre îngerii celor şapte urgii finale îi arată lui Ioan judecata Marii prostituate a istoriei – o femeie care colaborează cu sistemul politic demonic, cu răul (dacă femeia reprezintă Rel</w:t>
      </w:r>
      <w:r>
        <w:t xml:space="preserve">igia, atunci este vorba despre r</w:t>
      </w:r>
      <w:r>
        <w:t xml:space="preserve">eligia apostată; ea poate reprezenta şi un sistem religios ecumenic extins, cuprinzând toate religiile). Primele versete prezintă cartea de vizită a acestei femei (17:1-2). Unul din</w:t>
      </w:r>
      <w:r>
        <w:t xml:space="preserve"> cei</w:t>
      </w:r>
      <w:r>
        <w:t xml:space="preserve"> şapte </w:t>
      </w:r>
      <w:r>
        <w:t xml:space="preserve">îngeri cu potire îi zice</w:t>
      </w:r>
      <w:r>
        <w:t xml:space="preserve"> „vino să-ţi arăt judecata prostituatei celei mari</w:t>
      </w:r>
      <w:r>
        <w:t xml:space="preserve"> etc.</w:t>
      </w:r>
      <w:r>
        <w:t xml:space="preserve">”. O expresie similară apare şi în capitolul 21:9, când tot unul din cei</w:t>
      </w:r>
      <w:r>
        <w:t xml:space="preserve"> şapte </w:t>
      </w:r>
      <w:r>
        <w:t xml:space="preserve">îngeri cu potire îi zice lui Ioan „vino să-ţi arăt mireasa, nevasta Mielului!”.</w:t>
      </w:r>
      <w:r>
        <w:t xml:space="preserve"> Astfel, două femei reprezintă omenirea sfântă şi omenirea păcătoasă: mireasa mielului şi prostituata cea mare, după cum </w:t>
      </w:r>
      <w:r>
        <w:t xml:space="preserve">şi </w:t>
      </w:r>
      <w:r>
        <w:t xml:space="preserve">două cetăţi reprezintă civilizaţia sfântă şi civilizaţia păcătoasă, a răului: Ierusalimul şi Babilonul.</w:t>
      </w:r>
      <w:r>
        <w:t xml:space="preserve"> </w:t>
      </w:r>
      <w:r>
        <w:t xml:space="preserve">De fapt, şi Babilonul este descris în capitolul 18 ca o regină a răutăţii şi idolatriei, în vreme ce Ierusalimul este numit şi el, mireasa mirelui. </w:t>
      </w:r>
      <w:r>
        <w:t xml:space="preserve">Conform descrierii, se pare că urme</w:t>
      </w:r>
      <w:r>
        <w:t xml:space="preserve">ază o prezentare mai detaliată, un fel de focalizare (</w:t>
      </w:r>
      <w:r>
        <w:rPr>
          <w:i/>
        </w:rPr>
        <w:t xml:space="preserve">zoom</w:t>
      </w:r>
      <w:r>
        <w:t xml:space="preserve">) pe detaliile evenimentului (aceasta tehnică arată, iar</w:t>
      </w:r>
      <w:r>
        <w:t xml:space="preserve">ăşi</w:t>
      </w:r>
      <w:r>
        <w:t xml:space="preserve">, că ordinea narativă poate să nu </w:t>
      </w:r>
      <w:r>
        <w:t xml:space="preserve">aibă sens cronologic, ci să indice focalizare, detaliere prin reluare).</w:t>
      </w:r>
      <w:r>
        <w:t xml:space="preserve"> </w:t>
      </w:r>
    </w:p>
    <w:p>
      <w:pPr>
        <w:rPr/>
      </w:pPr>
      <w:r>
        <w:t xml:space="preserve">A</w:t>
      </w:r>
      <w:r>
        <w:t xml:space="preserve">pare</w:t>
      </w:r>
      <w:r>
        <w:t xml:space="preserve">, astfel,</w:t>
      </w:r>
      <w:r>
        <w:t xml:space="preserve"> o descriere mai detaliată, arătându-se gloria ei regală şi dec</w:t>
      </w:r>
      <w:r>
        <w:t xml:space="preserve">ăderea ei morală (3-18). Prostituata </w:t>
      </w:r>
      <w:r>
        <w:t xml:space="preserve">este călare pe o fiară demonică, foarte asemănătoare cu Balaurul şi cu Fiara din mare din capitolele 12-13</w:t>
      </w:r>
      <w:r>
        <w:t xml:space="preserve">.</w:t>
      </w:r>
      <w:r>
        <w:t xml:space="preserve"> </w:t>
      </w:r>
    </w:p>
    <w:p>
      <w:pPr>
        <w:rPr/>
      </w:pPr>
    </w:p>
    <w:p>
      <w:pPr>
        <w:jc w:val="center"/>
      </w:pPr>
      <w:r>
        <w:rPr>
          <w:lang w:val="en-US"/>
        </w:rPr>
        <mc:AlternateContent>
          <mc:Choice Requires="wpg">
            <w:drawing>
              <wp:inline xmlns:wp="http://schemas.openxmlformats.org/drawingml/2006/wordprocessingDrawing" distT="0" distB="0" distL="0" distR="0">
                <wp:extent cx="2152650" cy="1238250"/>
                <wp:effectExtent l="0" t="0" r="0" b="0"/>
                <wp:docPr id="10" name="Picture 8" descr="E:\Lucrari teologice\apocalipsa\eschatology\Whore_of_Baby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ucrari teologice\apocalipsa\eschatology\Whore_of_Babylon.jpg"/>
                        <pic:cNvPicPr>
                          <a:picLocks noChangeAspect="1" noChangeArrowheads="1"/>
                        </pic:cNvPicPr>
                        <pic:nvPr/>
                      </pic:nvPicPr>
                      <pic:blipFill>
                        <a:blip r:embed="rId22"/>
                        <a:srcRect/>
                        <a:stretch>
                          <a:fillRect/>
                        </a:stretch>
                      </pic:blipFill>
                      <pic:spPr bwMode="auto">
                        <a:xfrm>
                          <a:off x="0" y="0"/>
                          <a:ext cx="2151624" cy="123766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9.50pt;height:97.50pt;mso-wrap-distance-left:0.00pt;mso-wrap-distance-top:0.00pt;mso-wrap-distance-right:0.00pt;mso-wrap-distance-bottom:0.00pt;z-index:1;" stroked="f">
                <v:imagedata r:id="rId22" o:title=""/>
                <o:lock v:ext="edit" rotation="t"/>
              </v:shape>
            </w:pict>
          </mc:Fallback>
        </mc:AlternateContent>
      </w:r>
    </w:p>
    <w:p>
      <w:r>
        <w:t xml:space="preserve">Fiara aceasta</w:t>
      </w:r>
      <w:r>
        <w:t xml:space="preserve"> poate reprezenta un înger venit din Adânc (8), sau un sistem politic</w:t>
      </w:r>
      <w:r>
        <w:t xml:space="preserve"> malefic</w:t>
      </w:r>
      <w:r>
        <w:t xml:space="preserve"> resuscitat (revitalizat) de </w:t>
      </w:r>
      <w:r>
        <w:t xml:space="preserve">Satan</w:t>
      </w:r>
      <w:r>
        <w:t xml:space="preserve">. </w:t>
      </w:r>
      <w:r>
        <w:t xml:space="preserve">Într-adevăr, ea</w:t>
      </w:r>
      <w:r>
        <w:t xml:space="preserve"> are o istorie curioasă, de dispariţie şi de re-apariţie, care pune lumea în uimire. Este posibil să fie vorba de o formă nouă a imperiului roman. Femeia este cetatea cea mare (Roma sau Babilonul metaforic, v. 18; se arată în 17:9, că femeia reprezintă o cetate aşezată pe şapte munţi, aşa cum şi Roma era pe şapte dealuri), iar fiara pare să fie Fiara ridicată din mare, antihristul căruia oamenii îi vor da toată st</w:t>
      </w:r>
      <w:r>
        <w:t xml:space="preserve">ăpânirea ca să se lupte cu Miel</w:t>
      </w:r>
      <w:r>
        <w:t xml:space="preserve">ul (13). Capitolul descrie o colaborare clară între </w:t>
      </w:r>
      <w:r>
        <w:t xml:space="preserve">sferele politică</w:t>
      </w:r>
      <w:r>
        <w:t xml:space="preserve">, religio</w:t>
      </w:r>
      <w:r>
        <w:t xml:space="preserve">asă</w:t>
      </w:r>
      <w:r>
        <w:t xml:space="preserve"> şi </w:t>
      </w:r>
      <w:r>
        <w:t xml:space="preserve">ocultă - </w:t>
      </w:r>
      <w:r>
        <w:t xml:space="preserve">demonic</w:t>
      </w:r>
      <w:r>
        <w:t xml:space="preserve">ă</w:t>
      </w:r>
      <w:r>
        <w:t xml:space="preserve">.</w:t>
      </w:r>
    </w:p>
    <w:p>
      <w:r>
        <w:t xml:space="preserve">După aceasta, </w:t>
      </w:r>
      <w:r>
        <w:rPr>
          <w:b/>
          <w:bCs w:val="0"/>
        </w:rPr>
        <w:t xml:space="preserve">în capitolul 18</w:t>
      </w:r>
      <w:r>
        <w:t xml:space="preserve">, un alt înger puternic îi prezintă judecata marelui oraş simbolic, Babilon, descris în culori foarte sumbre (cetatea demonilor, a decăderii, a păcatelor</w:t>
      </w:r>
      <w:r>
        <w:t xml:space="preserve"> etc.</w:t>
      </w:r>
      <w:r>
        <w:t xml:space="preserve">). Îngerul acesta puternic strigă mesajul că acest Babilon a căzut şi, imediat după el, în 18:4, se aude un glas care zicea „Ieşiţi din mijlocul ei, poporul Meu, ca să nu fiţi părtaşi la păcatele ei şi să nu fiţi loviţi cu urgiile ei!” (</w:t>
      </w:r>
      <w:r>
        <w:t xml:space="preserve">mesajul ridică întrebări importante, de exemplu,</w:t>
      </w:r>
      <w:r>
        <w:t xml:space="preserve"> dacă </w:t>
      </w:r>
      <w:r>
        <w:t xml:space="preserve">mai este Bis</w:t>
      </w:r>
      <w:r>
        <w:t xml:space="preserve">erica pe pământ în acest moment sau nu.</w:t>
      </w:r>
      <w:r>
        <w:t xml:space="preserve"> Se adresează el </w:t>
      </w:r>
      <w:r>
        <w:t xml:space="preserve">doar </w:t>
      </w:r>
      <w:r>
        <w:t xml:space="preserve">credincioşilor evrei, care </w:t>
      </w:r>
      <w:r>
        <w:t xml:space="preserve">ar mai fi </w:t>
      </w:r>
      <w:r>
        <w:t xml:space="preserve">încă</w:t>
      </w:r>
      <w:r>
        <w:t xml:space="preserve"> pe pământ</w:t>
      </w:r>
      <w:r>
        <w:t xml:space="preserve">, în timp ce </w:t>
      </w:r>
      <w:r>
        <w:t xml:space="preserve">restul Bisericii a fost ridicat</w:t>
      </w:r>
      <w:r>
        <w:t xml:space="preserve"> la ceruri? Alternativ, poate fi un mesaj adresat atemporal oamenilor credincioşi din toate timpurile, prin cartea Apocalipsa, prin Ioan, ca să ştie la timp să se delimiteze şi să se ferească de această cetate şi de păcatele ei).</w:t>
      </w:r>
    </w:p>
    <w:p>
      <w:r>
        <w:t xml:space="preserve">În particular, capitolul 18 este </w:t>
      </w:r>
      <w:r>
        <w:t xml:space="preserve">de o frumuseţe lirică rară, reprezentând </w:t>
      </w:r>
      <w:r>
        <w:t xml:space="preserve">o colecţie de cântece de jale despre căderea Babilonului: regii îl deplâng, negustorii, marinarii şi căpitanii de corabie. Ca detaliu interesant, deşi cetatea capitală este numită Babilon, ea pare să aibă caracteristicile Tirului, fiind prezentată ca un port la mările şi oceanele lumii, deoarece căpitanii de vas şi negustorii maritimi o jelesc în ziua distrugerii sale, privind-o de departe, din largul mării</w:t>
      </w:r>
      <w:r>
        <w:t xml:space="preserve"> (cântarea de jale are paralelă în cântările de jale asupra Tirului din Ezechiel 28)</w:t>
      </w:r>
      <w:r>
        <w:t xml:space="preserve">. Aceste detalii pot indica faptul că Babilon din Apocalipsa este un oraş care include puterea şi decăderea tuturor marilor capitale ale lumii. </w:t>
      </w:r>
    </w:p>
    <w:p>
      <w:r>
        <w:t xml:space="preserve">Este impresionantă rapiditatea cu care a fost distrus Babilonul, întreg capitolul sublin</w:t>
      </w:r>
      <w:r>
        <w:t xml:space="preserve">iază acest lucru: Babilonul, ce</w:t>
      </w:r>
      <w:r>
        <w:t xml:space="preserve">tatea cea mare, cetatea cea tare, a căzut doar într-o clipă (18:10). </w:t>
      </w:r>
    </w:p>
    <w:p>
      <w:r>
        <w:t xml:space="preserve">De asemeni, în pasaje ca 18:11-16, 22-23, se oferă o descriere a tipului de civilizaţie din vremea aceea: bogăţie, lux, putere, veselie, căsătorii, dinamism social, dar şi asuprire, ocultism şi vrăjitorie, robie, degradarea omului</w:t>
      </w:r>
      <w:r>
        <w:t xml:space="preserve"> etc.</w:t>
      </w:r>
      <w:r>
        <w:t xml:space="preserve"> Distrugerea rapidă a Babilonului, într-un singur ceas, determină jelirea lui de către toţi cei ce l-au cunoscut şi au făcut comerţ cu el. Oraşul însă (18:23), a fost direct implicat în prigoniri şi uciderea celor credincioşi.</w:t>
      </w:r>
    </w:p>
    <w:p>
      <w:r>
        <w:t xml:space="preserve">Prin</w:t>
      </w:r>
      <w:r>
        <w:t xml:space="preserve">tr-un contrast remarcabil,</w:t>
      </w:r>
      <w:r>
        <w:t xml:space="preserve"> la aceast</w:t>
      </w:r>
      <w:r>
        <w:t xml:space="preserve">ă serie de jeluiri</w:t>
      </w:r>
      <w:r>
        <w:t xml:space="preserve"> </w:t>
      </w:r>
      <w:r>
        <w:rPr>
          <w:b/>
          <w:bCs w:val="0"/>
        </w:rPr>
        <w:t xml:space="preserve">capitolul 19</w:t>
      </w:r>
      <w:r>
        <w:t xml:space="preserve"> adaugă un şir de cântece de bucurie, auzite în cer, când fiinţele cereşti – îngeri şi oameni – se bucură de căderea Babilonului, de preluarea împărăţiei de către Hristos. Căderea Babilonului, femeia prostituată, este urmată de anunţarea nunţii Bisericii, mireasa mirelui (19:7-9), care, în contrast cu luxul păcătos din Apocalipsa 18, va fi îmbrăcată într-un lux neprihănit, în hainele scumpe ale unui in curat, care reprezintă faptele cele bune (19:8-9). Este interesant de observat că omenirea, în punctul culminant al răutăţii ei sau în punctul culminant al gloriei ei, este asemănată cu o femeie (cf. şi Apocalipsa 12).</w:t>
      </w:r>
    </w:p>
    <w:p>
      <w:r>
        <w:t xml:space="preserve">În final, apare şi viziunea Cuvântului celui victorios (cap. 19; în 19:1-10 se întâlneşte cântecul de bucurie al credincioşilor pentru căderea Babilonului, şi de slăvire a lui Dumnezeu; apoi imaginea Cuvântului victorios, adică a lui Hristos călare pe un cal alb (Hristos este numit „Cuvântul lui Dumnezeu”, o expresie care ne trimite la Ioan 1:1, Logosul divin; de asemeni, imaginea calului alb aduce aminte şi de prima pecete,</w:t>
      </w:r>
      <w:r>
        <w:t xml:space="preserve"> Apocalipsa</w:t>
      </w:r>
      <w:r>
        <w:t xml:space="preserve"> 6:1-2, când apare un cal alb al cărui călăreţ, cu un arc în mână, primeşte misiunea să cucerească pământul; aceea era o cucerire spre judecată, aici însă, printr-o revenire la aceeaşi temă, cucerirea îi aparţine lui Hristos), şi cu coroană regală, cu sabia cuvântului, urmat de oşti cereşti călare pe cai albi, călăreţii fiind îmbrăcaţi tot în alb, în inul faptelor bune. Din gura lui iese o sabie ascuţită (cf. iarăşi, Apoc. 1, viziunea lui Hristos cel înviat). </w:t>
      </w:r>
    </w:p>
    <w:p>
      <w:r>
        <w:t xml:space="preserve">În plus, se face o afirmaţie deosebită, întâlnită şi în Apocalipsa 12, despre copilul mesianic, că acest Logos divin va cârmui neamurile cu un toiag de fier. Cârmuirea cu un toiag de fier poate însemna fie nimicirea neamurilor, aici, în luptă, la Armaghedon (cu un toiag de fier se sfărâmă vasele de lut ale trupurilor oamenilor),</w:t>
      </w:r>
      <w:r>
        <w:t xml:space="preserve"> fie conducerea eternă de după Judecată,</w:t>
      </w:r>
      <w:r>
        <w:t xml:space="preserve"> sau, pentru alţi comentatori (de co</w:t>
      </w:r>
      <w:r>
        <w:t xml:space="preserve">ncepţie premilenistă), </w:t>
      </w:r>
      <w:r>
        <w:t xml:space="preserve">înse</w:t>
      </w:r>
      <w:r>
        <w:t xml:space="preserve">amnă</w:t>
      </w:r>
      <w:r>
        <w:t xml:space="preserve"> o guvernare autoritară</w:t>
      </w:r>
      <w:r>
        <w:t xml:space="preserve"> a lumii</w:t>
      </w:r>
      <w:r>
        <w:t xml:space="preserve">, </w:t>
      </w:r>
      <w:r>
        <w:t xml:space="preserve">împreună cu B</w:t>
      </w:r>
      <w:r>
        <w:t xml:space="preserve">iserica, </w:t>
      </w:r>
      <w:r>
        <w:t xml:space="preserve">timp de o mie</w:t>
      </w:r>
      <w:r>
        <w:t xml:space="preserve"> de ani</w:t>
      </w:r>
      <w:r>
        <w:t xml:space="preserve">.</w:t>
      </w:r>
    </w:p>
    <w:p>
      <w:r>
        <w:t xml:space="preserve">În urma bătăliei, Fiara este prinsă, la fel şi profetul mincinos</w:t>
      </w:r>
      <w:r>
        <w:t xml:space="preserve">, şi sunt aruncaţi</w:t>
      </w:r>
      <w:r>
        <w:t xml:space="preserve"> în lacul cu foc, fără </w:t>
      </w:r>
      <w:r>
        <w:t xml:space="preserve">a trece prin vreo judecată preliminară</w:t>
      </w:r>
      <w:r>
        <w:t xml:space="preserve">, în timp ce soldaţii lor nenumăraţi mor ucişi de sabia din</w:t>
      </w:r>
      <w:r>
        <w:t xml:space="preserve"> gura</w:t>
      </w:r>
      <w:r>
        <w:t xml:space="preserve"> Logosului alb, a lui </w:t>
      </w:r>
      <w:r>
        <w:t xml:space="preserve">Hristos, şi vor veni, probabil, la Judecata finală</w:t>
      </w:r>
      <w:r>
        <w:t xml:space="preserve"> (20:11). </w:t>
      </w:r>
    </w:p>
    <w:p>
      <w:r>
        <w:t xml:space="preserve">Nu se spune nimic însă despre distrugerea icoanei fiarei, a chipului fiarei, căruia i se dăduse suflare de viaţă (se pare că această creaţie este mai degrabă una tehnică, un </w:t>
      </w:r>
      <w:r>
        <w:t xml:space="preserve">fel de </w:t>
      </w:r>
      <w:r>
        <w:t xml:space="preserve">android, nu o fiinţă vie adevărată, iar distrugerea ei nu este destul de importantă ca să fie amintită). Ce nu apare, iarăşi, ca rezultat al acestei bătălii, este pedeapsa dată Diavolului, Balaurului care a instigat la toată această revoltă</w:t>
      </w:r>
      <w:r>
        <w:t xml:space="preserve">, pregătită pentru el de cei trei demoni ca nişte broaşte</w:t>
      </w:r>
      <w:r>
        <w:t xml:space="preserve">,</w:t>
      </w:r>
      <w:r>
        <w:t xml:space="preserve"> din 16:12-13, când a fost secat Eufratul</w:t>
      </w:r>
      <w:r>
        <w:t xml:space="preserve">, la al şaselea potir, ca să fi</w:t>
      </w:r>
      <w:r>
        <w:t xml:space="preserve">e</w:t>
      </w:r>
      <w:r>
        <w:t xml:space="preserve"> aduşi acolo împăraţii răzvrătiţi atraşi cu semne şi înşelăciuni</w:t>
      </w:r>
      <w:r>
        <w:t xml:space="preserve"> (tot la Eufrat</w:t>
      </w:r>
      <w:r>
        <w:t xml:space="preserve">, fuseseră </w:t>
      </w:r>
      <w:r>
        <w:t xml:space="preserve">eliberaţi </w:t>
      </w:r>
      <w:r>
        <w:t xml:space="preserve">mai devreme </w:t>
      </w:r>
      <w:r>
        <w:t xml:space="preserve">alţi patru îngeri demonici care au </w:t>
      </w:r>
      <w:r>
        <w:t xml:space="preserve">lovit omenirea cu plăgi, în 9:13</w:t>
      </w:r>
      <w:r>
        <w:t xml:space="preserve">-16</w:t>
      </w:r>
      <w:r>
        <w:t xml:space="preserve">, la a şasea trâmbiţă</w:t>
      </w:r>
      <w:r>
        <w:t xml:space="preserve">; locul pare să fie </w:t>
      </w:r>
      <w:r>
        <w:t xml:space="preserve">important</w:t>
      </w:r>
      <w:r>
        <w:t xml:space="preserve"> în istoria judecăţilor)</w:t>
      </w:r>
      <w:r>
        <w:t xml:space="preserve">. Pedepsirea lui </w:t>
      </w:r>
      <w:r>
        <w:t xml:space="preserve">Satan </w:t>
      </w:r>
      <w:r>
        <w:t xml:space="preserve">va fi descrisă mai târziu, în capitolul 20</w:t>
      </w:r>
      <w:r>
        <w:t xml:space="preserve">, şi rămâne de văzut dacă ea coincide ca moment cu pedepsirea Fiarei şi a profetului mincinos, din capitolul 19</w:t>
      </w:r>
      <w:r>
        <w:t xml:space="preserve">, sau apare mai târziu, după trecerea mileniului.</w:t>
      </w:r>
    </w:p>
    <w:p>
      <w:r>
        <w:t xml:space="preserve">Viziunea</w:t>
      </w:r>
      <w:r>
        <w:t xml:space="preserve"> aceasta</w:t>
      </w:r>
      <w:r>
        <w:t xml:space="preserve"> are multe conexiuni cu Vechiul Testament. Astfel, păsările cerului sunt chemate să se înfrupte din resturile răzvrătiţilor înfrânţi, la fel ca în Ezechiel (poc. 19:17-20; Ezechiel 39:17-18). Isus este prezentat ca Învingătorul eschatologic (Apoc. 19:11-16; Isaia 63:1-3).</w:t>
      </w:r>
    </w:p>
    <w:p>
      <w:r>
        <w:t xml:space="preserve">Aruncarea în lacul de foc a Fiarei şi a profetului mincinos are o paralelă în Daniel 7:9-11 (chiar şi în Ezechiel 38).</w:t>
      </w:r>
      <w:r>
        <w:rPr>
          <w:rStyle w:val="fr-Footnote-Reference"/>
        </w:rPr>
        <w:t xml:space="preserve"> </w:t>
      </w:r>
      <w:r>
        <w:rPr>
          <w:rStyle w:val="fr-Footnote-Reference"/>
        </w:rPr>
        <w:footnoteReference w:id="11"/>
      </w:r>
    </w:p>
    <w:p>
      <w:pPr>
        <w:rPr>
          <w:lang w:bidi="he-IL"/>
        </w:rPr>
      </w:pPr>
    </w:p>
    <w:tbl>
      <w:tblPr>
        <w:jc w:val="center"/>
        <w:tblInd w:w="227" w:type="dxa"/>
        <w:tblW w:w="0" w:type="auto"/>
        <w:tblCellMar>
          <w:left w:w="15" w:type="dxa"/>
          <w:top w:w="15" w:type="dxa"/>
          <w:right w:w="15" w:type="dxa"/>
          <w:bottom w:w="15"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097"/>
        <w:gridCol w:w="3256"/>
      </w:tblGrid>
      <w:tr>
        <w:trPr>
          <w:jc w:val="center"/>
        </w:trPr>
        <w:tc>
          <w:tcPr>
            <w:tcW w:w="3097" w:type="dxa"/>
            <w:tcMar>
              <w:left w:w="100" w:type="dxa"/>
              <w:top w:w="15" w:type="dxa"/>
              <w:right w:w="100" w:type="dxa"/>
              <w:bottom w:w="15" w:type="dxa"/>
            </w:tcMar>
            <w:hideMark/>
          </w:tcPr>
          <w:p>
            <w:pPr>
              <w:rPr>
                <w:lang w:bidi="he-IL"/>
              </w:rPr>
            </w:pPr>
            <w:r>
              <w:rPr>
                <w:lang w:bidi="he-IL"/>
              </w:rPr>
              <w:t xml:space="preserve">Daniel 7:9b–11</w:t>
            </w:r>
          </w:p>
        </w:tc>
        <w:tc>
          <w:tcPr>
            <w:tcW w:w="3256" w:type="dxa"/>
            <w:tcMar>
              <w:left w:w="100" w:type="dxa"/>
              <w:top w:w="15" w:type="dxa"/>
              <w:right w:w="100" w:type="dxa"/>
              <w:bottom w:w="15" w:type="dxa"/>
            </w:tcMar>
            <w:hideMark/>
          </w:tcPr>
          <w:p>
            <w:pPr>
              <w:rPr>
                <w:lang w:bidi="he-IL"/>
              </w:rPr>
            </w:pPr>
            <w:r>
              <w:rPr>
                <w:lang w:bidi="he-IL"/>
              </w:rPr>
              <w:t xml:space="preserve">Apocalipsa 19:20</w:t>
            </w:r>
          </w:p>
        </w:tc>
      </w:tr>
      <w:tr>
        <w:trPr>
          <w:jc w:val="center"/>
        </w:trPr>
        <w:tc>
          <w:tcPr>
            <w:tcW w:w="3097" w:type="dxa"/>
            <w:tcMar>
              <w:left w:w="100" w:type="dxa"/>
              <w:top w:w="15" w:type="dxa"/>
              <w:right w:w="100" w:type="dxa"/>
              <w:bottom w:w="15" w:type="dxa"/>
            </w:tcMar>
            <w:hideMark/>
          </w:tcPr>
          <w:p>
            <w:pPr>
              <w:ind w:firstLine="0"/>
              <w:rPr>
                <w:lang w:bidi="he-IL"/>
              </w:rPr>
            </w:pPr>
            <w:r>
              <w:rPr>
                <w:lang w:bidi="he-IL"/>
              </w:rPr>
              <w:t xml:space="preserve">7:11: </w:t>
            </w:r>
            <w:r>
              <w:rPr>
                <w:rFonts w:ascii="Gentium" w:hAnsi="Gentium"/>
                <w:i/>
                <w:iCs/>
                <w:lang w:bidi="he-IL"/>
              </w:rPr>
              <w:t xml:space="preserve">τὸ θηρίον </w:t>
            </w:r>
            <w:r>
              <w:rPr>
                <w:lang w:bidi="he-IL"/>
              </w:rPr>
              <w:t xml:space="preserve">… </w:t>
            </w:r>
            <w:r>
              <w:rPr>
                <w:rFonts w:ascii="Gentium" w:hAnsi="Gentium"/>
                <w:lang w:bidi="he-IL"/>
              </w:rPr>
              <w:t xml:space="preserve">ἀπώλετο</w:t>
            </w:r>
            <w:r>
              <w:rPr>
                <w:lang w:bidi="he-IL"/>
              </w:rPr>
              <w:t xml:space="preserve">, </w:t>
            </w:r>
            <w:r>
              <w:rPr>
                <w:rFonts w:ascii="Gentium" w:hAnsi="Gentium"/>
                <w:lang w:bidi="he-IL"/>
              </w:rPr>
              <w:t xml:space="preserve">καὶ </w:t>
            </w:r>
            <w:r>
              <w:rPr>
                <w:lang w:bidi="he-IL"/>
              </w:rPr>
              <w:t xml:space="preserve">… </w:t>
            </w:r>
            <w:r>
              <w:rPr>
                <w:rFonts w:ascii="Gentium" w:hAnsi="Gentium"/>
                <w:i/>
                <w:iCs/>
                <w:lang w:bidi="he-IL"/>
              </w:rPr>
              <w:t xml:space="preserve">ἐδόθη εἰς καῦσιν πυρός </w:t>
            </w:r>
            <w:r>
              <w:rPr>
                <w:lang w:bidi="he-IL"/>
              </w:rPr>
              <w:t xml:space="preserve">(“Fiara … a fost nimicită… şi a fost aruncată în focul care arde”). Cf. 7. 10: un râu de foc iese din tronul divin. </w:t>
            </w:r>
          </w:p>
        </w:tc>
        <w:tc>
          <w:tcPr>
            <w:tcW w:w="3256" w:type="dxa"/>
            <w:tcMar>
              <w:left w:w="100" w:type="dxa"/>
              <w:top w:w="15" w:type="dxa"/>
              <w:right w:w="100" w:type="dxa"/>
              <w:bottom w:w="15" w:type="dxa"/>
            </w:tcMar>
            <w:hideMark/>
          </w:tcPr>
          <w:p>
            <w:pPr>
              <w:ind w:firstLine="0"/>
              <w:rPr>
                <w:lang w:bidi="he-IL"/>
              </w:rPr>
            </w:pPr>
            <w:r>
              <w:rPr>
                <w:rFonts w:ascii="Gentium" w:hAnsi="Gentium"/>
                <w:lang w:bidi="he-IL"/>
              </w:rPr>
              <w:t xml:space="preserve">ἐπιάσθη </w:t>
            </w:r>
            <w:r>
              <w:rPr>
                <w:rFonts w:ascii="Gentium" w:hAnsi="Gentium"/>
                <w:i/>
                <w:iCs/>
                <w:lang w:bidi="he-IL"/>
              </w:rPr>
              <w:t xml:space="preserve">τὸ θηρίον </w:t>
            </w:r>
            <w:r>
              <w:rPr>
                <w:rFonts w:ascii="Gentium" w:hAnsi="Gentium"/>
                <w:lang w:bidi="he-IL"/>
              </w:rPr>
              <w:t xml:space="preserve">καὶ μετʼ αὐτοῦ ὁ</w:t>
            </w:r>
            <w:r>
              <w:rPr>
                <w:lang w:bidi="he-IL"/>
              </w:rPr>
              <w:t xml:space="preserve"> </w:t>
            </w:r>
            <w:r>
              <w:rPr>
                <w:rFonts w:ascii="Gentium" w:hAnsi="Gentium"/>
                <w:lang w:bidi="he-IL"/>
              </w:rPr>
              <w:t xml:space="preserve">ψευδοπροφήτης </w:t>
            </w:r>
            <w:r>
              <w:rPr>
                <w:lang w:bidi="he-IL"/>
              </w:rPr>
              <w:t xml:space="preserve">… </w:t>
            </w:r>
            <w:r>
              <w:rPr>
                <w:rFonts w:ascii="Gentium" w:hAnsi="Gentium"/>
                <w:i/>
                <w:iCs/>
                <w:lang w:bidi="he-IL"/>
              </w:rPr>
              <w:t xml:space="preserve">ἐβλήθησαν </w:t>
            </w:r>
            <w:r>
              <w:rPr>
                <w:rFonts w:ascii="Gentium" w:hAnsi="Gentium"/>
                <w:lang w:bidi="he-IL"/>
              </w:rPr>
              <w:t xml:space="preserve">οἱ δύο</w:t>
            </w:r>
            <w:r>
              <w:rPr>
                <w:lang w:bidi="he-IL"/>
              </w:rPr>
              <w:t xml:space="preserve"> </w:t>
            </w:r>
            <w:r>
              <w:rPr>
                <w:rFonts w:ascii="Gentium" w:hAnsi="Gentium"/>
                <w:i/>
                <w:iCs/>
                <w:lang w:bidi="he-IL"/>
              </w:rPr>
              <w:t xml:space="preserve">εἰς τὴν λίμνην τοῦ πυρὸς τῆς καιομένης</w:t>
            </w:r>
            <w:r>
              <w:rPr>
                <w:lang w:bidi="he-IL"/>
              </w:rPr>
              <w:t xml:space="preserve"> (“Fiara a fost prinsă, şi cu ea şi profetul mincinos... şi cei doi au fost aruncaţi în iazul de foc care arde cu sulf”)</w:t>
            </w:r>
          </w:p>
        </w:tc>
      </w:tr>
    </w:tbl>
    <w:p/>
    <w:p>
      <w:pPr>
        <w:rPr>
          <w:lang w:bidi="he-IL"/>
        </w:rPr>
      </w:pPr>
      <w:r>
        <w:rPr>
          <w:lang w:bidi="he-IL"/>
        </w:rPr>
        <w:t xml:space="preserve">Armatele răzvrătite sunt distruse, ucise,</w:t>
      </w:r>
      <w:r>
        <w:rPr>
          <w:rStyle w:val="fr-Footnote-Reference"/>
        </w:rPr>
        <w:footnoteReference w:id="12"/>
      </w:r>
      <w:r>
        <w:rPr>
          <w:lang w:bidi="he-IL"/>
        </w:rPr>
        <w:t xml:space="preserve"> şi se aşteaptă ziua judecăţii când vor învia pentru judecată (cf. cap. 20). Este interesant de amint</w:t>
      </w:r>
      <w:r>
        <w:rPr>
          <w:lang w:bidi="he-IL"/>
        </w:rPr>
        <w:t xml:space="preserve">it aici Daniel 7:</w:t>
      </w:r>
      <w:r>
        <w:rPr>
          <w:lang w:bidi="he-IL"/>
        </w:rPr>
        <w:t xml:space="preserve">12, unde se spune că, după ce Fiara este ucisă şi aruncată în foc – un fel de judecată finală anticipată, restul fiarelor implicate în răzvrătire sunt păstrate până la un timp anume (această referinţă s-ar putea înţelege cu privire la ziua</w:t>
      </w:r>
      <w:r>
        <w:rPr>
          <w:lang w:bidi="he-IL"/>
        </w:rPr>
        <w:t xml:space="preserve"> judecăţii, cf. Daniel 12:</w:t>
      </w:r>
      <w:r>
        <w:rPr>
          <w:lang w:bidi="he-IL"/>
        </w:rPr>
        <w:t xml:space="preserve">2 şi Apocalipsa 20).</w:t>
      </w:r>
    </w:p>
    <w:p/>
    <w:p>
      <w:pPr>
        <w:ind w:firstLine="0"/>
      </w:pPr>
      <w:r>
        <w:rPr>
          <w:b/>
          <w:bCs w:val="0"/>
        </w:rPr>
        <w:t xml:space="preserve">Capitolul 20: </w:t>
      </w:r>
      <w:r>
        <w:rPr>
          <w:b/>
          <w:bCs w:val="0"/>
        </w:rPr>
        <w:t xml:space="preserve">mileniul şi</w:t>
      </w:r>
      <w:r>
        <w:rPr>
          <w:b/>
          <w:bCs w:val="0"/>
        </w:rPr>
        <w:t xml:space="preserve"> Judecata finală.</w:t>
      </w:r>
      <w:r>
        <w:t xml:space="preserve"> Acest capitol incitant se concentrează pe patru viziuni deosebite: viziunea legării diavolului (20:1-3), </w:t>
      </w:r>
      <w:r>
        <w:t xml:space="preserve">viziunea</w:t>
      </w:r>
      <w:r>
        <w:t xml:space="preserve"> venirii împărăţiei mesia</w:t>
      </w:r>
      <w:r>
        <w:t xml:space="preserve">nice sub forma de „1000” de ani</w:t>
      </w:r>
      <w:r>
        <w:t xml:space="preserve"> în care Hristos domneşte împreună cu credincioşii înviaţi (20:4-6; în greacă </w:t>
      </w:r>
      <w:r>
        <w:rPr>
          <w:i/>
          <w:iCs/>
        </w:rPr>
        <w:t xml:space="preserve">ta </w:t>
      </w:r>
      <w:r>
        <w:rPr>
          <w:i/>
          <w:iCs/>
        </w:rPr>
        <w:t xml:space="preserve">c</w:t>
      </w:r>
      <w:r>
        <w:rPr>
          <w:i/>
          <w:iCs/>
        </w:rPr>
        <w:t xml:space="preserve">hilia</w:t>
      </w:r>
      <w:r>
        <w:t xml:space="preserve">, plural neutru, poate fi tradus şi ca „1000 de ani”, în mod simbolic, dar literal înseamnă, „mii de ani”</w:t>
      </w:r>
      <w:r>
        <w:rPr>
          <w:rStyle w:val="fr-Footnote-Reference"/>
        </w:rPr>
        <w:footnoteReference w:id="13"/>
      </w:r>
      <w:r>
        <w:t xml:space="preserve">), viziunea ultimei răzvrătiri a omenirii conduse şi înşelate de Satana, din nou (20:7-10, care cuprinde dezlegarea diavolului, înşelarea neamurilor ca să lupte împotriva lui Hristos şi înfrângerea lor definitivă, de data asta doar prin suflarea gurii sale; deşi şi la Armaghedon, au fost nimiciţi asemănător, de sabia care ieşea din gura Logosului lui Dumnezeu), precum şi viziunea Judecăţii finale a îngerilor şi a oamenilor, de la marele tron alb (20:11-15).</w:t>
      </w:r>
    </w:p>
    <w:p>
      <w:r>
        <w:rPr>
          <w:b/>
          <w:bCs w:val="0"/>
        </w:rPr>
        <w:t xml:space="preserve">Relaţia dintre capitolele 19 şi 20</w:t>
      </w:r>
      <w:r>
        <w:t xml:space="preserve">. Subiectul relaţiei tematice şi temporale dintre 19 şi 20 este unul foarte discutat. </w:t>
      </w:r>
      <w:r>
        <w:t xml:space="preserve">F</w:t>
      </w:r>
      <w:r>
        <w:t xml:space="preserve">iind vorba de viziuni apocaliptice, este importan</w:t>
      </w:r>
      <w:r>
        <w:t xml:space="preserve">t în ce cheie sunt interpretate (cf. 20:1, „şi am văzut un înger”, </w:t>
      </w:r>
      <w:r>
        <w:rPr>
          <w:i/>
        </w:rPr>
        <w:t xml:space="preserve">kai eidon aggelon</w:t>
      </w:r>
      <w:r>
        <w:t xml:space="preserve">).</w:t>
      </w:r>
      <w:r>
        <w:t xml:space="preserve"> </w:t>
      </w:r>
    </w:p>
    <w:p>
      <w:r>
        <w:rPr>
          <w:lang w:val="en-US"/>
        </w:rPr>
        <mc:AlternateContent>
          <mc:Choice Requires="wpg">
            <w:drawing>
              <wp:anchor xmlns:wp="http://schemas.openxmlformats.org/drawingml/2006/wordprocessingDrawing" xmlns:wp14="http://schemas.microsoft.com/office/word/2010/wordprocessingDrawing" distT="0" distB="0" distL="114300" distR="114300" simplePos="0" relativeHeight="251661824" behindDoc="1" locked="0" layoutInCell="1" allowOverlap="1">
                <wp:simplePos x="0" y="0"/>
                <wp:positionH relativeFrom="column">
                  <wp:posOffset>56515</wp:posOffset>
                </wp:positionH>
                <wp:positionV relativeFrom="paragraph">
                  <wp:posOffset>1868805</wp:posOffset>
                </wp:positionV>
                <wp:extent cx="1343025" cy="1924050"/>
                <wp:effectExtent l="0" t="0" r="9525" b="0"/>
                <wp:wrapTight wrapText="bothSides">
                  <wp:wrapPolygon edited="0">
                    <wp:start x="0" y="0"/>
                    <wp:lineTo x="0" y="21386"/>
                    <wp:lineTo x="21447" y="21386"/>
                    <wp:lineTo x="21447" y="0"/>
                    <wp:lineTo x="0" y="0"/>
                  </wp:wrapPolygon>
                </wp:wrapTight>
                <wp:docPr id="11" name="Picture 14" descr="E:\Lucrari teologice\apocalipsa\eschatology\devilinp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ucrari teologice\apocalipsa\eschatology\devilinprison.jpg"/>
                        <pic:cNvPicPr>
                          <a:picLocks noChangeAspect="1" noChangeArrowheads="1"/>
                        </pic:cNvPicPr>
                        <pic:nvPr/>
                      </pic:nvPicPr>
                      <pic:blipFill>
                        <a:blip r:embed="rId23"/>
                        <a:srcRect/>
                        <a:stretch>
                          <a:fillRect/>
                        </a:stretch>
                      </pic:blipFill>
                      <pic:spPr bwMode="auto">
                        <a:xfrm>
                          <a:off x="0" y="0"/>
                          <a:ext cx="1343025" cy="192405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251661824;o:allowoverlap:true;o:allowincell:true;mso-position-horizontal-relative:text;margin-left:4.45pt;mso-position-horizontal:absolute;mso-position-vertical-relative:text;margin-top:147.15pt;mso-position-vertical:absolute;width:105.75pt;height:151.50pt;mso-wrap-distance-left:9.00pt;mso-wrap-distance-top:0.00pt;mso-wrap-distance-right:9.00pt;mso-wrap-distance-bottom:0.00pt;z-index:1;" wrapcoords="0 0 0 99009 99292 99009 99292 0 0 0" stroked="f">
                <w10:wrap type="tight"/>
                <v:imagedata r:id="rId23" o:title=""/>
                <o:lock v:ext="edit" rotation="t"/>
              </v:shape>
            </w:pict>
          </mc:Fallback>
        </mc:AlternateContent>
      </w:r>
      <w:r>
        <w:t xml:space="preserve">Apocalipsa </w:t>
      </w:r>
      <w:r>
        <w:t xml:space="preserve">20:1-3 arată că Ioan a văzut un înger care, coborându-se din cer cu un lanţ mare, l-a închis pe Balaur timp de 1000 de ani într-un loc numit Adânc şi l-a pecetluit să nu iasă de acolo, ca să nu mai înşele neamurile în acest răstimp, urmând să i se dea drumul, în final, pentru puţină vreme. Partea dificilă a acestui capitol este că, dacă începutul (1-3) şi finalul său (7-15) par să reia istoria Armaghedonului, partea din mijloc (4-6) descrie o domnie a celor răscumpăraţi, alături de Isus, de-a lungul acestei mii de ani</w:t>
      </w:r>
      <w:r>
        <w:t xml:space="preserve">, ceea ce pare să indice că urmează ceva diferit de Armaghedon, o nouă răzvrătire şi o nouă înfrângere a ei</w:t>
      </w:r>
      <w:r>
        <w:t xml:space="preserve">.</w:t>
      </w:r>
    </w:p>
    <w:p>
      <w:r>
        <w:t xml:space="preserve">Pe deoparte, capitolul 20 este în continuarea strictă a capitolului 19, în virtutea </w:t>
      </w:r>
      <w:r>
        <w:t xml:space="preserve">naraţiunii</w:t>
      </w:r>
      <w:r>
        <w:t xml:space="preserve">, ca </w:t>
      </w:r>
      <w:r>
        <w:t xml:space="preserve">viziuni succesive.</w:t>
      </w:r>
      <w:r>
        <w:t xml:space="preserve"> </w:t>
      </w:r>
      <w:r>
        <w:t xml:space="preserve">Dacă se interpretează ordinea narativă drept ordine cronologică, atunci </w:t>
      </w:r>
      <w:r>
        <w:t xml:space="preserve">Diavolul, după ce a fost învins, împreună cu popo</w:t>
      </w:r>
      <w:r>
        <w:t xml:space="preserve">a</w:t>
      </w:r>
      <w:r>
        <w:t xml:space="preserve">rele pe care le conducea, este legat pentru 1000 de ani, după care primeşte din nou</w:t>
      </w:r>
      <w:r>
        <w:t xml:space="preserve"> o şansă să îi înşele pe oameni, şi este din nou învins.</w:t>
      </w:r>
      <w:r>
        <w:t xml:space="preserve"> Aceasta este interpretarea pre-milenistă.</w:t>
      </w:r>
      <w:r>
        <w:t xml:space="preserve"> </w:t>
      </w:r>
      <w:r>
        <w:t xml:space="preserve">Dacă este vorba de o nouă viziune care reia episodul vechi al Armaghedonului, atunci acelaşi eveniment este tratat de două ori, în cheie diferită: în acest episod neamurile înşelatee  sunt numite Gog şi Magog, soarta lui Satan este prezentată în două etape, ajungând şi el în iad, adică iazul de foc. Ex</w:t>
      </w:r>
      <w:r>
        <w:t xml:space="preserve">istă, în acelaşi timp, o legătură interesantă </w:t>
      </w:r>
      <w:r>
        <w:t xml:space="preserve">între 19 şi 20, anume</w:t>
      </w:r>
      <w:r>
        <w:t xml:space="preserve"> versetul 20:10, care arată că Satan a fost aruncat în iazul de foc, </w:t>
      </w:r>
      <w:r>
        <w:rPr>
          <w:i/>
        </w:rPr>
        <w:t xml:space="preserve">la fel ca fiara şi profetul mincinos</w:t>
      </w:r>
      <w:r>
        <w:t xml:space="preserve">. </w:t>
      </w:r>
      <w:r>
        <w:t xml:space="preserve">Această referinţă </w:t>
      </w:r>
      <w:r>
        <w:t xml:space="preserve">indică fie ide</w:t>
      </w:r>
      <w:r>
        <w:t xml:space="preserve">ntitatea de loc şi, posibil, </w:t>
      </w:r>
      <w:r>
        <w:t xml:space="preserve">de eveniment (autentificând evenimentul şi identitatea pedepsei), fie o succesiune </w:t>
      </w:r>
      <w:r>
        <w:t xml:space="preserve">de evenimente, al doilea eveniment fiind raportat </w:t>
      </w:r>
      <w:r>
        <w:t xml:space="preserve">în </w:t>
      </w:r>
      <w:r>
        <w:t xml:space="preserve">legătură cu</w:t>
      </w:r>
      <w:r>
        <w:t xml:space="preserve"> evenimentul anterior.</w:t>
      </w:r>
      <w:r>
        <w:t xml:space="preserve"> </w:t>
      </w:r>
      <w:r>
        <w:t xml:space="preserve">În fapt, mai există o referinţă la Fiară şi la icoana ei şi la semnul de pe mână, în 20:4. Martirii ucişi în timpul prigoanei Fiarei învie şi vor domni </w:t>
      </w:r>
      <w:r>
        <w:t xml:space="preserve">alături de martirii din toate timpurile vreme de o mie</w:t>
      </w:r>
      <w:r>
        <w:t xml:space="preserve"> (</w:t>
      </w:r>
      <w:r>
        <w:t xml:space="preserve">sau mii</w:t>
      </w:r>
      <w:r>
        <w:t xml:space="preserve">)</w:t>
      </w:r>
      <w:r>
        <w:t xml:space="preserve"> de ani; </w:t>
      </w:r>
      <w:r>
        <w:t xml:space="preserve">din acest punct de vedere, </w:t>
      </w:r>
      <w:r>
        <w:t xml:space="preserve">mia sau miile de ani pot reprezenta fie o perioadă intermediară, fie întreaga veşnicie de glorie).</w:t>
      </w:r>
    </w:p>
    <w:p>
      <w:r>
        <w:t xml:space="preserve">În acelaşi timp, capitolele 17-19 pot reprezenta un tot unitar, o singură viziune despre ultima şi cea mai mare înfrângere a răzvrătirii popoarelor (a Babilonului şi a lui Satan, a lui Antihrist (Fiara din mare) şi a profetului mincinos, despre ultimii doi arătându-se că au fost aruncaţi în iazul de foc. Această aruncare în iazul de foc reprezintă o judecată aparte, rapidă, dar </w:t>
      </w:r>
      <w:r>
        <w:t xml:space="preserve">poate fi </w:t>
      </w:r>
      <w:r>
        <w:t xml:space="preserve">şi un simbol al judecăţii finale</w:t>
      </w:r>
      <w:r>
        <w:t xml:space="preserve">, partea simbolizând întregul (sinecdocă)</w:t>
      </w:r>
      <w:r>
        <w:t xml:space="preserve">.</w:t>
      </w:r>
    </w:p>
    <w:p>
      <w:r>
        <w:t xml:space="preserve">Conform unei asemenea interpretări, judecata finală este descrisă în detaliu </w:t>
      </w:r>
      <w:r>
        <w:t xml:space="preserve">doar </w:t>
      </w:r>
      <w:r>
        <w:t xml:space="preserve">în capitolul 20, care reia dintr-un alt punct de vedere istoria ultimei confruntări. Interpretarea amilenistă </w:t>
      </w:r>
      <w:r>
        <w:t xml:space="preserve">vede în acest capitol o reluare</w:t>
      </w:r>
      <w:r>
        <w:t xml:space="preserve"> istoriei înfrângerii Diavolului, într-o nouă viziune, şi nu o continuare</w:t>
      </w:r>
      <w:r>
        <w:t xml:space="preserve"> istorică a evenimentelor din 19</w:t>
      </w:r>
      <w:r>
        <w:t xml:space="preserve">. De fapt</w:t>
      </w:r>
      <w:r>
        <w:t xml:space="preserve">,</w:t>
      </w:r>
      <w:r>
        <w:t xml:space="preserve"> judecata a mai fost anticipată într-o serie de viziuni, cum sunt cele din ca</w:t>
      </w:r>
      <w:r>
        <w:t xml:space="preserve">pitolul 12, 16 şi 19. Conform acestei perspective,</w:t>
      </w:r>
      <w:r>
        <w:t xml:space="preserve"> mileniul (adică „miile de ani”</w:t>
      </w:r>
      <w:r>
        <w:t xml:space="preserve"> din textul grecesc</w:t>
      </w:r>
      <w:r>
        <w:t xml:space="preserve">) se referă la epoca Bisericii</w:t>
      </w:r>
      <w:r>
        <w:t xml:space="preserve"> şi se află în desfăşurare în prezent</w:t>
      </w:r>
      <w:r>
        <w:t xml:space="preserve">, până la revenirea Mântuitorului</w:t>
      </w:r>
      <w:r>
        <w:rPr>
          <w:rStyle w:val="fr-Footnote-Reference"/>
        </w:rPr>
        <w:footnoteReference w:id="14"/>
      </w:r>
      <w:r>
        <w:t xml:space="preserve">.</w:t>
      </w:r>
    </w:p>
    <w:p>
      <w:r>
        <w:t xml:space="preserve">După viziunea legării sau închiderii lui Satan pentru mia (miile) de ani, urmează v</w:t>
      </w:r>
      <w:r>
        <w:t xml:space="preserve">iziunea </w:t>
      </w:r>
      <w:r>
        <w:t xml:space="preserve">despre s</w:t>
      </w:r>
      <w:r>
        <w:t xml:space="preserve">ufletele </w:t>
      </w:r>
      <w:r>
        <w:t xml:space="preserve">martirilor care învie şi domnesc</w:t>
      </w:r>
      <w:r>
        <w:t xml:space="preserve"> (martiri </w:t>
      </w:r>
      <w:r>
        <w:t xml:space="preserve">cărora li s-a tăiat capul pentru Hristos şi </w:t>
      </w:r>
      <w:r>
        <w:t xml:space="preserve">care par să v</w:t>
      </w:r>
      <w:r>
        <w:t xml:space="preserve">ină din toate epocile Bisericii</w:t>
      </w:r>
      <w:r>
        <w:t xml:space="preserve"> şi, de asemeni, sufletele celor care nu s-au închina</w:t>
      </w:r>
      <w:r>
        <w:t xml:space="preserve">t Fiarei, </w:t>
      </w:r>
      <w:r>
        <w:t xml:space="preserve">martiri din necazul cel mare)</w:t>
      </w:r>
      <w:r>
        <w:t xml:space="preserve">. Textul spune </w:t>
      </w:r>
      <w:r>
        <w:t xml:space="preserve">despre ei că au „trăit şi au împărăţit cu Hristos mia de </w:t>
      </w:r>
      <w:r>
        <w:t xml:space="preserve">ani” </w:t>
      </w:r>
      <w:r>
        <w:t xml:space="preserve">(Cornilescu traduce </w:t>
      </w:r>
      <w:r>
        <w:t xml:space="preserve">în 20:4 </w:t>
      </w:r>
      <w:r>
        <w:t xml:space="preserve">„au înviat şi au împărăţit”, dar nu este cea mai exactă traducere; este adevărat însă că în lumina afirmaţiei din 20:5, că aceasta este prima înviere, ar putea fi tradus „au înviat şi au împărăţit”; tot la fel de bine însă poate fi admis şi un înţeles metaforic pentru expresia „prima înviere”). </w:t>
      </w:r>
    </w:p>
    <w:p>
      <w:r>
        <w:t xml:space="preserve">A</w:t>
      </w:r>
      <w:r>
        <w:t xml:space="preserve">cest detaliu </w:t>
      </w:r>
      <w:r>
        <w:t xml:space="preserve">important, dacă este luat literal, </w:t>
      </w:r>
      <w:r>
        <w:t xml:space="preserve">pare să spună că doar martirii, şi anume martirii din toate epocile, vor împărăţi împreună cu </w:t>
      </w:r>
      <w:r>
        <w:t xml:space="preserve">Hristos în timpul miilor de ani. Ce vor face însă restului de sfinţi din Biserică:</w:t>
      </w:r>
      <w:r>
        <w:t xml:space="preserve"> sunt ei în ceruri şi vin doar în final pe pământ? </w:t>
      </w:r>
      <w:r>
        <w:t xml:space="preserve">Sau v</w:t>
      </w:r>
      <w:r>
        <w:t xml:space="preserve">or fi ei pe pământ, dar nu vor împărăţi cu Hristos, ci doar martirii? Aceste nelămuriri par să indice că, totuşi, capitolul 20 din Apocalipsa este plin de simboluri, nu neapărat o prezentare nemijlocită a istoriei viitoare.</w:t>
      </w:r>
    </w:p>
    <w:p>
      <w:r>
        <w:t xml:space="preserve">Apar </w:t>
      </w:r>
      <w:r>
        <w:t xml:space="preserve">şi câţiva termeni mai neobişnuiţi: prima înviere, a doua moarte (20:5, 6, 14; cf. 2:11 – a doua moarte, apare şi în mesajul Bisericii din Smirna – ce</w:t>
      </w:r>
      <w:r>
        <w:t xml:space="preserve">a de-a doua Biserică din cele şapte</w:t>
      </w:r>
      <w:r>
        <w:t xml:space="preserve">; prin paralelism, s-ar putea vorbi şi de a doua înviere şi de prima moarte).</w:t>
      </w:r>
    </w:p>
    <w:p>
      <w:r>
        <w:t xml:space="preserve">S-ar putea însă, ca în interpretarea capitolului 20 să aibă o greutate deosebită pasajele unde se vorbeşte despre dispariţia cerurilor şi despre dispariţia formelor de relief de pe pământ (munţi, dealuri, insule). Astfel, în 6:10-17, după pecetea a şasea, Ioan vede că cerul trece ca un sul, iar insulele şi munţii se mişcă din locul lor (o prefigurare a finalului). Şi în 16:</w:t>
      </w:r>
      <w:r>
        <w:t xml:space="preserve">20</w:t>
      </w:r>
      <w:r>
        <w:t xml:space="preserve">, capitolul celor şapte potire, Ioan vede că </w:t>
      </w:r>
      <w:r>
        <w:t xml:space="preserve">are loc un cutremur mare, la potirul al şaptelea, când </w:t>
      </w:r>
      <w:r>
        <w:t xml:space="preserve">insulele şi munţii se mişcă din locul lor</w:t>
      </w:r>
      <w:r>
        <w:t xml:space="preserve"> şi nu se mai văd.</w:t>
      </w:r>
      <w:r>
        <w:t xml:space="preserve"> În sfârşit, </w:t>
      </w:r>
      <w:r>
        <w:t xml:space="preserve">şi </w:t>
      </w:r>
      <w:r>
        <w:t xml:space="preserve">în 20:11 se spune că cerul şi pământul au fugit dinaintea Celui ce şedea pe tronul mare şi alb al judecăţii şi nu s-a m</w:t>
      </w:r>
      <w:r>
        <w:t xml:space="preserve">ai găsit loc pentru ele. Pot</w:t>
      </w:r>
      <w:r>
        <w:t xml:space="preserve"> însă cerurile, munţii şi insulele să dispară de mai multe ori?</w:t>
      </w:r>
      <w:r>
        <w:t xml:space="preserve"> Un răspuns ar fi acela că</w:t>
      </w:r>
      <w:r>
        <w:t xml:space="preserve"> în capitolele 16 şi 20 este vorba de </w:t>
      </w:r>
      <w:r>
        <w:t xml:space="preserve">unul şi </w:t>
      </w:r>
      <w:r>
        <w:t xml:space="preserve">acelaşi fenomen, dar în 17-20 avem detalierea judecăţii. Dacă nu se admite acest lucru, ar însemna că în Apocalipsa apar mai multe cutremure finale în care cerurile şi pământul trec şi sunt transformate (transfigurate). </w:t>
      </w:r>
    </w:p>
    <w:p>
      <w:r>
        <w:t xml:space="preserve">Încă o observaţie interesantă în acest context ar fi aceea că, începând cu trâmbiţa a cincea, în general se deschide Adâncul (Abisul) şi alte diverse închisori ale îngerilor şi duhurilor demonice, şi nu se mai aruncă înăuntru, ci sunt dezlegate aceste făpturi, ca să participe la pedepsirea oamenilor şi la evenimentele finale. Ar </w:t>
      </w:r>
      <w:r>
        <w:t xml:space="preserve">părea</w:t>
      </w:r>
      <w:r>
        <w:t xml:space="preserve"> surprinzător, deci, ca aici, în capitolul 20, Diavolul să fie închis în Adânc, după Armaghedon, ca să fie dezlegat după alţi </w:t>
      </w:r>
      <w:r>
        <w:t xml:space="preserve">o mie sau mii</w:t>
      </w:r>
      <w:r>
        <w:t xml:space="preserve"> de ani.</w:t>
      </w:r>
      <w:r>
        <w:t xml:space="preserve"> </w:t>
      </w:r>
    </w:p>
    <w:p>
      <w:r>
        <w:t xml:space="preserve">Pe de altă parte, dacă într-adevăr este vorba de o mie (sau mii) de ani, ca perioadă intermediară, atunci ar însemna că există două înşelări ale omenirii şi două răzvrătiri împotriva lui Hristos, chiar trei: prima înşelare ar fi cea din Eden, când şarpele Satan i-a amăgit pe Eva şi pe Adam, urmaşii oamenilor au fost în continuu înşelaţi de Satan şi uneori pedepsiţi – ca la potop, până la venirea lui Antihrist; a doua înşelare are loc prin unirea forţelor lui Satan, ale Fiarei – Antihrist şi ale profetului mincinos şi duce la marea confruntare militară de la Armaghedon, care se încheie cu aruncarea în iad a Fiarei şi a profetului; a treia înşelare are loc condusă de Satan însuşi, după mia de ani, şi conduce şi ea la o confruntare militară, la asediul Ierusalimului unde locuiesc – şi conduc sfinţii, împreună cu Hristos.</w:t>
      </w:r>
      <w:r>
        <w:t xml:space="preserve"> Diavolul are deci trei încercări de înşelare ale omenirii, reuşite parţial, şi după aceasta este aruncat în iazul de foc.</w:t>
      </w:r>
    </w:p>
    <w:p>
      <w:r>
        <w:t xml:space="preserve">În final, capitolul 20 este unic şi prin descrierea în amănunt a judecăţii finale. În urma conflictului, Diavolul este aruncat şi el în iazul de foc, alături de Fiară şi de profetul mincinos. </w:t>
      </w:r>
    </w:p>
    <w:p>
      <w:r>
        <w:t xml:space="preserve">Apoi are loc învierea a doua şi judecata. Judecata finală, generală, nu are loc decât după înviere, când toţi oamenii au primit un trup nou. Iazul de foc va fi suferit fizic, în trupul cel nou.</w:t>
      </w:r>
    </w:p>
    <w:p>
      <w:r>
        <w:t xml:space="preserve">Oamenii sunt judecaţi în faţa tronului alb conform a două tipuri de cărţi: cartea vieţii (se va vedea dacă numele lor au fost scrise în cartea vieţii) şi cărţile faptelor lor (se va vedea ce fel de fapte au avut). Morţii sunt daţi înapoi din locurile unde au murit: di</w:t>
      </w:r>
      <w:r>
        <w:t xml:space="preserve">n mare, din locuinţa morţilor (H</w:t>
      </w:r>
      <w:r>
        <w:t xml:space="preserve">ades) şi din moarte. Moartea şi Hadesul (zei păgâni, </w:t>
      </w:r>
      <w:r>
        <w:rPr>
          <w:i/>
          <w:iCs/>
        </w:rPr>
        <w:t xml:space="preserve">Thanatos</w:t>
      </w:r>
      <w:r>
        <w:t xml:space="preserve"> şi </w:t>
      </w:r>
      <w:r>
        <w:rPr>
          <w:i/>
          <w:iCs/>
        </w:rPr>
        <w:t xml:space="preserve">Hades</w:t>
      </w:r>
      <w:r>
        <w:t xml:space="preserve">, prezentaţi </w:t>
      </w:r>
      <w:r>
        <w:t xml:space="preserve">ca zei demonici) sunt tratate aici ca două persoane (de fapt, şi în pecetea a 4a, călăreţul de pe calul vânăt-galben era Moartea, iar în urma sa, ca un scutier, venea Hadesul, locuinţa morţilor – sau cum traduc alţii, Iadul). </w:t>
      </w:r>
      <w:r>
        <w:t xml:space="preserve">Cei doi reprezentaţi ai morţii, </w:t>
      </w:r>
      <w:r>
        <w:t xml:space="preserve">Moartea şi Hadesul sunt</w:t>
      </w:r>
      <w:r>
        <w:t xml:space="preserve">, astfel, aruncaţi </w:t>
      </w:r>
      <w:r>
        <w:t xml:space="preserve">în iazul de foc (sau lacul de foc), la fel ca şi persoanele răzvrătite şi demonii. </w:t>
      </w:r>
    </w:p>
    <w:p>
      <w:r>
        <w:t xml:space="preserve">Marea nu este aruncată în lacul de foc, dar ea, totuşi, nu mai apare pe pământ, conform 21:1. Această dispariţie a mării poate fi înţeleasă simbolic, deoarece marea şi oceanele cu valurile lor reprezintă neamuri răzvrătite sau forţe naturale greu de supus (Isus ceartă vântul şi valurile, de câteva ori, în evanghelii). Cu alte cuvinte se comunică faptul că în noul univers nu va mai fi loc pentru astfel de forţe</w:t>
      </w:r>
      <w:r>
        <w:t xml:space="preserve"> răzvrătite</w:t>
      </w:r>
      <w:r>
        <w:t xml:space="preserve">. Apa va fi sub forma ascultătoare</w:t>
      </w:r>
      <w:r>
        <w:t xml:space="preserve"> şi benefică</w:t>
      </w:r>
      <w:r>
        <w:t xml:space="preserve"> a unor râuri dătătoare de viaţă.</w:t>
      </w:r>
    </w:p>
    <w:p/>
    <w:p>
      <w:pPr>
        <w:pStyle w:val="Heading5"/>
        <w:numPr>
          <w:ilvl w:val="0"/>
          <w:numId w:val="36"/>
        </w:numPr>
      </w:pPr>
      <w:r>
        <w:t xml:space="preserve">Viziunile restaurării, Ierusalimul ceresc</w:t>
      </w:r>
    </w:p>
    <w:p/>
    <w:p>
      <w:pPr>
        <w:ind w:firstLine="0"/>
      </w:pPr>
      <w:r>
        <w:rPr>
          <w:b/>
          <w:bCs w:val="0"/>
        </w:rPr>
        <w:t xml:space="preserve">Capitolele 21-22.</w:t>
      </w:r>
      <w:r>
        <w:t xml:space="preserve"> Aceste două ultime capitole cuprind viziunea cerului nou şi a Ierusalimului nou, a vieţii celor credincioşi împreună cu Dumnezeu, cu Isus Hristos, Mielul lui Dumnezeu.</w:t>
      </w:r>
    </w:p>
    <w:p>
      <w:r>
        <w:t xml:space="preserve">Prima viziune a restaurării apare în 21.1: Ioan vede că primul cer şi pământul au trecut, la fel şi marea, şi că au apă</w:t>
      </w:r>
      <w:r>
        <w:t xml:space="preserve">rut un cer nou şi un pământ nou (transfigurarea cerului şi a pământului; nu se creează efectiv un nou univers, ci se alcătuieşte o nouă formă sau structură a acestui univers existent, aranjat pe alte baze spirituale şi fizice-chimice).</w:t>
      </w:r>
    </w:p>
    <w:p>
      <w:r>
        <w:t xml:space="preserve">Pe acest pământ </w:t>
      </w:r>
      <w:r>
        <w:t xml:space="preserve">se coboară din cer, de la Dumnezeu, Ierusalimul ceresc, care este nu un oraş gol, ci un oraş locuit de cei credincioşi, pentru că este asemănat cu o mireasă pregătită pentru </w:t>
      </w:r>
      <w:r>
        <w:t xml:space="preserve">mirele ei (21:</w:t>
      </w:r>
      <w:r>
        <w:t xml:space="preserve">2). Discursul lui Dumnezeu la întâmpinarea m</w:t>
      </w:r>
      <w:r>
        <w:t xml:space="preserve">iresei sale, este descris în 21:5-8 (vezi şi 21:</w:t>
      </w:r>
      <w:r>
        <w:t xml:space="preserve">3-4).</w:t>
      </w:r>
      <w:r>
        <w:t xml:space="preserve"> </w:t>
      </w:r>
      <w:r>
        <w:t xml:space="preserve">Se poate observa</w:t>
      </w:r>
      <w:r>
        <w:t xml:space="preserve"> că omenirea înşelată de Satana şi omenirea răscumpărată prin Hristos sunt, ambele, comparate cu două seturi de imagini</w:t>
      </w:r>
      <w:r>
        <w:t xml:space="preserve"> asemănătoare, dar în antiteză</w:t>
      </w:r>
      <w:r>
        <w:t xml:space="preserve">: imaginea une</w:t>
      </w:r>
      <w:r>
        <w:t xml:space="preserve">i cetăţi şi imaginea unei femei: astfel, omenirea decăzută este asemănată cu un super-oraș,</w:t>
      </w:r>
      <w:r>
        <w:t xml:space="preserve"> Babilonu</w:t>
      </w:r>
      <w:r>
        <w:t xml:space="preserve">l </w:t>
      </w:r>
      <w:r>
        <w:t xml:space="preserve">final, </w:t>
      </w:r>
      <w:r>
        <w:t xml:space="preserve">şi </w:t>
      </w:r>
      <w:r>
        <w:t xml:space="preserve">cu o femeie destrăbălată, Marea Desfrânat</w:t>
      </w:r>
      <w:r>
        <w:t xml:space="preserve">ă</w:t>
      </w:r>
      <w:r>
        <w:t xml:space="preserve">; de asemenea, omenirea restaurată este asemănată cu o super-cetate, </w:t>
      </w:r>
      <w:r>
        <w:t xml:space="preserve">Ierusalimul ceresc şi </w:t>
      </w:r>
      <w:r>
        <w:t xml:space="preserve">cu o femeie de o mare frumusețe, </w:t>
      </w:r>
      <w:r>
        <w:t xml:space="preserve">mireasa Mirelui</w:t>
      </w:r>
      <w:r>
        <w:t xml:space="preserve">, care are și o semnificație cosmică (vezi Apoc. 12, semnul mare al femeii din cer, învăluite în lumina soarelui, având luna la picioare și purtând o cunună de 12 stele pe cap</w:t>
      </w:r>
      <w:r>
        <w:t xml:space="preserve">.</w:t>
      </w:r>
    </w:p>
    <w:p>
      <w:pPr>
        <w:rPr>
          <w:rStyle w:val="normal11Char"/>
        </w:rPr>
      </w:pPr>
      <w:r>
        <w:t xml:space="preserve">În acelaşi timp, se poate observa că în 21:2 Ierusalimul ceresc se </w:t>
      </w:r>
      <w:r>
        <w:rPr>
          <w:rStyle w:val="normal11Char"/>
        </w:rPr>
        <w:t xml:space="preserve">coboară plin de glorie, dar în 20:9 se foloseşte o imagine asemănătoare despre cei sfinţi şi se spune, literal</w:t>
      </w:r>
      <w:r>
        <w:rPr>
          <w:rStyle w:val="normal11Char"/>
        </w:rPr>
        <w:t xml:space="preserve">, despre Satan şi armatele sale că</w:t>
      </w:r>
      <w:r>
        <w:rPr>
          <w:rStyle w:val="normal11Char"/>
        </w:rPr>
        <w:t xml:space="preserve">: </w:t>
      </w:r>
      <w:r>
        <w:rPr>
          <w:rStyle w:val="normal11Char"/>
        </w:rPr>
        <w:t xml:space="preserve">„...</w:t>
      </w:r>
      <w:r>
        <w:rPr>
          <w:rStyle w:val="normal11Char"/>
        </w:rPr>
        <w:t xml:space="preserve">ei s-au suit pe faţa pământului, şi au înconjurat tabăra sfinţilor şi cetatea preaiubită. Dar din cer s-a coborât un foc care i-a mistuit</w:t>
      </w:r>
      <w:r>
        <w:rPr>
          <w:rStyle w:val="normal11Char"/>
        </w:rPr>
        <w:t xml:space="preserve">”</w:t>
      </w:r>
      <w:r>
        <w:rPr>
          <w:rStyle w:val="normal11Char"/>
        </w:rPr>
        <w:t xml:space="preserve">.</w:t>
      </w:r>
      <w:r>
        <w:rPr>
          <w:rStyle w:val="normal11Char"/>
        </w:rPr>
        <w:t xml:space="preserve"> </w:t>
      </w:r>
      <w:r>
        <w:rPr>
          <w:rStyle w:val="normal11Char"/>
        </w:rPr>
        <w:t xml:space="preserve">Întrebarea este: avem în 20:9 un fel de prefigurare a cetăţii Ierusalimului ceresc din 21:2?</w:t>
      </w:r>
      <w:r>
        <w:rPr>
          <w:rStyle w:val="normal11Char"/>
        </w:rPr>
        <w:t xml:space="preserve"> Este aceeaşi metaforă care apare în două texte diferite cu conotaţii diferite?</w:t>
      </w:r>
    </w:p>
    <w:p>
      <w:r>
        <w:t xml:space="preserve">Există</w:t>
      </w:r>
      <w:r>
        <w:t xml:space="preserve"> un paralelism evident între 17:1 şi 21:</w:t>
      </w:r>
      <w:r>
        <w:t xml:space="preserve">9, între prezentarea Babilonului şi a Ierusalimului, pentru că în ambele versete unul din cei</w:t>
      </w:r>
      <w:r>
        <w:t xml:space="preserve"> şapte </w:t>
      </w:r>
      <w:r>
        <w:t xml:space="preserve">îngeri ai potirelor cu urgii vine la Ioan şi îi spune: „vino şi îţi voi arăta... ” („vino şi îţi voi arăta mireasa”, şi cf. „vino şi îţi voi arăta judecata desfrânatei cele mari”, i.e. a Babilonului). Mai întâi, trebuie precizat că în ambele cazuri este vorba despre o detaliere, după ce evenimentul a fost prezentat, în general, în versetele anterioare. Apoi, în ambele cazuri este vorba nu doar despre o cetate cât şi despre un sistem politic nou, despre un nou popor: omenirea răzvrătită şi, respectiv, omenirea mântuită. În acelaşi timp, ambele cetăţi sunt prezentate ca centre ale unei civilizaţii mai extinse, ca nişte capitale ale civilizaţiilor reprezentate.</w:t>
      </w:r>
    </w:p>
    <w:p>
      <w:r>
        <w:t xml:space="preserve">Descrierea </w:t>
      </w:r>
      <w:r>
        <w:t xml:space="preserve">cetăţii </w:t>
      </w:r>
      <w:r>
        <w:t xml:space="preserve">are u</w:t>
      </w:r>
      <w:r>
        <w:t xml:space="preserve">n grad avansat de simbolism (21:</w:t>
      </w:r>
      <w:r>
        <w:t xml:space="preserve">9-27). P</w:t>
      </w:r>
      <w:r>
        <w:t xml:space="preserve">rocesele de prezentare şi măsurare a unui edificiu</w:t>
      </w:r>
      <w:r>
        <w:t xml:space="preserve"> au în general mesajul de restaurare, de înnoire, de reconstrucţie</w:t>
      </w:r>
      <w:r>
        <w:t xml:space="preserve"> (vezi şi viziunea şi măsurarea Templului, în </w:t>
      </w:r>
      <w:r>
        <w:t xml:space="preserve">Ezec.</w:t>
      </w:r>
      <w:r>
        <w:t xml:space="preserve"> </w:t>
      </w:r>
      <w:r>
        <w:t xml:space="preserve">40-42</w:t>
      </w:r>
      <w:r>
        <w:t xml:space="preserve">, în Apoc. 11:1-2</w:t>
      </w:r>
      <w:r>
        <w:t xml:space="preserve">)</w:t>
      </w:r>
      <w:r>
        <w:t xml:space="preserve">. În prezentarea cetăţii </w:t>
      </w:r>
      <w:r>
        <w:t xml:space="preserve">noi a Ierusalimului </w:t>
      </w:r>
      <w:r>
        <w:t xml:space="preserve">intervine des numărul 12 (12 porţi, 12 temelii</w:t>
      </w:r>
      <w:r>
        <w:t xml:space="preserve"> etc.</w:t>
      </w:r>
      <w:r>
        <w:t xml:space="preserve">); calitatea materialelor este impresionantă (diamant, pietre scumpe, aur); dimensiunile, de asemeni, sunt deosebite: </w:t>
      </w:r>
      <w:r>
        <w:t xml:space="preserve">aproximativ</w:t>
      </w:r>
      <w:r>
        <w:t xml:space="preserve"> 2</w:t>
      </w:r>
      <w:r>
        <w:t xml:space="preserve">4</w:t>
      </w:r>
      <w:r>
        <w:t xml:space="preserve">00 de km în lăţime, lungime şi înălţime (sub forma unui cub sau a unei piramide), zidurile cetăţii fiind groase de 70 de metri). </w:t>
      </w:r>
    </w:p>
    <w:p/>
    <w:p>
      <w:pPr>
        <w:jc w:val="center"/>
      </w:pPr>
      <w:r>
        <w:rPr>
          <w:lang w:val="en-US"/>
        </w:rPr>
        <mc:AlternateContent>
          <mc:Choice Requires="wpg">
            <w:drawing>
              <wp:inline xmlns:wp="http://schemas.openxmlformats.org/drawingml/2006/wordprocessingDrawing" distT="0" distB="0" distL="0" distR="0">
                <wp:extent cx="1843668" cy="165735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r/>
                      </pic:nvPicPr>
                      <pic:blipFill>
                        <a:blip r:embed="rId24"/>
                        <a:srcRect/>
                        <a:stretch>
                          <a:fillRect/>
                        </a:stretch>
                      </pic:blipFill>
                      <pic:spPr bwMode="auto">
                        <a:xfrm>
                          <a:off x="0" y="0"/>
                          <a:ext cx="1844121" cy="165775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5.17pt;height:130.50pt;mso-wrap-distance-left:0.00pt;mso-wrap-distance-top:0.00pt;mso-wrap-distance-right:0.00pt;mso-wrap-distance-bottom:0.00pt;z-index:1;" stroked="f">
                <v:imagedata r:id="rId24" o:title=""/>
                <o:lock v:ext="edit" rotation="t"/>
              </v:shape>
            </w:pict>
          </mc:Fallback>
        </mc:AlternateContent>
      </w:r>
    </w:p>
    <w:p/>
    <w:p>
      <w:r>
        <w:t xml:space="preserve">Cetatea nu are templu, deoarece Dumnezeu însuşi este prezent în ea; astfel, se prezintă implicit, rolul şi forma religiei în această lume nouă: nu mai există religie, ci o relaţie directă cu Dumnezeu. </w:t>
      </w:r>
    </w:p>
    <w:p>
      <w:r>
        <w:t xml:space="preserve">Capitolul 22 continuă descrierea cetăţii care se aseamănă un pic cu Babilonul, cu Ninive, </w:t>
      </w:r>
      <w:r>
        <w:t xml:space="preserve">şi alte mari ca</w:t>
      </w:r>
      <w:r>
        <w:t xml:space="preserve">pitale ale lumii: Domnul locuieşte în mijlocul ei, un râu trece prin ea, râul apei vieţii. Implicit funcţionează şi o comparaţie cu Edenul aici, la nivelul râului (şi Edenul era străbătut de un râu), dar şi la nivelul existenţei pomului vieţii. Acesta din urmă este descris ca foarte roditor (12 ori pe an; număr perfect al mântuirii), ca fiind prezent pe ambele maluri ale râului (se înţelege că sunt mai mulţi copaci; deci, noul Ierusalim este tot de-atâtea ori mai plin de viaţă adevărată decât Edenul). Un amănunt aparte suscită interesul cititorilor Apocalipsei, faptul că frunzele pomului vieţii slujesc la vindecarea neamurilor. Pe deoparte, în acest univers nou nu mai este păcat, nici suferinţă. Pe de alta, se spune ca frunzele acestui pom vindecă oamenii. Nu poate fi decât un sens metaforic </w:t>
      </w:r>
      <w:r>
        <w:t xml:space="preserve">şi, probabil,</w:t>
      </w:r>
      <w:r>
        <w:t xml:space="preserve"> unul </w:t>
      </w:r>
      <w:r>
        <w:t xml:space="preserve">unul asociat, medical</w:t>
      </w:r>
      <w:r>
        <w:t xml:space="preserve"> (profilactic)</w:t>
      </w:r>
      <w:r>
        <w:t xml:space="preserve">. Copacul are rod</w:t>
      </w:r>
      <w:r>
        <w:t xml:space="preserve"> variat şi bogat (12 feluri de rod, concomitent, şi rodeşte de 12 ori pe an, adică în fiecare lună)</w:t>
      </w:r>
      <w:r>
        <w:t xml:space="preserve"> şi chiar şi frunzele lui sunt folositoare în men</w:t>
      </w:r>
      <w:r>
        <w:t xml:space="preserve">ţinerea vieţii. Abundenţa </w:t>
      </w:r>
      <w:r>
        <w:t xml:space="preserve">naturii</w:t>
      </w:r>
      <w:r>
        <w:t xml:space="preserve"> şi </w:t>
      </w:r>
      <w:r>
        <w:t xml:space="preserve">a </w:t>
      </w:r>
      <w:r>
        <w:t xml:space="preserve">vieţii</w:t>
      </w:r>
      <w:r>
        <w:t xml:space="preserve">, în g</w:t>
      </w:r>
      <w:r>
        <w:t xml:space="preserve">e</w:t>
      </w:r>
      <w:r>
        <w:t xml:space="preserve">neral,</w:t>
      </w:r>
      <w:r>
        <w:t xml:space="preserve"> în noul Ierusalim este evidentă. </w:t>
      </w:r>
    </w:p>
    <w:p>
      <w:r>
        <w:t xml:space="preserve"> </w:t>
      </w:r>
    </w:p>
    <w:p>
      <w:pPr>
        <w:pStyle w:val="Heading3"/>
      </w:pPr>
      <w:bookmarkStart w:id="7" w:name="_Toc244745239"/>
      <w:bookmarkStart w:id="8" w:name="_Toc420071014"/>
      <w:bookmarkStart w:id="9" w:name="_Toc39700253"/>
      <w:r>
        <w:t xml:space="preserve">5</w:t>
      </w:r>
      <w:r>
        <w:t xml:space="preserve"> Mesajul de ansamblu al Apocalipsei</w:t>
      </w:r>
      <w:bookmarkEnd w:id="7"/>
      <w:bookmarkEnd w:id="8"/>
      <w:bookmarkEnd w:id="9"/>
    </w:p>
    <w:p>
      <w:pPr>
        <w:rPr>
          <w:lang w:eastAsia="vi-VN"/>
        </w:rPr>
      </w:pPr>
    </w:p>
    <w:p>
      <w:pPr>
        <w:ind w:firstLine="0"/>
        <w:rPr>
          <w:lang w:eastAsia="vi-VN"/>
        </w:rPr>
      </w:pPr>
      <w:r>
        <w:rPr>
          <w:lang w:eastAsia="vi-VN"/>
        </w:rPr>
        <w:t xml:space="preserve">Dincolo de metaforă şi detalii istorice, Apocalipsa are un mesaj clar despre suveranitatea lui Dumnezeu în univers despre controlul său asupra puterea Sa asupra tuturor evenimentelor şi fiinţelor din toate dimensiunile acestei lumi. Pe ansamblu se pot extrage următoarele concluzii:</w:t>
      </w:r>
    </w:p>
    <w:p>
      <w:pPr>
        <w:rPr>
          <w:lang w:eastAsia="vi-VN"/>
        </w:rPr>
      </w:pPr>
    </w:p>
    <w:p>
      <w:pPr>
        <w:numPr>
          <w:ilvl w:val="0"/>
          <w:numId w:val="18"/>
        </w:numPr>
        <w:rPr>
          <w:lang w:eastAsia="vi-VN"/>
        </w:rPr>
      </w:pPr>
      <w:r>
        <w:rPr>
          <w:lang w:eastAsia="vi-VN"/>
        </w:rPr>
        <w:t xml:space="preserve">Isus este biruitor în mod absolut, ca Fiul </w:t>
      </w:r>
      <w:r>
        <w:rPr>
          <w:lang w:eastAsia="vi-VN"/>
        </w:rPr>
        <w:t xml:space="preserve">al </w:t>
      </w:r>
      <w:r>
        <w:rPr>
          <w:lang w:eastAsia="vi-VN"/>
        </w:rPr>
        <w:t xml:space="preserve">lui Dumnezeu, om glorificat, mesia cel divin, Logosul învingător.</w:t>
      </w:r>
    </w:p>
    <w:p>
      <w:pPr>
        <w:ind w:firstLine="0" w:left="785"/>
        <w:rPr>
          <w:lang w:eastAsia="vi-VN"/>
        </w:rPr>
      </w:pPr>
      <w:r>
        <w:rPr>
          <w:lang w:eastAsia="vi-VN"/>
        </w:rPr>
        <w:t xml:space="preserve"> </w:t>
      </w:r>
    </w:p>
    <w:p>
      <w:pPr>
        <w:numPr>
          <w:ilvl w:val="0"/>
          <w:numId w:val="18"/>
        </w:numPr>
        <w:rPr>
          <w:lang w:eastAsia="vi-VN"/>
        </w:rPr>
      </w:pPr>
      <w:r>
        <w:rPr>
          <w:lang w:eastAsia="vi-VN"/>
        </w:rPr>
        <w:t xml:space="preserve">Dumnezeu este suveran asupra istoriei omenirii şi îngerilor, a întregului univers.</w:t>
      </w:r>
    </w:p>
    <w:p>
      <w:pPr>
        <w:ind w:firstLine="0" w:left="785"/>
        <w:rPr>
          <w:lang w:eastAsia="vi-VN"/>
        </w:rPr>
      </w:pPr>
    </w:p>
    <w:p>
      <w:pPr>
        <w:numPr>
          <w:ilvl w:val="0"/>
          <w:numId w:val="18"/>
        </w:numPr>
        <w:rPr>
          <w:lang w:eastAsia="vi-VN"/>
        </w:rPr>
      </w:pPr>
      <w:r>
        <w:rPr>
          <w:lang w:eastAsia="vi-VN"/>
        </w:rPr>
        <w:t xml:space="preserve"> Omenirea rebelă va trece prin dezastrul judecăţii totale, fără putere de evitare, sau de sustragere.</w:t>
      </w:r>
    </w:p>
    <w:p>
      <w:pPr>
        <w:ind w:firstLine="0" w:left="785"/>
        <w:rPr>
          <w:lang w:eastAsia="vi-VN"/>
        </w:rPr>
      </w:pPr>
    </w:p>
    <w:p>
      <w:pPr>
        <w:numPr>
          <w:ilvl w:val="0"/>
          <w:numId w:val="18"/>
        </w:numPr>
        <w:rPr>
          <w:lang w:eastAsia="vi-VN"/>
        </w:rPr>
      </w:pPr>
      <w:r>
        <w:rPr>
          <w:lang w:eastAsia="vi-VN"/>
        </w:rPr>
        <w:t xml:space="preserve">Judecata se execută în etape, cu vreme de har şi oportunităţi, cu o anumită creştere a severităţii, până ce se ajunge la judecată aspră, finală.</w:t>
      </w:r>
    </w:p>
    <w:p>
      <w:pPr>
        <w:pStyle w:val="ListParagraph"/>
        <w:rPr>
          <w:lang w:eastAsia="vi-VN"/>
        </w:rPr>
      </w:pPr>
    </w:p>
    <w:p>
      <w:pPr>
        <w:numPr>
          <w:ilvl w:val="0"/>
          <w:numId w:val="18"/>
        </w:numPr>
        <w:rPr>
          <w:lang w:eastAsia="vi-VN"/>
        </w:rPr>
      </w:pPr>
      <w:r>
        <w:rPr>
          <w:lang w:eastAsia="vi-VN"/>
        </w:rPr>
        <w:t xml:space="preserve">Israel are o prezenţă specială în această istorie a judecăţii, până la finalul istoriei. </w:t>
      </w:r>
    </w:p>
    <w:p>
      <w:pPr>
        <w:pStyle w:val="ListParagraph"/>
        <w:rPr>
          <w:lang w:eastAsia="vi-VN"/>
        </w:rPr>
      </w:pPr>
    </w:p>
    <w:p>
      <w:pPr>
        <w:numPr>
          <w:ilvl w:val="0"/>
          <w:numId w:val="18"/>
        </w:numPr>
        <w:rPr>
          <w:lang w:eastAsia="vi-VN"/>
        </w:rPr>
      </w:pPr>
      <w:r>
        <w:rPr>
          <w:lang w:eastAsia="vi-VN"/>
        </w:rPr>
        <w:t xml:space="preserve">Răul va înceta iar exponenţii lui vor fi izolaţi şi pedepsiţi veşnic (diavolul, demonii, moartea, locuinţa morţilor, oamenii uniţi cu ei în răutate, antihristul, proorocul mincinos</w:t>
      </w:r>
      <w:r>
        <w:rPr>
          <w:lang w:eastAsia="vi-VN"/>
        </w:rPr>
        <w:t xml:space="preserve"> etc.</w:t>
      </w:r>
      <w:r>
        <w:rPr>
          <w:lang w:eastAsia="vi-VN"/>
        </w:rPr>
        <w:t xml:space="preserve">).</w:t>
      </w:r>
    </w:p>
    <w:p>
      <w:pPr>
        <w:pStyle w:val="ListParagraph"/>
        <w:rPr>
          <w:lang w:eastAsia="vi-VN"/>
        </w:rPr>
      </w:pPr>
    </w:p>
    <w:p>
      <w:pPr>
        <w:numPr>
          <w:ilvl w:val="0"/>
          <w:numId w:val="18"/>
        </w:numPr>
        <w:rPr>
          <w:lang w:eastAsia="vi-VN"/>
        </w:rPr>
      </w:pPr>
      <w:r>
        <w:rPr>
          <w:lang w:eastAsia="vi-VN"/>
        </w:rPr>
        <w:t xml:space="preserve">Biserica  se află în grija lui Isus. </w:t>
      </w:r>
      <w:bookmarkStart w:id="10" w:name="_GoBack"/>
      <w:r>
        <w:rPr>
          <w:lang w:eastAsia="vi-VN"/>
        </w:rPr>
        <w:t xml:space="preserve">Ea are un destin de Biserică mărturisitoare care trece prin prigoană şi prin greutăţi, dar care va fi răsplătită şi răzbunată de Dumnezeu, în final. </w:t>
      </w:r>
      <w:bookmarkEnd w:id="10"/>
      <w:r>
        <w:rPr>
          <w:lang w:eastAsia="vi-VN"/>
        </w:rPr>
        <w:t xml:space="preserve">Omenirea credincioasă, din toate veacurile, va fi înviată şi transformată, restaurată după chipul glorios al lui Isus cel înviat. Finalul Bisericii este unul fericit, cu împărăţire, nu cu dezastru.</w:t>
      </w:r>
    </w:p>
    <w:p>
      <w:pPr>
        <w:pStyle w:val="ListParagraph"/>
        <w:rPr>
          <w:lang w:eastAsia="vi-VN"/>
        </w:rPr>
      </w:pPr>
    </w:p>
    <w:p>
      <w:pPr>
        <w:rPr>
          <w:lang w:eastAsia="vi-VN"/>
        </w:rPr>
      </w:pPr>
      <w:r>
        <w:rPr>
          <w:lang w:eastAsia="vi-VN"/>
        </w:rPr>
        <w:t xml:space="preserve">Acest mesaj era valabil atât pentru credincioşii din timpul lui Ioan cum este şi pentru cei de astăzi. Pentru cei din primul secol el îmbrăca haina culturii lor (izbăvire de sub puterea morţii, pedepsirea Imperiului păgân al Romei, venirea în glorie a lui Isus, a Ierusalimului ceresc). Pentru cei de astăzi, el îmbracă haina interpretărilor noastre teologice (milenialism, răpire, dispensaţionalism</w:t>
      </w:r>
      <w:r>
        <w:rPr>
          <w:lang w:eastAsia="vi-VN"/>
        </w:rPr>
        <w:t xml:space="preserve"> etc.</w:t>
      </w:r>
      <w:r>
        <w:rPr>
          <w:lang w:eastAsia="vi-VN"/>
        </w:rPr>
        <w:t xml:space="preserve">) dar păstrează acelaşi conţinut (izbăvirea de sub puterea morţii, pedepsirea imperiului păgân – Roma renăscută, Babilonul renăscut, venirea lui Isus, începutul domniei veşnice cu El într-un univers reconstruit, un cer nou şi un pământ nou).</w:t>
      </w:r>
    </w:p>
    <w:p>
      <w:pPr>
        <w:rPr>
          <w:lang w:eastAsia="vi-VN"/>
        </w:rPr>
      </w:pPr>
    </w:p>
    <w:p>
      <w:pPr>
        <w:pStyle w:val="Heading3"/>
        <w:rPr>
          <w:lang w:bidi="he-IL"/>
        </w:rPr>
      </w:pPr>
      <w:bookmarkStart w:id="11" w:name="_Toc244745240"/>
      <w:bookmarkStart w:id="12" w:name="_Toc420071015"/>
      <w:bookmarkStart w:id="13" w:name="_Toc39700254"/>
      <w:r>
        <w:rPr>
          <w:lang w:bidi="he-IL"/>
        </w:rPr>
        <w:t xml:space="preserve">6 Subiecte de meditație și discuție cu privire </w:t>
      </w:r>
      <w:r>
        <w:rPr>
          <w:lang w:bidi="he-IL"/>
        </w:rPr>
        <w:t xml:space="preserve">la Apocalipsa</w:t>
      </w:r>
      <w:bookmarkEnd w:id="11"/>
      <w:bookmarkEnd w:id="12"/>
      <w:bookmarkEnd w:id="13"/>
    </w:p>
    <w:p>
      <w:pPr>
        <w:rPr>
          <w:lang w:bidi="he-IL"/>
        </w:rPr>
      </w:pPr>
    </w:p>
    <w:p>
      <w:pPr>
        <w:numPr>
          <w:ilvl w:val="0"/>
          <w:numId w:val="20"/>
        </w:numPr>
        <w:tabs>
          <w:tab w:val="left" w:pos="990"/>
        </w:tabs>
        <w:ind w:firstLine="0" w:left="720"/>
      </w:pPr>
      <w:r>
        <w:t xml:space="preserve">Prin ce se aseamănă </w:t>
      </w:r>
      <w:r>
        <w:rPr>
          <w:rFonts w:ascii="Times New Roman" w:hAnsi="Times New Roman"/>
        </w:rPr>
        <w:t xml:space="preserve">ș</w:t>
      </w:r>
      <w:r>
        <w:t xml:space="preserve">i prin ce se deosebe</w:t>
      </w:r>
      <w:r>
        <w:rPr>
          <w:rFonts w:ascii="Times New Roman" w:hAnsi="Times New Roman"/>
        </w:rPr>
        <w:t xml:space="preserve">ș</w:t>
      </w:r>
      <w:r>
        <w:t xml:space="preserve">te Apocalipsa lui Ioan de alte scrieri apocaliptice (iudaice </w:t>
      </w:r>
      <w:r>
        <w:rPr>
          <w:rFonts w:ascii="Times New Roman" w:hAnsi="Times New Roman"/>
        </w:rPr>
        <w:t xml:space="preserve">ș</w:t>
      </w:r>
      <w:r>
        <w:t xml:space="preserve">i cre</w:t>
      </w:r>
      <w:r>
        <w:rPr>
          <w:rFonts w:ascii="Times New Roman" w:hAnsi="Times New Roman"/>
        </w:rPr>
        <w:t xml:space="preserve">ș</w:t>
      </w:r>
      <w:r>
        <w:t xml:space="preserve">tine)?</w:t>
      </w:r>
    </w:p>
    <w:p>
      <w:pPr>
        <w:tabs>
          <w:tab w:val="left" w:pos="990"/>
        </w:tabs>
        <w:ind w:firstLine="0" w:left="720"/>
      </w:pPr>
      <w:r>
        <w:t xml:space="preserve"> </w:t>
      </w:r>
    </w:p>
    <w:p>
      <w:pPr>
        <w:numPr>
          <w:ilvl w:val="0"/>
          <w:numId w:val="20"/>
        </w:numPr>
        <w:tabs>
          <w:tab w:val="left" w:pos="990"/>
        </w:tabs>
        <w:ind w:firstLine="0" w:left="720"/>
      </w:pPr>
      <w:r>
        <w:t xml:space="preserve">În ce rela</w:t>
      </w:r>
      <w:r>
        <w:rPr>
          <w:rFonts w:ascii="Times New Roman" w:hAnsi="Times New Roman"/>
        </w:rPr>
        <w:t xml:space="preserve">ț</w:t>
      </w:r>
      <w:r>
        <w:t xml:space="preserve">ie se afl</w:t>
      </w:r>
      <w:r>
        <w:rPr>
          <w:rFonts w:cs="New Century Schoolbook"/>
        </w:rPr>
        <w:t xml:space="preserve">ă</w:t>
      </w:r>
      <w:r>
        <w:t xml:space="preserve"> Apocalipsa lui Ioan cu restul c</w:t>
      </w:r>
      <w:r>
        <w:rPr>
          <w:rFonts w:cs="New Century Schoolbook"/>
        </w:rPr>
        <w:t xml:space="preserve">ă</w:t>
      </w:r>
      <w:r>
        <w:t xml:space="preserve">r</w:t>
      </w:r>
      <w:r>
        <w:rPr>
          <w:rFonts w:ascii="Times New Roman" w:hAnsi="Times New Roman"/>
        </w:rPr>
        <w:t xml:space="preserve">ț</w:t>
      </w:r>
      <w:r>
        <w:t xml:space="preserve">ilor lui Ioan (evanghelia dup</w:t>
      </w:r>
      <w:r>
        <w:rPr>
          <w:rFonts w:cs="New Century Schoolbook"/>
        </w:rPr>
        <w:t xml:space="preserve">ă</w:t>
      </w:r>
      <w:r>
        <w:t xml:space="preserve"> Ioan, scrisorile generale), în stil, imagini, limbaj teologic, concepte?</w:t>
      </w:r>
    </w:p>
    <w:p>
      <w:pPr>
        <w:pStyle w:val="ListParagraph"/>
      </w:pPr>
    </w:p>
    <w:p>
      <w:pPr>
        <w:numPr>
          <w:ilvl w:val="0"/>
          <w:numId w:val="20"/>
        </w:numPr>
        <w:tabs>
          <w:tab w:val="left" w:pos="990"/>
        </w:tabs>
        <w:ind w:firstLine="0" w:left="720"/>
      </w:pPr>
      <w:r>
        <w:t xml:space="preserve">Ce împărţire </w:t>
      </w:r>
      <w:r>
        <w:t xml:space="preserve">sau </w:t>
      </w:r>
      <w:r>
        <w:t xml:space="preserve">stru</w:t>
      </w:r>
      <w:r>
        <w:t xml:space="preserve">ctură literară crede</w:t>
      </w:r>
      <w:r>
        <w:rPr>
          <w:rFonts w:ascii="Times New Roman" w:hAnsi="Times New Roman"/>
        </w:rPr>
        <w:t xml:space="preserve">ț</w:t>
      </w:r>
      <w:r>
        <w:t xml:space="preserve">i c</w:t>
      </w:r>
      <w:r>
        <w:rPr>
          <w:rFonts w:cs="New Century Schoolbook"/>
        </w:rPr>
        <w:t xml:space="preserve">ă</w:t>
      </w:r>
      <w:r>
        <w:t xml:space="preserve"> se potrive</w:t>
      </w:r>
      <w:r>
        <w:rPr>
          <w:rFonts w:ascii="Times New Roman" w:hAnsi="Times New Roman"/>
        </w:rPr>
        <w:t xml:space="preserve">ș</w:t>
      </w:r>
      <w:r>
        <w:t xml:space="preserve">te cel mai bine cu cartea Apocalipsa?</w:t>
      </w:r>
    </w:p>
    <w:p>
      <w:pPr>
        <w:tabs>
          <w:tab w:val="left" w:pos="990"/>
        </w:tabs>
        <w:ind w:firstLine="0" w:left="720"/>
      </w:pPr>
    </w:p>
    <w:p>
      <w:pPr>
        <w:numPr>
          <w:ilvl w:val="0"/>
          <w:numId w:val="20"/>
        </w:numPr>
        <w:tabs>
          <w:tab w:val="left" w:pos="990"/>
        </w:tabs>
        <w:ind w:firstLine="0" w:left="720"/>
      </w:pPr>
      <w:r>
        <w:t xml:space="preserve">Prezentaţi cele patru metode de </w:t>
      </w:r>
      <w:r>
        <w:t xml:space="preserve">abordare a mesajului</w:t>
      </w:r>
      <w:r>
        <w:t xml:space="preserve"> Apocalipsei, arătând avantajele şi dezavantajele fiecăreia.</w:t>
      </w:r>
    </w:p>
    <w:p>
      <w:pPr>
        <w:tabs>
          <w:tab w:val="left" w:pos="990"/>
        </w:tabs>
        <w:ind w:firstLine="0" w:left="720"/>
      </w:pPr>
    </w:p>
    <w:p>
      <w:pPr>
        <w:numPr>
          <w:ilvl w:val="0"/>
          <w:numId w:val="20"/>
        </w:numPr>
        <w:tabs>
          <w:tab w:val="left" w:pos="990"/>
        </w:tabs>
        <w:ind w:firstLine="0" w:left="720"/>
      </w:pPr>
      <w:r>
        <w:t xml:space="preserve">Ce explica</w:t>
      </w:r>
      <w:r>
        <w:rPr>
          <w:rFonts w:ascii="Times New Roman" w:hAnsi="Times New Roman"/>
        </w:rPr>
        <w:t xml:space="preserve">ț</w:t>
      </w:r>
      <w:r>
        <w:t xml:space="preserve">ie ave</w:t>
      </w:r>
      <w:r>
        <w:rPr>
          <w:rFonts w:ascii="Times New Roman" w:hAnsi="Times New Roman"/>
        </w:rPr>
        <w:t xml:space="preserve">ț</w:t>
      </w:r>
      <w:r>
        <w:t xml:space="preserve">i</w:t>
      </w:r>
      <w:r>
        <w:t xml:space="preserve"> pentru </w:t>
      </w:r>
      <w:r>
        <w:t xml:space="preserve">imaginea celor şapte duhuri care stau în prezenţa lui Dumnezeu</w:t>
      </w:r>
      <w:r>
        <w:t xml:space="preserve">? În ce rela</w:t>
      </w:r>
      <w:r>
        <w:rPr>
          <w:rFonts w:ascii="Times New Roman" w:hAnsi="Times New Roman"/>
        </w:rPr>
        <w:t xml:space="preserve">ț</w:t>
      </w:r>
      <w:r>
        <w:t xml:space="preserve">ie se afl</w:t>
      </w:r>
      <w:r>
        <w:rPr>
          <w:rFonts w:cs="New Century Schoolbook"/>
        </w:rPr>
        <w:t xml:space="preserve">ă</w:t>
      </w:r>
      <w:r>
        <w:t xml:space="preserve"> aceast imagine cu Persoana a treia a Sfintei Treimi?</w:t>
      </w:r>
    </w:p>
    <w:p>
      <w:pPr>
        <w:tabs>
          <w:tab w:val="left" w:pos="990"/>
        </w:tabs>
        <w:ind w:firstLine="0" w:left="720"/>
      </w:pPr>
    </w:p>
    <w:p>
      <w:pPr>
        <w:numPr>
          <w:ilvl w:val="0"/>
          <w:numId w:val="20"/>
        </w:numPr>
        <w:tabs>
          <w:tab w:val="left" w:pos="990"/>
        </w:tabs>
        <w:ind w:firstLine="0" w:left="720"/>
      </w:pPr>
      <w:r>
        <w:t xml:space="preserve">Ce paralelisme observaţi în prezentarea Babilonului şi a Ierusalimului ceresc?</w:t>
      </w:r>
    </w:p>
    <w:p>
      <w:pPr>
        <w:tabs>
          <w:tab w:val="left" w:pos="990"/>
        </w:tabs>
        <w:ind w:firstLine="0" w:left="720"/>
      </w:pPr>
    </w:p>
    <w:p>
      <w:pPr>
        <w:numPr>
          <w:ilvl w:val="0"/>
          <w:numId w:val="20"/>
        </w:numPr>
        <w:tabs>
          <w:tab w:val="left" w:pos="990"/>
        </w:tabs>
        <w:ind w:firstLine="0" w:left="720"/>
      </w:pPr>
      <w:r>
        <w:t xml:space="preserve">Observa</w:t>
      </w:r>
      <w:r>
        <w:rPr>
          <w:rFonts w:ascii="Times New Roman" w:hAnsi="Times New Roman"/>
        </w:rPr>
        <w:t xml:space="preserve">ț</w:t>
      </w:r>
      <w:r>
        <w:t xml:space="preserve">i</w:t>
      </w:r>
      <w:r>
        <w:t xml:space="preserve"> termenii prin care este descris Isus cel înviat, în Apocalipsa. Comentaţi importanţa lor.</w:t>
      </w:r>
    </w:p>
    <w:p>
      <w:pPr>
        <w:pStyle w:val="ListParagraph"/>
      </w:pPr>
    </w:p>
    <w:p>
      <w:pPr>
        <w:numPr>
          <w:ilvl w:val="0"/>
          <w:numId w:val="20"/>
        </w:numPr>
        <w:tabs>
          <w:tab w:val="left" w:pos="990"/>
        </w:tabs>
        <w:ind w:firstLine="0" w:left="720"/>
      </w:pPr>
      <w:r>
        <w:t xml:space="preserve">Ce sunt cele</w:t>
      </w:r>
      <w:r>
        <w:t xml:space="preserve"> şapte </w:t>
      </w:r>
      <w:r>
        <w:t xml:space="preserve">trâmbiţe: sunt ele parte din cea de-a şaptea pecete sau şapte evenimente ulterioare? Reprezintă o focalizare pe detaliu sau o continuare a aceleiaşi scheme istorice? La fel pentru </w:t>
      </w:r>
      <w:r>
        <w:t xml:space="preserve">celelalte grupe</w:t>
      </w:r>
      <w:r>
        <w:t xml:space="preserve"> de câte şapte</w:t>
      </w:r>
      <w:r>
        <w:t xml:space="preserve"> simboluri sau etape ale judecă</w:t>
      </w:r>
      <w:r>
        <w:rPr>
          <w:rFonts w:ascii="Times New Roman" w:hAnsi="Times New Roman"/>
        </w:rPr>
        <w:t xml:space="preserve">ț</w:t>
      </w:r>
      <w:r>
        <w:t xml:space="preserve">ii</w:t>
      </w:r>
      <w:r>
        <w:t xml:space="preserve"> (peceţi, trâmbiţe, potire).</w:t>
      </w:r>
    </w:p>
    <w:p>
      <w:pPr>
        <w:pStyle w:val="ListParagraph"/>
        <w:tabs>
          <w:tab w:val="left" w:pos="990"/>
        </w:tabs>
        <w:ind w:firstLine="0"/>
      </w:pPr>
    </w:p>
    <w:p>
      <w:pPr>
        <w:numPr>
          <w:ilvl w:val="0"/>
          <w:numId w:val="20"/>
        </w:numPr>
        <w:tabs>
          <w:tab w:val="left" w:pos="990"/>
        </w:tabs>
        <w:ind w:firstLine="0" w:left="720"/>
      </w:pPr>
      <w:r>
        <w:t xml:space="preserve">Discutaţi semnificaţia </w:t>
      </w:r>
      <w:r>
        <w:t xml:space="preserve">expresiei „mia de ani” („miile de ani”) din</w:t>
      </w:r>
      <w:r>
        <w:t xml:space="preserve"> cap. 21. Cum se traduce corect: mia de ani sau mii de ani? În câte feluri s-ar putea înţelege o astfel de perioadă? </w:t>
      </w:r>
    </w:p>
    <w:p>
      <w:pPr>
        <w:pStyle w:val="ListParagraph"/>
      </w:pPr>
    </w:p>
    <w:p>
      <w:pPr>
        <w:numPr>
          <w:ilvl w:val="0"/>
          <w:numId w:val="20"/>
        </w:numPr>
        <w:tabs>
          <w:tab w:val="left" w:pos="990"/>
        </w:tabs>
        <w:ind w:firstLine="0" w:left="720"/>
      </w:pPr>
      <w:r>
        <w:t xml:space="preserve">Discutaţi </w:t>
      </w:r>
      <w:r>
        <w:t xml:space="preserve">rolul </w:t>
      </w:r>
      <w:r>
        <w:t xml:space="preserve">pluralism</w:t>
      </w:r>
      <w:r>
        <w:t xml:space="preserve">ului (polisemantis</w:t>
      </w:r>
      <w:r>
        <w:t xml:space="preserve">-</w:t>
      </w:r>
      <w:r>
        <w:t xml:space="preserve">mului)</w:t>
      </w:r>
      <w:r>
        <w:t xml:space="preserve"> </w:t>
      </w:r>
      <w:r>
        <w:t xml:space="preserve"> simbolurilor </w:t>
      </w:r>
      <w:r>
        <w:t xml:space="preserve">în Apoc</w:t>
      </w:r>
      <w:r>
        <w:t xml:space="preserve">alipsa, folosind ca exemplu Apocalipsa </w:t>
      </w:r>
      <w:r>
        <w:t xml:space="preserve">12. Ce interpretări se pot da semnului femeii învelite în soare şi cu luna la picioare?</w:t>
      </w:r>
    </w:p>
    <w:p>
      <w:pPr>
        <w:pStyle w:val="ListParagraph"/>
      </w:pPr>
    </w:p>
    <w:p>
      <w:pPr>
        <w:numPr>
          <w:ilvl w:val="0"/>
          <w:numId w:val="20"/>
        </w:numPr>
        <w:tabs>
          <w:tab w:val="left" w:pos="990"/>
        </w:tabs>
        <w:ind w:firstLine="0" w:left="720"/>
      </w:pPr>
      <w:r>
        <w:t xml:space="preserve">Discutați complementaritatea punctelor de vedere crononologice în prezentarea evenimentelor din Apocalipsa și a celor extra-temporale eterne? Ce viziuni par să vină dintr-o perspectivă veșnică, deasupra timpului istoric actual?</w:t>
      </w:r>
    </w:p>
    <w:p>
      <w:pPr>
        <w:pStyle w:val="ListParagraph"/>
      </w:pPr>
    </w:p>
    <w:p>
      <w:pPr>
        <w:numPr>
          <w:ilvl w:val="0"/>
          <w:numId w:val="20"/>
        </w:numPr>
        <w:tabs>
          <w:tab w:val="left" w:pos="990"/>
        </w:tabs>
        <w:ind w:firstLine="0" w:left="720"/>
      </w:pPr>
      <w:r>
        <w:t xml:space="preserve">Care sunt ideile de bază comunicate prin revelaţia din Apocalipsa, care sunt comunicabile indiferent de teoria de interpretare aleasă?</w:t>
      </w:r>
    </w:p>
    <w:p>
      <w:pPr>
        <w:ind w:firstLine="0" w:left="590"/>
      </w:pPr>
      <w:r>
        <w:t xml:space="preserve"> </w:t>
      </w:r>
    </w:p>
    <w:p>
      <w:pPr>
        <w:ind w:firstLine="0" w:left="590"/>
      </w:pPr>
      <w:r>
        <w:br w:type="page" w:clear="all"/>
      </w:r>
    </w:p>
    <w:p>
      <w:pPr>
        <w:pStyle w:val="Heading3"/>
      </w:pPr>
      <w:r>
        <w:t xml:space="preserve">7</w:t>
      </w:r>
      <w:r>
        <w:t xml:space="preserve">. </w:t>
      </w:r>
      <w:bookmarkStart w:id="14" w:name="_Toc244745241"/>
      <w:bookmarkStart w:id="15" w:name="_Toc420071016"/>
      <w:bookmarkStart w:id="16" w:name="_Toc39700255"/>
      <w:r>
        <w:t xml:space="preserve"> Apendix</w:t>
      </w:r>
      <w:r>
        <w:t xml:space="preserve"> 1: terminlogie specifică</w:t>
      </w:r>
      <w:r>
        <w:t xml:space="preserve"> Apocalips</w:t>
      </w:r>
      <w:r>
        <w:t xml:space="preserve">ei</w:t>
      </w:r>
      <w:bookmarkEnd w:id="14"/>
      <w:bookmarkEnd w:id="15"/>
      <w:bookmarkEnd w:id="16"/>
    </w:p>
    <w:p/>
    <w:p>
      <w:r>
        <w:t xml:space="preserve">* apocaliptic (adj.) -  conform definiţiei, apocaliptic este ceva ce ţine de apocalipsă, de revelaţie; cel mai adesea este înţeles, însă, în prezent, ca sinonim al adjectivelor catastrofic, dezastruos.</w:t>
      </w:r>
    </w:p>
    <w:p>
      <w:r>
        <w:t xml:space="preserve">* eschatologie / eschatologic – orice învăţătură despre timpurile din urmă, despre sfârşitul lumii, despre viitorul îndepărtat de la sfârşitul istoriei prezente.</w:t>
      </w:r>
    </w:p>
    <w:p>
      <w:r>
        <w:t xml:space="preserve">* profetic / profeţie – comunicarea voiei lui Dumnezeu cu privire la trecut, prezent şi viitor (nu este limitată doar la viitor, şi este în mod esenţial focalizată pe ideea de revelaţie, de comunicare).</w:t>
      </w:r>
    </w:p>
    <w:p>
      <w:r>
        <w:t xml:space="preserve">* revelaţie – o descoperire, dezvăluire a ceva ce a fost adevărat din totdeauna, dar a fost ascuns sau necunoscut oamenilor, până în ziua revelării.</w:t>
      </w:r>
    </w:p>
    <w:p>
      <w:r>
        <w:t xml:space="preserve">* ziua Domnului, ziua judecăţii – un eveniment de amploare cosmică, aşteptat în viitor, când Dumnezeu judecă lumea (conţinutul judecăţii este înţeles diferit).</w:t>
      </w:r>
    </w:p>
    <w:p>
      <w:r>
        <w:t xml:space="preserve">* parousia – venirea, sosirea, apariţia unei persoane importante, de exemplu Isus – la sfârşitul timpului, în aşteptare creştină biblică.</w:t>
      </w:r>
    </w:p>
    <w:p>
      <w:r>
        <w:t xml:space="preserve">* răpirea Bi</w:t>
      </w:r>
      <w:r>
        <w:t xml:space="preserve">sericii – un termen </w:t>
      </w:r>
      <w:r>
        <w:t xml:space="preserve">care se referă la ridicarea la cer a credincioşilor la venirea lui Isus, dar care este folosit cel mai adesea ca răpire la cer înaintea necazului cel mare sau la mijlocul său, când răutatea lui Antihrist încă nu şi-a atins apogeul. Singurul text biblic </w:t>
      </w:r>
      <w:r>
        <w:t xml:space="preserve">care se referă </w:t>
      </w:r>
      <w:r>
        <w:t xml:space="preserve">clar la acest subiect este 1 Te</w:t>
      </w:r>
      <w:r>
        <w:t xml:space="preserve">saloniceni 4:15-17. Acest text însă nu se referă la nici o schemă cronologică legată de perioada de încercare de</w:t>
      </w:r>
      <w:r>
        <w:t xml:space="preserve"> şapte </w:t>
      </w:r>
      <w:r>
        <w:t xml:space="preserve">ani din timpul Antihristului,</w:t>
      </w:r>
      <w:r>
        <w:t xml:space="preserve"> ci doar la faptul că ridicarea la cer, sau răpirea, va avea loc şi va fi însoţită de transformarea trupurilor celor aflaţi în viaţă la venirea lui Hristos, şi că ei trec prin aceste transformări exact în clipa dinaintea întâlnirii cu Mântuitorul. </w:t>
      </w:r>
    </w:p>
    <w:p>
      <w:r>
        <w:t xml:space="preserve">* necazul cel mare – perioadă de suferinţă şi de martiraj prin care trec cei credincioşi înainte de venirea lui Hristos şi de judecata din urmă. Conform unor păreri </w:t>
      </w:r>
      <w:r>
        <w:t xml:space="preserve">această perioadă </w:t>
      </w:r>
      <w:r>
        <w:t xml:space="preserve">va dura</w:t>
      </w:r>
      <w:r>
        <w:t xml:space="preserve"> şapte </w:t>
      </w:r>
      <w:r>
        <w:t xml:space="preserve">ani, conform altora va dura mai mult. Diverse curente plasează în mod diferit ridicarea la cer a credincioşilor (răpirea), faţă de perioada necazului celui mare:</w:t>
      </w:r>
    </w:p>
    <w:p>
      <w:pPr>
        <w:ind w:hanging="11" w:left="720"/>
      </w:pPr>
      <w:r>
        <w:t xml:space="preserve">+ răpire anterioară necazului (pre-tribulaţionistă) – necreştinii vor îndura perioada de</w:t>
      </w:r>
      <w:r>
        <w:t xml:space="preserve"> şapte </w:t>
      </w:r>
      <w:r>
        <w:t xml:space="preserve">ani de necaz, dar creştinii vor fi răpiţi înainte;</w:t>
      </w:r>
    </w:p>
    <w:p>
      <w:pPr>
        <w:ind w:hanging="11" w:left="720"/>
      </w:pPr>
      <w:r>
        <w:t xml:space="preserve">+ răpire la mijlocul necazului (mid-tribulaţionistă), credincioşii vor fi răpiţi după ce au îndurat 3,1/2 ani din necaz.;</w:t>
      </w:r>
    </w:p>
    <w:p>
      <w:pPr>
        <w:ind w:hanging="11" w:left="720"/>
      </w:pPr>
      <w:r>
        <w:t xml:space="preserve">+ răpire după necaz (post-tribulaţionistă) – credincioşii trebuie să îndure toţi cei</w:t>
      </w:r>
      <w:r>
        <w:t xml:space="preserve"> şapte </w:t>
      </w:r>
      <w:r>
        <w:t xml:space="preserve">ani de necaz, apoi vine răpirea.</w:t>
      </w:r>
    </w:p>
    <w:p>
      <w:r>
        <w:t xml:space="preserve">* dispensaţionalism – credinţa că istoria lumii este împărţită într-un număr de ere sau dispensaţii, generaţia prezentă trăind în ultima sau penultima dintre ele, înainte de finalul lumii şi începutul Împărăţiei lui Dumnezeu.</w:t>
      </w:r>
    </w:p>
    <w:p>
      <w:r>
        <w:t xml:space="preserve">* Armageddon – locul de lângă Meggido, unde va avea loc u</w:t>
      </w:r>
      <w:r>
        <w:t xml:space="preserve">ltima confruntare, conform Apocalipsa</w:t>
      </w:r>
      <w:r>
        <w:t xml:space="preserve"> 16:16.</w:t>
      </w:r>
    </w:p>
    <w:p>
      <w:r>
        <w:t xml:space="preserve">* mia de ani (mileniul) – perioada d</w:t>
      </w:r>
      <w:r>
        <w:t xml:space="preserve">e o mie de ani descrisă în Apocalipsa</w:t>
      </w:r>
      <w:r>
        <w:t xml:space="preserve"> 20:1-6.</w:t>
      </w:r>
    </w:p>
    <w:p>
      <w:pPr>
        <w:ind w:firstLine="19" w:left="690"/>
      </w:pPr>
      <w:r>
        <w:t xml:space="preserve">+ milenism – interpretarea că Apoc</w:t>
      </w:r>
      <w:r>
        <w:t xml:space="preserve">alipsa</w:t>
      </w:r>
      <w:r>
        <w:t xml:space="preserve"> 20 trebuie înţeleasă literal, ca o perioadă de 1000 de ani calendaristici.</w:t>
      </w:r>
    </w:p>
    <w:p>
      <w:pPr>
        <w:ind w:firstLine="19" w:left="690"/>
      </w:pPr>
      <w:r>
        <w:t xml:space="preserve">+ pre-milenism – interpretarea că perioada de 1000 de ani de pace vor veni după necazul cel mare şi după a doua venire a lui Isus (milenialism catastrofic).</w:t>
      </w:r>
    </w:p>
    <w:p>
      <w:pPr>
        <w:ind w:firstLine="19" w:left="690"/>
      </w:pPr>
      <w:r>
        <w:t xml:space="preserve">+ post-milenism – interpretarea că perioada de 1000 de ani de pace va fi stabilită pe pământ de către oameni, şi că Isus se va întoarce la sfârşitul acestei perioade (milenialism progresiv).</w:t>
      </w:r>
    </w:p>
    <w:p>
      <w:pPr>
        <w:ind w:firstLine="19" w:left="690"/>
      </w:pPr>
      <w:r>
        <w:t xml:space="preserve">+ amilenism – interpretarea că perioada de 1000 de ani de pace trebuie înţeleasă ca o figură de stil care reprezintă fie împărăţia veşnică, în universul transfigurat de după venirea lui Hristos, fie perioada de creştere a Bisericii pe pământ, cuprinsă între moartea şi învierea lui Hristos şi cea de a doua venire a  mântuitorului. Acceptă ideea de mileniu şi că reprezintă o perioadă reală în istoria Bisericii, dar nu consideră că se referă efectiv la o mie de ani literali, care se petrec pe pământ, după revenirea lui Isus şi până la judecata finală.</w:t>
      </w:r>
    </w:p>
    <w:p>
      <w:pPr>
        <w:ind w:firstLine="19" w:left="690"/>
      </w:pPr>
    </w:p>
    <w:p>
      <w:pPr>
        <w:pStyle w:val="Heading3"/>
        <w:numPr>
          <w:ilvl w:val="0"/>
          <w:numId w:val="18"/>
        </w:numPr>
      </w:pPr>
      <w:bookmarkStart w:id="17" w:name="_Toc39700256"/>
      <w:r>
        <w:t xml:space="preserve">Apendix</w:t>
      </w:r>
      <w:r>
        <w:t xml:space="preserve"> 2</w:t>
      </w:r>
      <w:r>
        <w:t xml:space="preserve">: Paralele între Daniel şi Apocalipsa</w:t>
      </w:r>
      <w:bookmarkEnd w:id="17"/>
    </w:p>
    <w:p>
      <w:pPr>
        <w:ind w:firstLine="0"/>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r>
        <w:rPr>
          <w:rFonts w:ascii="Times New Roman" w:hAnsi="Times New Roman"/>
          <w:color w:val="auto"/>
          <w:kern w:val="0"/>
          <w:sz w:val="20"/>
          <w:lang w:bidi="he-IL"/>
        </w:rPr>
        <w:t xml:space="preserve">Perioada:</w:t>
      </w:r>
      <w:r>
        <w:rPr>
          <w:rFonts w:ascii="Times New Roman" w:hAnsi="Times New Roman"/>
          <w:color w:val="auto"/>
          <w:kern w:val="0"/>
          <w:sz w:val="20"/>
          <w:lang w:bidi="he-IL"/>
        </w:rPr>
        <w:tab/>
      </w:r>
      <w:r>
        <w:rPr>
          <w:rFonts w:ascii="Times New Roman" w:hAnsi="Times New Roman"/>
          <w:color w:val="auto"/>
          <w:kern w:val="0"/>
          <w:sz w:val="20"/>
          <w:lang w:bidi="he-IL"/>
        </w:rPr>
        <w:tab/>
        <w:t xml:space="preserve">500 îH – AD 100</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r>
        <w:rPr>
          <w:rFonts w:ascii="Times New Roman" w:hAnsi="Times New Roman"/>
          <w:color w:val="auto"/>
          <w:kern w:val="0"/>
          <w:sz w:val="20"/>
          <w:lang w:bidi="he-IL"/>
        </w:rPr>
        <w:t xml:space="preserve">Tip de revelaţie: </w:t>
      </w:r>
      <w:r>
        <w:rPr>
          <w:rFonts w:ascii="Times New Roman" w:hAnsi="Times New Roman"/>
          <w:color w:val="auto"/>
          <w:kern w:val="0"/>
          <w:sz w:val="20"/>
          <w:lang w:bidi="he-IL"/>
        </w:rPr>
        <w:tab/>
      </w:r>
      <w:r>
        <w:rPr>
          <w:rFonts w:ascii="Times New Roman" w:hAnsi="Times New Roman"/>
          <w:color w:val="auto"/>
          <w:kern w:val="0"/>
          <w:sz w:val="20"/>
          <w:lang w:bidi="he-IL"/>
        </w:rPr>
        <w:tab/>
      </w:r>
      <w:r>
        <w:rPr>
          <w:rFonts w:ascii="Times New Roman" w:hAnsi="Times New Roman"/>
          <w:color w:val="auto"/>
          <w:kern w:val="0"/>
          <w:sz w:val="20"/>
          <w:lang w:bidi="he-IL"/>
        </w:rPr>
        <w:t xml:space="preserve">pre-hristică, post-hristică</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r>
        <w:rPr>
          <w:rFonts w:ascii="Times New Roman" w:hAnsi="Times New Roman"/>
          <w:color w:val="auto"/>
          <w:kern w:val="0"/>
          <w:sz w:val="20"/>
          <w:lang w:bidi="he-IL"/>
        </w:rPr>
        <w:t xml:space="preserve">Viziune istorică</w:t>
      </w:r>
      <w:r>
        <w:rPr>
          <w:rFonts w:ascii="Times New Roman" w:hAnsi="Times New Roman"/>
          <w:color w:val="auto"/>
          <w:kern w:val="0"/>
          <w:sz w:val="20"/>
          <w:lang w:bidi="he-IL"/>
        </w:rPr>
        <w:tab/>
      </w:r>
      <w:r>
        <w:rPr>
          <w:rFonts w:ascii="Times New Roman" w:hAnsi="Times New Roman"/>
          <w:color w:val="auto"/>
          <w:kern w:val="0"/>
          <w:sz w:val="20"/>
          <w:lang w:bidi="he-IL"/>
        </w:rPr>
        <w:tab/>
        <w:t xml:space="preserve">În Daniel, venirea Fiului Omului şi</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bidi="he-IL"/>
        </w:rPr>
      </w:pPr>
      <w:r>
        <w:rPr>
          <w:rFonts w:ascii="Times New Roman" w:hAnsi="Times New Roman"/>
          <w:color w:val="auto"/>
          <w:kern w:val="0"/>
          <w:sz w:val="20"/>
          <w:lang w:bidi="he-IL"/>
        </w:rPr>
        <w:tab/>
      </w:r>
      <w:r>
        <w:rPr>
          <w:rFonts w:ascii="Times New Roman" w:hAnsi="Times New Roman"/>
          <w:color w:val="auto"/>
          <w:kern w:val="0"/>
          <w:sz w:val="20"/>
          <w:lang w:bidi="he-IL"/>
        </w:rPr>
        <w:tab/>
      </w:r>
      <w:r>
        <w:rPr>
          <w:rFonts w:ascii="Times New Roman" w:hAnsi="Times New Roman"/>
          <w:color w:val="auto"/>
          <w:kern w:val="0"/>
          <w:sz w:val="20"/>
          <w:lang w:bidi="he-IL"/>
        </w:rPr>
        <w:tab/>
        <w:t xml:space="preserve">judecata este un punct culminant,</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bidi="he-IL"/>
        </w:rPr>
        <w:tab/>
      </w:r>
      <w:r>
        <w:rPr>
          <w:rFonts w:ascii="Times New Roman" w:hAnsi="Times New Roman"/>
          <w:color w:val="auto"/>
          <w:kern w:val="0"/>
          <w:sz w:val="20"/>
          <w:lang w:bidi="he-IL"/>
        </w:rPr>
        <w:tab/>
      </w:r>
      <w:r>
        <w:rPr>
          <w:rFonts w:ascii="Times New Roman" w:hAnsi="Times New Roman"/>
          <w:color w:val="auto"/>
          <w:kern w:val="0"/>
          <w:sz w:val="20"/>
          <w:lang w:bidi="he-IL"/>
        </w:rPr>
        <w:tab/>
      </w:r>
      <w:r>
        <w:rPr>
          <w:rFonts w:ascii="Times New Roman" w:hAnsi="Times New Roman"/>
          <w:color w:val="auto"/>
          <w:kern w:val="0"/>
          <w:sz w:val="20"/>
          <w:lang w:bidi="he-IL"/>
        </w:rPr>
        <w:t xml:space="preserve">7.13-14, 12:2-3. În Apocalipsa</w:t>
      </w:r>
      <w:r>
        <w:rPr>
          <w:rFonts w:ascii="Times New Roman" w:hAnsi="Times New Roman"/>
          <w:color w:val="auto"/>
          <w:kern w:val="0"/>
          <w:sz w:val="20"/>
          <w:lang w:val="fr-FR" w:bidi="he-IL"/>
        </w:rPr>
        <w:t xml:space="preserve">, Isus</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ab/>
        <w:t xml:space="preserve">este prezent de la început şi apare</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ab/>
        <w:t xml:space="preserve">glorios şi la sfârşit.</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 xml:space="preserve">Imagini</w:t>
      </w:r>
      <w:r>
        <w:rPr>
          <w:rFonts w:ascii="Times New Roman" w:hAnsi="Times New Roman"/>
          <w:color w:val="auto"/>
          <w:kern w:val="0"/>
          <w:sz w:val="20"/>
          <w:lang w:val="fr-FR" w:bidi="he-IL"/>
        </w:rPr>
        <w:t xml:space="preserve"> apocaliptice</w:t>
      </w:r>
      <w:r>
        <w:rPr>
          <w:rFonts w:ascii="Times New Roman" w:hAnsi="Times New Roman"/>
          <w:color w:val="auto"/>
          <w:kern w:val="0"/>
          <w:sz w:val="20"/>
          <w:lang w:val="fr-FR" w:bidi="he-IL"/>
        </w:rPr>
        <w:t xml:space="preserve">:</w:t>
      </w:r>
      <w:r>
        <w:rPr>
          <w:rFonts w:ascii="Times New Roman" w:hAnsi="Times New Roman"/>
          <w:color w:val="auto"/>
          <w:kern w:val="0"/>
          <w:sz w:val="20"/>
          <w:lang w:val="fr-FR" w:bidi="he-IL"/>
        </w:rPr>
        <w:tab/>
        <w:t xml:space="preserve">animale în comun,</w:t>
      </w:r>
      <w:r>
        <w:rPr>
          <w:rFonts w:ascii="Times New Roman" w:hAnsi="Times New Roman"/>
          <w:color w:val="auto"/>
          <w:kern w:val="0"/>
          <w:sz w:val="20"/>
          <w:lang w:val="fr-FR" w:bidi="he-IL"/>
        </w:rPr>
        <w:t xml:space="preserve"> </w:t>
      </w:r>
      <w:r>
        <w:rPr>
          <w:rFonts w:ascii="Times New Roman" w:hAnsi="Times New Roman"/>
          <w:color w:val="auto"/>
          <w:kern w:val="0"/>
          <w:sz w:val="20"/>
          <w:lang w:val="fr-FR" w:bidi="he-IL"/>
        </w:rPr>
        <w:t xml:space="preserve">date simbolice, ingeri, </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 xml:space="preserve">un conflict in</w:t>
      </w:r>
      <w:r>
        <w:rPr>
          <w:rFonts w:ascii="Times New Roman" w:hAnsi="Times New Roman"/>
          <w:color w:val="auto"/>
          <w:kern w:val="0"/>
          <w:sz w:val="20"/>
          <w:lang w:val="fr-FR" w:bidi="he-IL"/>
        </w:rPr>
        <w:t xml:space="preserve">  c</w:t>
      </w:r>
      <w:r>
        <w:rPr>
          <w:rFonts w:ascii="Times New Roman" w:hAnsi="Times New Roman"/>
          <w:color w:val="auto"/>
          <w:kern w:val="0"/>
          <w:sz w:val="20"/>
          <w:lang w:val="fr-FR" w:bidi="he-IL"/>
        </w:rPr>
        <w:t xml:space="preserve">er si pe pămant, </w:t>
      </w:r>
      <w:r>
        <w:rPr>
          <w:rFonts w:ascii="Times New Roman" w:hAnsi="Times New Roman"/>
          <w:color w:val="auto"/>
          <w:kern w:val="0"/>
          <w:sz w:val="20"/>
          <w:lang w:val="fr-FR" w:bidi="he-IL"/>
        </w:rPr>
        <w:t xml:space="preserve">istoria mantuirii</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 xml:space="preserve">paradigme</w:t>
      </w:r>
      <w:r>
        <w:rPr>
          <w:rFonts w:ascii="Times New Roman" w:hAnsi="Times New Roman"/>
          <w:color w:val="auto"/>
          <w:kern w:val="0"/>
          <w:sz w:val="20"/>
          <w:lang w:val="fr-FR" w:bidi="he-IL"/>
        </w:rPr>
        <w:t xml:space="preserve"> politice</w:t>
      </w:r>
      <w:r>
        <w:rPr>
          <w:rFonts w:ascii="Times New Roman" w:hAnsi="Times New Roman"/>
          <w:color w:val="auto"/>
          <w:kern w:val="0"/>
          <w:sz w:val="20"/>
          <w:lang w:val="fr-FR" w:bidi="he-IL"/>
        </w:rPr>
        <w:t xml:space="preserve">:</w:t>
      </w:r>
      <w:r>
        <w:rPr>
          <w:rFonts w:ascii="Times New Roman" w:hAnsi="Times New Roman"/>
          <w:color w:val="auto"/>
          <w:kern w:val="0"/>
          <w:sz w:val="20"/>
          <w:lang w:val="fr-FR" w:bidi="he-IL"/>
        </w:rPr>
        <w:tab/>
        <w:t xml:space="preserve">Babilon, imperiu mondial</w:t>
      </w:r>
      <w:r>
        <w:rPr>
          <w:rFonts w:ascii="Times New Roman" w:hAnsi="Times New Roman"/>
          <w:color w:val="auto"/>
          <w:kern w:val="0"/>
          <w:sz w:val="20"/>
          <w:lang w:val="fr-FR" w:bidi="he-IL"/>
        </w:rPr>
        <w:t xml:space="preserve">; C</w:t>
      </w:r>
      <w:r>
        <w:rPr>
          <w:rFonts w:ascii="Times New Roman" w:hAnsi="Times New Roman"/>
          <w:color w:val="auto"/>
          <w:kern w:val="0"/>
          <w:sz w:val="20"/>
          <w:lang w:val="fr-FR" w:bidi="he-IL"/>
        </w:rPr>
        <w:t xml:space="preserve">onfruntare Nord </w:t>
      </w:r>
      <w:r>
        <w:rPr>
          <w:rFonts w:ascii="Times New Roman" w:hAnsi="Times New Roman"/>
          <w:color w:val="auto"/>
          <w:kern w:val="0"/>
          <w:sz w:val="20"/>
          <w:lang w:val="fr-FR" w:bidi="he-IL"/>
        </w:rPr>
        <w:t xml:space="preserve">–</w:t>
      </w:r>
      <w:r>
        <w:rPr>
          <w:rFonts w:ascii="Times New Roman" w:hAnsi="Times New Roman"/>
          <w:color w:val="auto"/>
          <w:kern w:val="0"/>
          <w:sz w:val="20"/>
          <w:lang w:val="fr-FR" w:bidi="he-IL"/>
        </w:rPr>
        <w:t xml:space="preserve"> Sud</w:t>
      </w:r>
      <w:r>
        <w:rPr>
          <w:rFonts w:ascii="Times New Roman" w:hAnsi="Times New Roman"/>
          <w:color w:val="auto"/>
          <w:kern w:val="0"/>
          <w:sz w:val="20"/>
          <w:lang w:val="fr-FR" w:bidi="he-IL"/>
        </w:rPr>
        <w:t xml:space="preserve"> ;</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ab/>
        <w:t xml:space="preserve">Antihrist: un lider mandru, care se</w:t>
      </w:r>
      <w:r>
        <w:rPr>
          <w:rFonts w:ascii="Times New Roman" w:hAnsi="Times New Roman"/>
          <w:color w:val="auto"/>
          <w:kern w:val="0"/>
          <w:sz w:val="20"/>
          <w:lang w:val="fr-FR" w:bidi="he-IL"/>
        </w:rPr>
        <w:t xml:space="preserve"> r</w:t>
      </w:r>
      <w:r>
        <w:rPr>
          <w:rFonts w:ascii="Times New Roman" w:hAnsi="Times New Roman"/>
          <w:color w:val="auto"/>
          <w:kern w:val="0"/>
          <w:sz w:val="20"/>
          <w:lang w:val="fr-FR" w:bidi="he-IL"/>
        </w:rPr>
        <w:t xml:space="preserve">azvrateste</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ab/>
      </w:r>
      <w:r>
        <w:rPr>
          <w:rFonts w:ascii="Times New Roman" w:hAnsi="Times New Roman"/>
          <w:color w:val="auto"/>
          <w:kern w:val="0"/>
          <w:sz w:val="20"/>
          <w:lang w:val="fr-FR" w:bidi="he-IL"/>
        </w:rPr>
        <w:t xml:space="preserve">impotriva lui Dzeu</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sz w:val="20"/>
          <w:lang w:val="fr-FR" w:bidi="he-IL"/>
        </w:rPr>
      </w:pPr>
      <w:r>
        <w:rPr>
          <w:rFonts w:ascii="Times New Roman" w:hAnsi="Times New Roman"/>
          <w:color w:val="auto"/>
          <w:kern w:val="0"/>
          <w:sz w:val="20"/>
          <w:lang w:val="fr-FR" w:bidi="he-IL"/>
        </w:rPr>
        <w:t xml:space="preserve">Viziune finala istorica:</w:t>
      </w:r>
      <w:r>
        <w:rPr>
          <w:rFonts w:ascii="Times New Roman" w:hAnsi="Times New Roman"/>
          <w:color w:val="auto"/>
          <w:kern w:val="0"/>
          <w:sz w:val="20"/>
          <w:lang w:val="fr-FR" w:bidi="he-IL"/>
        </w:rPr>
        <w:tab/>
        <w:t xml:space="preserve">inviere, judecata, rasplatire</w:t>
      </w:r>
    </w:p>
    <w:p>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pacing w:line="240" w:lineRule="auto"/>
        <w:ind w:firstLine="0"/>
        <w:jc w:val="left"/>
        <w:rPr>
          <w:rFonts w:ascii="Times New Roman" w:hAnsi="Times New Roman"/>
          <w:bCs w:val="0"/>
          <w:color w:val="auto"/>
          <w:kern w:val="0"/>
          <w:lang w:val="fr-FR" w:bidi="he-IL"/>
        </w:rPr>
      </w:pPr>
    </w:p>
    <w:p>
      <w:pPr>
        <w:ind w:firstLine="0"/>
        <w:rPr>
          <w:bCs w:val="0"/>
        </w:rPr>
      </w:pPr>
      <w:r>
        <w:t xml:space="preserve">Daniel vede forţa </w:t>
      </w:r>
      <w:r>
        <w:rPr>
          <w:rFonts w:ascii="Times New Roman" w:hAnsi="Times New Roman"/>
        </w:rPr>
        <w:t xml:space="preserve">și dezvoltarea </w:t>
      </w:r>
      <w:r>
        <w:t xml:space="preserve">unui imperiu unic, mondial, după modelul Babilonului. Şi în Apocalipsa lui Ioan, se vede  împărăţia unificată a oamenilor necredincioşi, iar modelul simbolic este tot Babilonul.</w:t>
      </w:r>
    </w:p>
    <w:p>
      <w:pPr>
        <w:rPr>
          <w:bCs w:val="0"/>
        </w:rPr>
      </w:pPr>
    </w:p>
    <w:p>
      <w:pPr>
        <w:rPr>
          <w:bCs w:val="0"/>
        </w:rPr>
      </w:pPr>
      <w:r>
        <w:t xml:space="preserve">Apoi animalele din visurile traduse de Daniel.</w:t>
      </w:r>
    </w:p>
    <w:p>
      <w:pPr>
        <w:rPr>
          <w:bCs w:val="0"/>
        </w:rPr>
      </w:pPr>
      <w:r>
        <w:t xml:space="preserve">Apoi, imaginea Fiului Omului şi a împărăţiei lui.</w:t>
      </w:r>
    </w:p>
    <w:p>
      <w:pPr>
        <w:rPr>
          <w:bCs w:val="0"/>
        </w:rPr>
      </w:pPr>
      <w:r>
        <w:t xml:space="preserve">Urâciunea pustiirii.</w:t>
      </w:r>
    </w:p>
    <w:p>
      <w:pPr>
        <w:rPr>
          <w:bCs w:val="0"/>
        </w:rPr>
      </w:pPr>
      <w:r>
        <w:t xml:space="preserve">Descrierea lui Antihrist.</w:t>
      </w:r>
    </w:p>
    <w:p>
      <w:pPr>
        <w:rPr>
          <w:bCs w:val="0"/>
        </w:rPr>
      </w:pPr>
      <w:r>
        <w:t xml:space="preserve">Învierea şi judecata.</w:t>
      </w:r>
    </w:p>
    <w:p/>
    <w:p/>
    <w:p>
      <w:pPr>
        <w:spacing w:after="100" w:afterAutospacing="1" w:before="100" w:beforeAutospacing="1" w:line="240" w:lineRule="auto"/>
        <w:ind w:firstLine="0"/>
        <w:jc w:val="left"/>
        <w:rPr>
          <w:rFonts w:ascii="Trebuchet MS" w:hAnsi="Trebuchet MS"/>
          <w:kern w:val="0"/>
          <w:szCs w:val="22"/>
          <w:lang w:val="fr-FR" w:bidi="he-IL"/>
        </w:rPr>
      </w:pPr>
      <w:r>
        <w:rPr>
          <w:rFonts w:ascii="Trebuchet MS" w:hAnsi="Trebuchet MS"/>
          <w:kern w:val="0"/>
          <w:sz w:val="28"/>
          <w:lang w:val="fr-FR" w:bidi="he-IL"/>
        </w:rPr>
        <w:t xml:space="preserve">O comparatie intre viziunile Daniel si </w:t>
      </w:r>
      <w:r>
        <w:rPr>
          <w:rFonts w:ascii="Trebuchet MS" w:hAnsi="Trebuchet MS"/>
          <w:kern w:val="0"/>
          <w:sz w:val="28"/>
          <w:lang w:val="fr-FR" w:bidi="he-IL"/>
        </w:rPr>
        <w:t xml:space="preserve">A</w:t>
      </w:r>
      <w:r>
        <w:rPr>
          <w:rFonts w:ascii="Trebuchet MS" w:hAnsi="Trebuchet MS"/>
          <w:kern w:val="0"/>
          <w:sz w:val="28"/>
          <w:lang w:val="fr-FR" w:bidi="he-IL"/>
        </w:rPr>
        <w:t xml:space="preserve">pocalipsa</w:t>
      </w:r>
    </w:p>
    <w:tbl>
      <w:tblPr>
        <w:tblW w:w="6997" w:type="dxa"/>
        <w:tblCellMar>
          <w:left w:w="15" w:type="dxa"/>
          <w:top w:w="15" w:type="dxa"/>
          <w:right w:w="15" w:type="dxa"/>
          <w:bottom w:w="15" w:type="dxa"/>
        </w:tblCellMar>
        <w:tblBorders>
          <w:top w:val="outset" w:color="auto" w:sz="6" w:space="0"/>
          <w:left w:val="outset" w:color="auto" w:sz="6" w:space="0"/>
          <w:bottom w:val="outset" w:color="auto" w:sz="6" w:space="0"/>
          <w:right w:val="outset" w:color="auto" w:sz="6" w:space="0"/>
        </w:tblBorders>
        <w:shd w:val="clear" w:color="auto" w:fill="ceeeee"/>
        <w:tblLook w:val="04A0" w:firstRow="1" w:lastRow="0" w:firstColumn="1" w:lastColumn="0" w:noHBand="0" w:noVBand="1"/>
        <w:tblLayout w:type="fixed"/>
        <w:tblCellSpacing w:w="0" w:type="dxa"/>
      </w:tblPr>
      <w:tblGrid>
        <w:gridCol w:w="930"/>
        <w:gridCol w:w="450"/>
        <w:gridCol w:w="360"/>
        <w:gridCol w:w="630"/>
        <w:gridCol w:w="540"/>
        <w:gridCol w:w="450"/>
        <w:gridCol w:w="450"/>
        <w:gridCol w:w="450"/>
        <w:gridCol w:w="540"/>
        <w:gridCol w:w="360"/>
        <w:gridCol w:w="450"/>
        <w:gridCol w:w="450"/>
        <w:gridCol w:w="450"/>
        <w:gridCol w:w="487"/>
      </w:tblGrid>
      <w:tr>
        <w:trPr>
          <w:gridAfter w:val="4"/>
          <w:tblCellSpacing w:w="0" w:type="dxa"/>
        </w:trPr>
        <w:tc>
          <w:tcPr>
            <w:tcW w:w="930" w:type="dxa"/>
            <w:vMerge w:val="restart"/>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Inteles</w:t>
            </w:r>
          </w:p>
        </w:tc>
        <w:tc>
          <w:tcPr>
            <w:tcW w:w="1980" w:type="dxa"/>
            <w:gridSpan w:val="4"/>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Daniel</w:t>
            </w:r>
          </w:p>
        </w:tc>
        <w:tc>
          <w:tcPr>
            <w:tcW w:w="2250" w:type="dxa"/>
            <w:gridSpan w:val="5"/>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Apocalipsa</w:t>
            </w:r>
          </w:p>
        </w:tc>
      </w:tr>
      <w:tr>
        <w:trPr>
          <w:tblCellSpacing w:w="0" w:type="dxa"/>
        </w:trPr>
        <w:tc>
          <w:tcPr>
            <w:tcW w:w="930" w:type="dxa"/>
            <w:vMerge w:val="continue"/>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left"/>
              <w:rPr>
                <w:rFonts w:ascii="Trebuchet MS" w:hAnsi="Trebuchet MS"/>
                <w:b/>
                <w:bCs w:val="0"/>
                <w:kern w:val="0"/>
                <w:sz w:val="16"/>
                <w:szCs w:val="16"/>
                <w:lang w:val="en-US" w:bidi="he-IL"/>
              </w:rPr>
            </w:pP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2</w:t>
            </w:r>
          </w:p>
        </w:tc>
        <w:tc>
          <w:tcPr>
            <w:tcW w:w="36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7</w:t>
            </w:r>
          </w:p>
        </w:tc>
        <w:tc>
          <w:tcPr>
            <w:tcW w:w="63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8-9</w:t>
            </w:r>
          </w:p>
        </w:tc>
        <w:tc>
          <w:tcPr>
            <w:tcW w:w="54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11-12</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1-5</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6-11</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12</w:t>
            </w:r>
          </w:p>
        </w:tc>
        <w:tc>
          <w:tcPr>
            <w:tcW w:w="54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13</w:t>
            </w:r>
          </w:p>
        </w:tc>
        <w:tc>
          <w:tcPr>
            <w:tcW w:w="36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14</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15-17</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18-19</w:t>
            </w:r>
          </w:p>
        </w:tc>
        <w:tc>
          <w:tcPr>
            <w:tcW w:w="450"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20</w:t>
            </w:r>
          </w:p>
        </w:tc>
        <w:tc>
          <w:tcPr>
            <w:tcW w:w="487" w:type="dxa"/>
            <w:tcBorders>
              <w:top w:val="outset" w:color="auto" w:sz="6" w:space="0"/>
              <w:left w:val="outset" w:color="auto" w:sz="6" w:space="0"/>
              <w:bottom w:val="outset" w:color="auto" w:sz="6" w:space="0"/>
              <w:right w:val="outset" w:color="auto" w:sz="6" w:space="0"/>
            </w:tcBorders>
            <w:shd w:val="clear" w:color="auto" w:fill="ccff66"/>
            <w:vAlign w:val="center"/>
            <w:hideMark/>
          </w:tcPr>
          <w:p>
            <w:pPr>
              <w:spacing w:line="240" w:lineRule="auto"/>
              <w:ind w:firstLine="0"/>
              <w:jc w:val="center"/>
              <w:rPr>
                <w:rFonts w:ascii="Trebuchet MS" w:hAnsi="Trebuchet MS"/>
                <w:b/>
                <w:bCs w:val="0"/>
                <w:kern w:val="0"/>
                <w:sz w:val="16"/>
                <w:szCs w:val="16"/>
                <w:lang w:val="en-US" w:bidi="he-IL"/>
              </w:rPr>
            </w:pPr>
            <w:r>
              <w:rPr>
                <w:rFonts w:ascii="Trebuchet MS" w:hAnsi="Trebuchet MS"/>
                <w:b/>
                <w:kern w:val="0"/>
                <w:sz w:val="16"/>
                <w:szCs w:val="16"/>
                <w:lang w:val="en-US" w:bidi="he-IL"/>
              </w:rPr>
              <w:t xml:space="preserve">21-22</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Babilon</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32,38</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4</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Medo-Persia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32,39</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3,4,20</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left="-676"/>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Grecia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32,39</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6</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5-8,21</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3,4</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Roma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33,40</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7,23</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9</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Mesia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9:24,25</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11:22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1-5</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Europa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33,41</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24</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17:12,13</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Papa</w:t>
            </w:r>
            <w:r>
              <w:rPr>
                <w:rFonts w:ascii="Trebuchet MS" w:hAnsi="Trebuchet MS"/>
                <w:kern w:val="0"/>
                <w:sz w:val="16"/>
                <w:szCs w:val="16"/>
                <w:lang w:val="en-US" w:bidi="he-IL"/>
              </w:rPr>
              <w:t xml:space="preserv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8</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8:11-12; 8:23-26</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5,6</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17:5,17,18</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Uraciunea pustiirii</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8:11-12; 9:27</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11:31; 12:11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1260  ani de persecutie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21,25</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8:10</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11:33,35; 12:7,11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2:18</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8:12;</w:t>
            </w:r>
            <w:r>
              <w:rPr>
                <w:rFonts w:ascii="Trebuchet MS" w:hAnsi="Trebuchet MS"/>
                <w:kern w:val="0"/>
                <w:sz w:val="16"/>
                <w:szCs w:val="16"/>
                <w:lang w:val="en-US" w:bidi="he-IL"/>
              </w:rPr>
              <w:br/>
              <w:t xml:space="preserve">11:3</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6,14</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5,7</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 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Ranire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11:45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3,10</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17:16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Judecata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34,44</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13,14 9,22</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12:1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4,5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11:1-2,</w:t>
            </w:r>
            <w:r>
              <w:rPr>
                <w:rFonts w:ascii="Trebuchet MS" w:hAnsi="Trebuchet MS"/>
                <w:kern w:val="0"/>
                <w:sz w:val="16"/>
                <w:szCs w:val="16"/>
                <w:lang w:val="en-US" w:bidi="he-IL"/>
              </w:rPr>
              <w:br/>
              <w:t xml:space="preserve">18-19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19:9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Sfarsitul veacului</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6:12-17</w:t>
            </w:r>
            <w:r>
              <w:rPr>
                <w:rFonts w:ascii="Trebuchet MS" w:hAnsi="Trebuchet MS"/>
                <w:kern w:val="0"/>
                <w:sz w:val="16"/>
                <w:szCs w:val="16"/>
                <w:lang w:val="en-US" w:bidi="he-IL"/>
              </w:rPr>
              <w:br/>
              <w:t xml:space="preserve">11:15-19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14:14-20</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19:11-21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11-15</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Cutremur </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6:12-14</w:t>
            </w:r>
            <w:r>
              <w:rPr>
                <w:rFonts w:ascii="Trebuchet MS" w:hAnsi="Trebuchet MS"/>
                <w:kern w:val="0"/>
                <w:sz w:val="16"/>
                <w:szCs w:val="16"/>
                <w:lang w:val="en-US" w:bidi="he-IL"/>
              </w:rPr>
              <w:br/>
              <w:t xml:space="preserve">8:5;</w:t>
            </w:r>
            <w:r>
              <w:rPr>
                <w:rFonts w:ascii="Trebuchet MS" w:hAnsi="Trebuchet MS"/>
                <w:kern w:val="0"/>
                <w:sz w:val="16"/>
                <w:lang w:val="en-US" w:bidi="he-IL"/>
              </w:rPr>
              <w:t xml:space="preserve"> </w:t>
            </w:r>
            <w:r>
              <w:rPr>
                <w:rFonts w:ascii="Trebuchet MS" w:hAnsi="Trebuchet MS"/>
                <w:kern w:val="0"/>
                <w:sz w:val="16"/>
                <w:szCs w:val="16"/>
                <w:lang w:val="en-US" w:bidi="he-IL"/>
              </w:rPr>
              <w:br/>
              <w:t xml:space="preserve">11:19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16:18, 20-21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Ramasita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3:7</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10:2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Rana vindecata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3,12</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17:8,11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O putere mondiala...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11:34</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11,14</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16:13; 17:10</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19:20</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Babilonul </w:t>
            </w:r>
          </w:p>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cel mare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15:1;16; 17:12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18-19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4</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Caderea Babilonului </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 41-43</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14: 8</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18: 2, 10; 17:16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Economie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 41-43</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16-18</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18: 3</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A sasea plaga</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 45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16:12;17:16-17</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Persecutie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 44; 12: 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17:14</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Pecetea fiarei</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13:16; 14:9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16-18</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9-12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Pecetea lui Dumnezeu</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7;</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fr-FR" w:bidi="he-IL"/>
              </w:rPr>
            </w:pPr>
            <w:r>
              <w:rPr>
                <w:rFonts w:ascii="Trebuchet MS" w:hAnsi="Trebuchet MS"/>
                <w:kern w:val="0"/>
                <w:sz w:val="16"/>
                <w:szCs w:val="16"/>
                <w:lang w:val="fr-FR" w:bidi="he-IL"/>
              </w:rPr>
              <w:t xml:space="preserve">A doua venire </w:t>
            </w:r>
            <w:r>
              <w:rPr>
                <w:rFonts w:ascii="Trebuchet MS" w:hAnsi="Trebuchet MS"/>
                <w:kern w:val="0"/>
                <w:sz w:val="16"/>
                <w:lang w:val="fr-FR" w:bidi="he-IL"/>
              </w:rPr>
              <w:t xml:space="preserve"> </w:t>
            </w:r>
            <w:r>
              <w:rPr>
                <w:rFonts w:ascii="Trebuchet MS" w:hAnsi="Trebuchet MS"/>
                <w:kern w:val="0"/>
                <w:sz w:val="16"/>
                <w:szCs w:val="16"/>
                <w:lang w:val="fr-FR" w:bidi="he-IL"/>
              </w:rPr>
              <w:br/>
              <w:t xml:space="preserve">Prima inviere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35,45</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13</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12:1,2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6:14; 8:1; 11:15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14-16</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15:2; 16: 17</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19:7,15</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Mileniul</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19:17-21</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1-4</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Judecata sfintilor</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4-5</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A doua inviere</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12:1,2</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20,17-20</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12-15</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Judecata celor nelegiuiti</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11</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17-20</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4-5</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Armagedon</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17-19</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5,12</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r>
      <w:tr>
        <w:trPr>
          <w:tblCellSpacing w:w="0" w:type="dxa"/>
        </w:trPr>
        <w:tc>
          <w:tcPr>
            <w:tcW w:w="93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Ceruri si pamant noi</w:t>
            </w:r>
          </w:p>
        </w:tc>
        <w:tc>
          <w:tcPr>
            <w:tcW w:w="45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63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fffff0"/>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54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36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50"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 </w:t>
            </w:r>
          </w:p>
        </w:tc>
        <w:tc>
          <w:tcPr>
            <w:tcW w:w="487" w:type="dxa"/>
            <w:tcBorders>
              <w:top w:val="outset" w:color="auto" w:sz="6" w:space="0"/>
              <w:left w:val="outset" w:color="auto" w:sz="6" w:space="0"/>
              <w:bottom w:val="outset" w:color="auto" w:sz="6" w:space="0"/>
              <w:right w:val="outset" w:color="auto" w:sz="6" w:space="0"/>
            </w:tcBorders>
            <w:shd w:val="clear" w:color="auto" w:fill="ceeeee"/>
            <w:vAlign w:val="center"/>
            <w:hideMark/>
          </w:tcPr>
          <w:p>
            <w:pPr>
              <w:spacing w:line="240" w:lineRule="auto"/>
              <w:ind w:firstLine="0"/>
              <w:jc w:val="left"/>
              <w:rPr>
                <w:rFonts w:ascii="Trebuchet MS" w:hAnsi="Trebuchet MS"/>
                <w:kern w:val="0"/>
                <w:sz w:val="16"/>
                <w:szCs w:val="16"/>
                <w:lang w:val="en-US" w:bidi="he-IL"/>
              </w:rPr>
            </w:pPr>
            <w:r>
              <w:rPr>
                <w:rFonts w:ascii="Trebuchet MS" w:hAnsi="Trebuchet MS"/>
                <w:kern w:val="0"/>
                <w:sz w:val="16"/>
                <w:szCs w:val="16"/>
                <w:lang w:val="en-US" w:bidi="he-IL"/>
              </w:rPr>
              <w:t xml:space="preserve">21-22</w:t>
            </w:r>
          </w:p>
        </w:tc>
      </w:tr>
    </w:tbl>
    <w:p>
      <w:pPr>
        <w:spacing w:after="100" w:afterAutospacing="1" w:before="100" w:beforeAutospacing="1" w:line="240" w:lineRule="auto"/>
        <w:ind w:firstLine="0"/>
        <w:jc w:val="left"/>
        <w:rPr>
          <w:rFonts w:ascii="Trebuchet MS" w:hAnsi="Trebuchet MS"/>
          <w:kern w:val="0"/>
          <w:szCs w:val="22"/>
          <w:lang w:val="en-US" w:bidi="he-IL"/>
        </w:rPr>
      </w:pPr>
      <w:bookmarkStart w:id="18" w:name="otnations"/>
      <w:bookmarkEnd w:id="18"/>
      <w:r>
        <w:rPr>
          <w:rFonts w:ascii="Trebuchet MS" w:hAnsi="Trebuchet MS"/>
          <w:kern w:val="0"/>
          <w:szCs w:val="22"/>
          <w:lang w:val="en-US" w:bidi="he-IL"/>
        </w:rPr>
        <w:t xml:space="preserve"> </w:t>
      </w:r>
    </w:p>
    <w:p>
      <w:pPr>
        <w:spacing w:after="100" w:afterAutospacing="1" w:before="100" w:beforeAutospacing="1" w:line="240" w:lineRule="auto"/>
        <w:ind w:firstLine="0"/>
        <w:jc w:val="left"/>
        <w:rPr>
          <w:rFonts w:ascii="Trebuchet MS" w:hAnsi="Trebuchet MS"/>
          <w:kern w:val="0"/>
          <w:szCs w:val="22"/>
          <w:lang w:val="en-US" w:bidi="he-IL"/>
        </w:rPr>
      </w:pPr>
      <w:r>
        <w:rPr>
          <w:rFonts w:ascii="Trebuchet MS" w:hAnsi="Trebuchet MS"/>
          <w:kern w:val="0"/>
          <w:sz w:val="28"/>
          <w:lang w:val="en-US" w:bidi="he-IL"/>
        </w:rPr>
        <w:t xml:space="preserve">  </w:t>
      </w:r>
      <w:r>
        <w:rPr>
          <w:rFonts w:ascii="Trebuchet MS" w:hAnsi="Trebuchet MS"/>
          <w:kern w:val="0"/>
          <w:sz w:val="28"/>
          <w:lang w:val="en-US" w:bidi="he-IL"/>
        </w:rPr>
        <w:t xml:space="preserve">Doua Babilonuri (antic </w:t>
      </w:r>
      <w:r>
        <w:rPr>
          <w:rFonts w:ascii="Trebuchet MS" w:hAnsi="Trebuchet MS"/>
          <w:kern w:val="0"/>
          <w:sz w:val="28"/>
          <w:lang w:val="en-US" w:bidi="he-IL"/>
        </w:rPr>
        <w:t xml:space="preserve">și</w:t>
      </w:r>
      <w:r>
        <w:rPr>
          <w:rFonts w:ascii="Trebuchet MS" w:hAnsi="Trebuchet MS"/>
          <w:kern w:val="0"/>
          <w:sz w:val="28"/>
          <w:lang w:val="en-US" w:bidi="he-IL"/>
        </w:rPr>
        <w:t xml:space="preserve"> viitor</w:t>
      </w:r>
      <w:r>
        <w:rPr>
          <w:rFonts w:ascii="Trebuchet MS" w:hAnsi="Trebuchet MS"/>
          <w:kern w:val="0"/>
          <w:sz w:val="28"/>
          <w:lang w:val="en-US" w:bidi="he-IL"/>
        </w:rPr>
        <w:t xml:space="preserve"> - simbolic</w:t>
      </w:r>
      <w:r>
        <w:rPr>
          <w:rFonts w:ascii="Trebuchet MS" w:hAnsi="Trebuchet MS"/>
          <w:kern w:val="0"/>
          <w:sz w:val="28"/>
          <w:lang w:val="en-US" w:bidi="he-IL"/>
        </w:rPr>
        <w:t xml:space="preserve">)</w:t>
      </w:r>
    </w:p>
    <w:tbl>
      <w:tblPr>
        <w:tblInd w:w="-46" w:type="dxa"/>
        <w:tblW w:w="6750" w:type="dxa"/>
        <w:tblCellMar>
          <w:left w:w="15" w:type="dxa"/>
          <w:top w:w="15" w:type="dxa"/>
          <w:right w:w="15" w:type="dxa"/>
          <w:bottom w:w="15" w:type="dxa"/>
        </w:tblCellMar>
        <w:tblBorders>
          <w:top w:val="outset" w:color="auto" w:sz="6" w:space="0"/>
          <w:left w:val="outset" w:color="auto" w:sz="6" w:space="0"/>
          <w:bottom w:val="outset" w:color="auto" w:sz="6" w:space="0"/>
          <w:right w:val="outset" w:color="auto" w:sz="6" w:space="0"/>
        </w:tblBorders>
        <w:shd w:val="clear" w:color="auto" w:fill="ceefbd"/>
        <w:tblLook w:val="04A0" w:firstRow="1" w:lastRow="0" w:firstColumn="1" w:lastColumn="0" w:noHBand="0" w:noVBand="1"/>
        <w:tblCellSpacing w:w="7" w:type="dxa"/>
      </w:tblPr>
      <w:tblGrid>
        <w:gridCol w:w="1800"/>
        <w:gridCol w:w="1800"/>
        <w:gridCol w:w="1800"/>
        <w:gridCol w:w="1350"/>
      </w:tblGrid>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fffbbb"/>
            <w:vAlign w:val="center"/>
            <w:hideMark/>
          </w:tcPr>
          <w:p>
            <w:pPr>
              <w:spacing w:line="240" w:lineRule="auto"/>
              <w:ind w:firstLine="0"/>
              <w:jc w:val="center"/>
              <w:rPr>
                <w:rFonts w:ascii="Trebuchet MS" w:hAnsi="Trebuchet MS"/>
                <w:b/>
                <w:bCs w:val="0"/>
                <w:kern w:val="0"/>
                <w:sz w:val="18"/>
                <w:szCs w:val="18"/>
                <w:lang w:val="en-US" w:bidi="he-IL"/>
              </w:rPr>
            </w:pPr>
            <w:r>
              <w:rPr>
                <w:rFonts w:ascii="Trebuchet MS" w:hAnsi="Trebuchet MS"/>
                <w:b/>
                <w:kern w:val="0"/>
                <w:sz w:val="18"/>
                <w:szCs w:val="18"/>
                <w:lang w:val="en-US" w:bidi="he-IL"/>
              </w:rPr>
              <w:t xml:space="preserve">A</w:t>
            </w:r>
            <w:r>
              <w:rPr>
                <w:rFonts w:ascii="Trebuchet MS" w:hAnsi="Trebuchet MS"/>
                <w:b/>
                <w:kern w:val="0"/>
                <w:sz w:val="18"/>
                <w:szCs w:val="18"/>
                <w:lang w:val="en-US" w:bidi="he-IL"/>
              </w:rPr>
              <w:t xml:space="preserve">semănări</w:t>
            </w:r>
          </w:p>
        </w:tc>
        <w:tc>
          <w:tcPr>
            <w:tcW w:w="1786" w:type="dxa"/>
            <w:tcBorders>
              <w:top w:val="outset" w:color="auto" w:sz="6" w:space="0"/>
              <w:left w:val="outset" w:color="auto" w:sz="6" w:space="0"/>
              <w:bottom w:val="outset" w:color="auto" w:sz="6" w:space="0"/>
              <w:right w:val="outset" w:color="auto" w:sz="6" w:space="0"/>
            </w:tcBorders>
            <w:shd w:val="clear" w:color="auto" w:fill="fffbbb"/>
            <w:vAlign w:val="center"/>
            <w:hideMark/>
          </w:tcPr>
          <w:p>
            <w:pPr>
              <w:spacing w:line="240" w:lineRule="auto"/>
              <w:ind w:firstLine="0"/>
              <w:jc w:val="center"/>
              <w:rPr>
                <w:rFonts w:ascii="Trebuchet MS" w:hAnsi="Trebuchet MS"/>
                <w:b/>
                <w:bCs w:val="0"/>
                <w:kern w:val="0"/>
                <w:sz w:val="18"/>
                <w:szCs w:val="18"/>
                <w:lang w:val="en-US" w:bidi="he-IL"/>
              </w:rPr>
            </w:pPr>
            <w:r>
              <w:rPr>
                <w:rFonts w:ascii="Trebuchet MS" w:hAnsi="Trebuchet MS"/>
                <w:b/>
                <w:kern w:val="0"/>
                <w:sz w:val="18"/>
                <w:szCs w:val="18"/>
                <w:lang w:val="en-US" w:bidi="he-IL"/>
              </w:rPr>
              <w:t xml:space="preserve">Babilonul antic</w:t>
            </w:r>
          </w:p>
        </w:tc>
        <w:tc>
          <w:tcPr>
            <w:tcW w:w="1786" w:type="dxa"/>
            <w:tcBorders>
              <w:top w:val="outset" w:color="auto" w:sz="6" w:space="0"/>
              <w:left w:val="outset" w:color="auto" w:sz="6" w:space="0"/>
              <w:bottom w:val="outset" w:color="auto" w:sz="6" w:space="0"/>
              <w:right w:val="outset" w:color="auto" w:sz="6" w:space="0"/>
            </w:tcBorders>
            <w:shd w:val="clear" w:color="auto" w:fill="fffbbb"/>
            <w:vAlign w:val="center"/>
            <w:hideMark/>
          </w:tcPr>
          <w:p>
            <w:pPr>
              <w:spacing w:line="240" w:lineRule="auto"/>
              <w:ind w:firstLine="0"/>
              <w:jc w:val="center"/>
              <w:rPr>
                <w:rFonts w:ascii="Trebuchet MS" w:hAnsi="Trebuchet MS"/>
                <w:b/>
                <w:bCs w:val="0"/>
                <w:kern w:val="0"/>
                <w:sz w:val="18"/>
                <w:szCs w:val="18"/>
                <w:lang w:val="en-US" w:bidi="he-IL"/>
              </w:rPr>
            </w:pPr>
            <w:r>
              <w:rPr>
                <w:rFonts w:ascii="Trebuchet MS" w:hAnsi="Trebuchet MS"/>
                <w:b/>
                <w:kern w:val="0"/>
                <w:sz w:val="18"/>
                <w:szCs w:val="18"/>
                <w:lang w:val="en-US" w:bidi="he-IL"/>
              </w:rPr>
              <w:t xml:space="preserve">Babilonul </w:t>
            </w:r>
            <w:r>
              <w:rPr>
                <w:rFonts w:ascii="Trebuchet MS" w:hAnsi="Trebuchet MS"/>
                <w:b/>
                <w:kern w:val="0"/>
                <w:sz w:val="18"/>
                <w:szCs w:val="18"/>
                <w:lang w:val="en-US" w:bidi="he-IL"/>
              </w:rPr>
              <w:t xml:space="preserve">viitor</w:t>
            </w:r>
          </w:p>
        </w:tc>
        <w:tc>
          <w:tcPr>
            <w:tcW w:w="1329" w:type="dxa"/>
            <w:tcBorders>
              <w:top w:val="outset" w:color="auto" w:sz="6" w:space="0"/>
              <w:left w:val="outset" w:color="auto" w:sz="6" w:space="0"/>
              <w:bottom w:val="outset" w:color="auto" w:sz="6" w:space="0"/>
              <w:right w:val="outset" w:color="auto" w:sz="6" w:space="0"/>
            </w:tcBorders>
            <w:shd w:val="clear" w:color="auto" w:fill="fffbbb"/>
            <w:vAlign w:val="center"/>
            <w:hideMark/>
          </w:tcPr>
          <w:p>
            <w:pPr>
              <w:spacing w:line="240" w:lineRule="auto"/>
              <w:ind w:firstLine="0"/>
              <w:jc w:val="center"/>
              <w:rPr>
                <w:rFonts w:ascii="Trebuchet MS" w:hAnsi="Trebuchet MS"/>
                <w:b/>
                <w:bCs w:val="0"/>
                <w:kern w:val="0"/>
                <w:sz w:val="18"/>
                <w:szCs w:val="18"/>
                <w:lang w:val="en-US" w:bidi="he-IL"/>
              </w:rPr>
            </w:pPr>
            <w:r>
              <w:rPr>
                <w:rFonts w:ascii="Trebuchet MS" w:hAnsi="Trebuchet MS"/>
                <w:b/>
                <w:kern w:val="0"/>
                <w:sz w:val="18"/>
                <w:szCs w:val="18"/>
                <w:lang w:val="en-US" w:bidi="he-IL"/>
              </w:rPr>
              <w:t xml:space="preserve">Caderea Babilonului</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Puteri mondiale</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Daniel </w:t>
            </w:r>
            <w:r>
              <w:rPr>
                <w:rFonts w:ascii="Trebuchet MS" w:hAnsi="Trebuchet MS"/>
                <w:kern w:val="0"/>
                <w:sz w:val="18"/>
                <w:szCs w:val="18"/>
                <w:lang w:val="en-US" w:bidi="he-IL"/>
              </w:rPr>
              <w:t xml:space="preserve">2: 37, 38</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7, 12</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21</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Bogatie</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 2: 37, 38</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3</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17</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Un chip / o icoana...</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 3: 1</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14</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3</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Inchinare fortata</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 </w:t>
            </w:r>
            <w:r>
              <w:rPr>
                <w:rFonts w:ascii="Trebuchet MS" w:hAnsi="Trebuchet MS"/>
                <w:kern w:val="0"/>
                <w:sz w:val="18"/>
                <w:szCs w:val="18"/>
                <w:lang w:val="en-US" w:bidi="he-IL"/>
              </w:rPr>
              <w:t xml:space="preserve">3: 4, 5, 6, 14, 15</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15</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24 ?</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Inchinare cu muzica</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 3: 5</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22</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Numarul 6</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Statuia de</w:t>
            </w:r>
            <w:r>
              <w:rPr>
                <w:rFonts w:ascii="Trebuchet MS" w:hAnsi="Trebuchet MS"/>
                <w:kern w:val="0"/>
                <w:sz w:val="18"/>
                <w:szCs w:val="18"/>
                <w:lang w:val="en-US" w:bidi="he-IL"/>
              </w:rPr>
              <w:t xml:space="preserve"> 66 de coti</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Numarul fiarei este 666</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Babilon</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after="100" w:afterAutospacing="1" w:before="100" w:beforeAutospacing="1"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O zi consacrata inchinarii</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 3: 5, 7</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16, 17</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Zi pentru pedeapsa</w:t>
            </w:r>
            <w:r>
              <w:rPr>
                <w:rFonts w:ascii="Trebuchet MS" w:hAnsi="Trebuchet MS"/>
                <w:kern w:val="0"/>
                <w:sz w:val="18"/>
                <w:szCs w:val="18"/>
                <w:lang w:val="en-US" w:bidi="he-IL"/>
              </w:rPr>
              <w:t xml:space="preserve">.</w:t>
            </w:r>
            <w:r>
              <w:rPr>
                <w:rFonts w:ascii="Trebuchet MS" w:hAnsi="Trebuchet MS"/>
                <w:kern w:val="0"/>
                <w:sz w:val="18"/>
                <w:lang w:val="en-US" w:bidi="he-IL"/>
              </w:rPr>
              <w:t xml:space="preserve"> </w:t>
            </w:r>
            <w:r>
              <w:rPr>
                <w:rFonts w:ascii="Trebuchet MS" w:hAnsi="Trebuchet MS"/>
                <w:kern w:val="0"/>
                <w:sz w:val="18"/>
                <w:szCs w:val="18"/>
                <w:lang w:val="en-US" w:bidi="he-IL"/>
              </w:rPr>
              <w:br/>
              <w:t xml:space="preserve">Apoc. 18: 8</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Pedepsirea economiei...</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16, 17</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Sărăcie</w:t>
            </w:r>
          </w:p>
        </w:tc>
      </w:tr>
      <w:tr>
        <w:trPr>
          <w:tblCellSpacing w:w="7" w:type="dxa"/>
        </w:trPr>
        <w:tc>
          <w:tcPr>
            <w:tcW w:w="177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Condamnare</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3: 6, 19, 20</w:t>
            </w:r>
          </w:p>
        </w:tc>
        <w:tc>
          <w:tcPr>
            <w:tcW w:w="1786"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13: 15</w:t>
            </w:r>
          </w:p>
        </w:tc>
        <w:tc>
          <w:tcPr>
            <w:tcW w:w="1329" w:type="dxa"/>
            <w:tcBorders>
              <w:top w:val="outset" w:color="auto" w:sz="6" w:space="0"/>
              <w:left w:val="outset" w:color="auto" w:sz="6" w:space="0"/>
              <w:bottom w:val="outset" w:color="auto" w:sz="6" w:space="0"/>
              <w:right w:val="outset" w:color="auto" w:sz="6" w:space="0"/>
            </w:tcBorders>
            <w:shd w:val="clear" w:color="auto" w:fill="ceefbd"/>
            <w:vAlign w:val="center"/>
            <w:hideMark/>
          </w:tcPr>
          <w:p>
            <w:pPr>
              <w:spacing w:line="240" w:lineRule="auto"/>
              <w:ind w:firstLine="0"/>
              <w:jc w:val="left"/>
              <w:rPr>
                <w:rFonts w:ascii="Trebuchet MS" w:hAnsi="Trebuchet MS"/>
                <w:kern w:val="0"/>
                <w:sz w:val="18"/>
                <w:szCs w:val="18"/>
                <w:lang w:val="en-US" w:bidi="he-IL"/>
              </w:rPr>
            </w:pPr>
            <w:r>
              <w:rPr>
                <w:rFonts w:ascii="Trebuchet MS" w:hAnsi="Trebuchet MS"/>
                <w:kern w:val="0"/>
                <w:sz w:val="18"/>
                <w:szCs w:val="18"/>
                <w:lang w:val="en-US" w:bidi="he-IL"/>
              </w:rPr>
              <w:t xml:space="preserve">Apoc. 18: 4</w:t>
            </w:r>
          </w:p>
        </w:tc>
      </w:tr>
    </w:tbl>
    <w:p>
      <w:pPr>
        <w:spacing w:after="100" w:afterAutospacing="1" w:before="100" w:beforeAutospacing="1" w:line="240" w:lineRule="auto"/>
        <w:ind w:firstLine="0"/>
        <w:jc w:val="left"/>
        <w:rPr>
          <w:rFonts w:ascii="Trebuchet MS" w:hAnsi="Trebuchet MS"/>
          <w:kern w:val="0"/>
          <w:szCs w:val="22"/>
          <w:lang w:val="en-US" w:bidi="he-IL"/>
        </w:rPr>
      </w:pPr>
      <w:bookmarkStart w:id="19" w:name="babylonantichrist"/>
      <w:bookmarkEnd w:id="19"/>
      <w:r>
        <w:rPr>
          <w:rFonts w:ascii="Trebuchet MS" w:hAnsi="Trebuchet MS"/>
          <w:kern w:val="0"/>
          <w:szCs w:val="22"/>
          <w:lang w:val="en-US" w:bidi="he-IL"/>
        </w:rPr>
        <w:t xml:space="preserve"> </w:t>
      </w:r>
    </w:p>
    <w:sectPr>
      <w:headerReference w:type="even" r:id="rId9"/>
      <w:headerReference w:type="default" r:id="rId10"/>
      <w:headerReference w:type="first" r:id="rId11"/>
      <w:pgSz w:h="11907" w:w="8392"/>
      <w:pgMar w:top="737" w:right="851" w:bottom="737" w:left="851" w:header="720" w:footer="720" w:gutter="230"/>
      <w:pgNumType w:start="5"/>
      <w:cols w:space="144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ntium">
    <w:panose1 w:val="02000503060000020004"/>
  </w:font>
  <w:font w:name="Cambria Math">
    <w:panose1 w:val="02040503050406030204"/>
  </w:font>
  <w:font w:name="Galatia SIL">
    <w:panose1 w:val="02000600020000020004"/>
  </w:font>
  <w:font w:name="Hebrew">
    <w:panose1 w:val="02020603050405020304"/>
  </w:font>
  <w:font w:name="EGreek">
    <w:panose1 w:val="00000500000000000000"/>
  </w:font>
  <w:font w:name="Cambria">
    <w:panose1 w:val="02040503050406030204"/>
  </w:font>
  <w:font w:name="Calibri">
    <w:panose1 w:val="020F0502020204030204"/>
  </w:font>
  <w:font w:name="Trebuchet MS">
    <w:panose1 w:val="020B0603020202020204"/>
  </w:font>
  <w:font w:name="Courier New">
    <w:panose1 w:val="02070309020205020404"/>
  </w:font>
  <w:font w:name="Arial Unicode MS">
    <w:panose1 w:val="020B0604020202020204"/>
  </w:font>
  <w:font w:name="Arial">
    <w:panose1 w:val="020B0604020202020204"/>
  </w:font>
  <w:font w:name="BibliaLS">
    <w:panose1 w:val="02000000000000000000"/>
  </w:font>
  <w:font w:name="Tahoma">
    <w:panose1 w:val="020B0604030504040204"/>
  </w:font>
  <w:font w:name="New Century Schoolbook">
    <w:panose1 w:val="02040603050705020304"/>
  </w:font>
  <w:font w:name="Times New Roman">
    <w:panose1 w:val="020206030504050203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p>
  </w:footnote>
  <w:footnote w:type="continuationSeparator" w:id="0">
    <w:p>
      <w:r>
        <w:continuationSeparator/>
      </w:r>
    </w:p>
  </w:footnote>
  <w:footnote w:id="1">
    <w:p>
      <w:pPr>
        <w:pStyle w:val="footnotes"/>
      </w:pPr>
      <w:r>
        <w:rPr>
          <w:rStyle w:val="FootnoteReference"/>
        </w:rPr>
        <w:footnoteRef/>
      </w:r>
      <w:r>
        <w:t xml:space="preserve"> Anumite puncte din desfăşurarea acţiunii sunt subliniate prin apariţii speciale şi mesaje explicative, multe venite din partea unor „alţi” îngeri, altele din partea altor fiinţe prezente la închinarea cerească (Ioan vorbeşte cu Dumnezeu, în 1:8, 21:5-8; cu Isus în 1:10, 1:18-3:22, 16:15, 22:7, 12-17; cu Duhul lui Dumnezeu, cf. cap. 2-3, 14:13, 22:7; cu un înger, în 4:1, 10:4-12, 11:1, 14:13, 17:1, 7-18, 19:9-10, 21:9, 22:9-11, cu unul din cei 24 de bătrâni: 5:5, 7:13-17; cu cele patru creaturi vii, cu chip fantastic: 6:3, 5, 7). În 7:2, apare un „alt” înger care interzice vătămarea pământului. În 8:13 un vultur anunţă că mai sunt 3 „vaiete”, suferinţe grele, care urmează să vină peste oameni: prima nenorocire e adusă de trâmbiţa 5 (9:12), a doua nenorocire este suma pedepselor aduse de cei doi martori, a treia nenorocire este dată de apariţia terorii fiarei şi de cele şapte urgii (11:14). În 10:1, 4, 8-10, un alt înger i se arată şi i se spune ce trebuie să facă pentru a putea profeţi mai departe (consumarea unei cărţi profetice) etc. Glasuri se aud din cer, din scaunul de domnie al lui Dumnezeu, din partea diverselor fiinţe aflate în cer, din partea unor mulţimi de oameni mântuiţi, cu origini diverse (toţi cei mântuiţi, 15:3-4, 19:6-7; toţi cei pedepsiţi, 6:16-17; martirii, 6:10 etc.). </w:t>
      </w:r>
    </w:p>
  </w:footnote>
  <w:footnote w:id="2">
    <w:p>
      <w:pPr>
        <w:pStyle w:val="footnotes"/>
      </w:pPr>
      <w:r>
        <w:rPr>
          <w:rStyle w:val="FootnoteReference"/>
        </w:rPr>
        <w:footnoteRef/>
      </w:r>
      <w:r>
        <w:t xml:space="preserve"> Ruperea peceţilor indică deschiderea judecăţii pământului, dar constituie şi un rezumat, o privire de ansamblu, asupra întregii judecăţi, de la precizarea începutului unei curse victorioase, până la înnoirea pământului şi a cerului. Astfel, pecetea a şasea reprezintă întunecarea soarelui şi a lunii, căderea stelelor şi modificarea dramatică a pământului (6:14, mutarea insulelor şi a munţilor), care sunt menţionate şi în finalul ultimei urgii (17:20-21), în judecata finală (20:11), şi în prezentarea înnoirii tuturor lucrurilor, în final (21:1, un cer nou şi un pământ nou). Similar, în cadrul peceţii a şasea avem o viziune a celor mântuiţi în ceruri (7:9-17), care este reluată apoi în cap. 21-22 (21:3-4, 22:1-3). De asemeni, în 7:1, în seria evenimentelor de după pecetea a şasea, Ioan vede patru îngeri care ţin cele patru vânturi ale distrugerii; ei sunt împiedicaţi să se dezlănţuie până nu sunt pecetluiţi cei credincioşi (144 000, din Israel) – imaginea este reluată şi explicată după trâmbiţa a şasea, în 9:1, când se subînţelege că cei patru îngeri sunt şi îngeri ai întunericului. Existenţa acestor anticipări ridică problema existenţei şi unor </w:t>
      </w:r>
      <w:r>
        <w:rPr>
          <w:b/>
        </w:rPr>
        <w:t xml:space="preserve">flash-back</w:t>
      </w:r>
      <w:r>
        <w:t xml:space="preserve">-uri, a unor pasaje retrospective (de exemplu, cap. 12, viziunea femeii în cer: într-o bună măsură ea recapitulează istoria omenirii sau o mare pare din ea; la fel, în seria celor şapte trâmbiţe şi şapte potire, sau în semnul legării diavolului şi a eliberării lui după „1000” de ani). Aceste observaţii ridică o problemă importantă: în ce măsură ordinea narativă a evenimentelor, a pasajelor (succesiunea narativă) implică o succesiune cronologică?</w:t>
      </w:r>
    </w:p>
  </w:footnote>
  <w:footnote w:id="3">
    <w:p>
      <w:pPr>
        <w:pStyle w:val="footnotes"/>
      </w:pPr>
      <w:r>
        <w:rPr>
          <w:vertAlign w:val="superscript"/>
        </w:rPr>
        <w:footnoteRef/>
      </w:r>
      <w:r>
        <w:t xml:space="preserve"> Cele două variante au o reprezentare aproape egală, </w:t>
      </w:r>
      <w:r>
        <w:rPr>
          <w:rFonts w:ascii="EGreek" w:hAnsi="EGreek"/>
        </w:rPr>
        <w:t xml:space="preserve">ejrcou</w:t>
      </w:r>
      <w:r>
        <w:rPr>
          <w:i/>
          <w:iCs/>
        </w:rPr>
        <w:t xml:space="preserve">, </w:t>
      </w:r>
      <w:r>
        <w:t xml:space="preserve">în manuscrisele A, C, P, 1006, 1611, 1841, 1854, 2053, 2351, în traducerile vg</w:t>
      </w:r>
      <w:r>
        <w:rPr>
          <w:vertAlign w:val="superscript"/>
        </w:rPr>
        <w:t xml:space="preserve">ww, st</w:t>
      </w:r>
      <w:r>
        <w:t xml:space="preserve">, cop </w:t>
      </w:r>
      <w:r>
        <w:rPr>
          <w:vertAlign w:val="superscript"/>
        </w:rPr>
        <w:t xml:space="preserve">sa, bo</w:t>
      </w:r>
      <w:r>
        <w:t xml:space="preserve">, arm, şi la Andrei din Cezareea (sec. 6-7) // şi, respectiv, </w:t>
      </w:r>
      <w:r>
        <w:rPr>
          <w:rFonts w:ascii="EGreek" w:hAnsi="EGreek"/>
        </w:rPr>
        <w:t xml:space="preserve">ejrcou kai ijde, </w:t>
      </w:r>
      <w:r>
        <w:t xml:space="preserve">în manuscrisele</w:t>
      </w:r>
      <w:r>
        <w:rPr>
          <w:rFonts w:ascii="Calibri" w:hAnsi="Calibri" w:cs="BibliaLS"/>
        </w:rPr>
        <w:t xml:space="preserve"> </w:t>
      </w:r>
      <w:r>
        <w:rPr>
          <w:rFonts w:ascii="Hebrew" w:hAnsi="Hebrew" w:cs="BibliaLS"/>
        </w:rPr>
        <w:t xml:space="preserve"></w:t>
      </w:r>
      <w:r>
        <w:rPr>
          <w:rFonts w:cs="BibliaLS"/>
        </w:rPr>
        <w:t xml:space="preserve">, 205, 209, 2329, 2344, în textul majoritar bizantin 046, în traducerile it </w:t>
      </w:r>
      <w:r>
        <w:rPr>
          <w:rFonts w:cs="BibliaLS"/>
          <w:vertAlign w:val="superscript"/>
        </w:rPr>
        <w:t xml:space="preserve">(ar), gig</w:t>
      </w:r>
      <w:r>
        <w:rPr>
          <w:rFonts w:cs="BibliaLS"/>
        </w:rPr>
        <w:t xml:space="preserve">, vg</w:t>
      </w:r>
      <w:r>
        <w:rPr>
          <w:rFonts w:cs="BibliaLS"/>
          <w:vertAlign w:val="superscript"/>
        </w:rPr>
        <w:t xml:space="preserve">cl</w:t>
      </w:r>
      <w:r>
        <w:rPr>
          <w:rFonts w:cs="BibliaLS"/>
        </w:rPr>
        <w:t xml:space="preserve">, syr</w:t>
      </w:r>
      <w:r>
        <w:rPr>
          <w:rFonts w:cs="BibliaLS"/>
          <w:vertAlign w:val="superscript"/>
        </w:rPr>
        <w:t xml:space="preserve">ph,h</w:t>
      </w:r>
      <w:r>
        <w:rPr>
          <w:rFonts w:cs="BibliaLS"/>
        </w:rPr>
        <w:t xml:space="preserve">, şi la părinţii</w:t>
      </w:r>
      <w:r>
        <w:t xml:space="preserve"> Victorinus-Pettau (sec. 3-4), Primasius (sec. 6), Beatus (sec. 8). Cf. K. Aland, M. Black, C.M Martini, B.M. Metzger, A. Wikgren, B., Aland, J. Karavidopoulos, </w:t>
      </w:r>
      <w:r>
        <w:rPr>
          <w:i/>
          <w:iCs/>
        </w:rPr>
        <w:t xml:space="preserve">The Greek New Testament, Fourth Revised Edition (with apparatus)</w:t>
      </w:r>
      <w:r>
        <w:t xml:space="preserve">. Deutsche Bibelgesellschaft, &amp; United Bible Societies (2000; 2006).</w:t>
      </w:r>
    </w:p>
  </w:footnote>
  <w:footnote w:id="4">
    <w:p>
      <w:pPr>
        <w:pStyle w:val="FootnoteText"/>
      </w:pPr>
      <w:r>
        <w:rPr>
          <w:rStyle w:val="FootnoteReference"/>
        </w:rPr>
        <w:footnoteRef/>
      </w:r>
      <w:r>
        <w:t xml:space="preserve"> Primul imperiu a fost, conform datelor istorice, imperiul akkadian-sumerian, cca 2250 îH, condus de Sargon cel mare, cu capitala în Akkad. Urmaşii săi direcţi sunt imperiul babilonian şi cel asirian.</w:t>
      </w:r>
    </w:p>
  </w:footnote>
  <w:footnote w:id="5">
    <w:p>
      <w:pPr>
        <w:pStyle w:val="footnotes"/>
      </w:pPr>
      <w:r>
        <w:rPr>
          <w:rStyle w:val="FootnoteReference"/>
        </w:rPr>
        <w:footnoteRef/>
      </w:r>
      <w:r>
        <w:t xml:space="preserve"> </w:t>
      </w:r>
      <w:r>
        <w:t xml:space="preserve">  </w:t>
      </w:r>
      <w:r>
        <w:t xml:space="preserve">Se poate observa o anumită progresie în gradul de distrugere a pământului, în cele trei serii a câte şapte etape: cei patru cai ai apocalipsei distrug o pătrime din pământ, primele patru trâmbiţe distrug câte o treime, iar seria de şapte potire pedepseşte pământul în întregime. Dozarea judecăţii înseamnă control asupra istoriei, dar şi har, răbdare, din partea lui Dumnezeu. Cu toate aceste unul din refrenele apocalipsei spune repetat că, fie în vreme de har, fie sub diferite pedepse „oamenii nu s-au pocăit” de faptele lor, de idolatria lor, de răutatea lor etc.</w:t>
      </w:r>
    </w:p>
  </w:footnote>
  <w:footnote w:id="6">
    <w:p>
      <w:pPr>
        <w:pStyle w:val="footnotes"/>
      </w:pPr>
      <w:r>
        <w:rPr>
          <w:rStyle w:val="FootnoteReference"/>
        </w:rPr>
        <w:footnoteRef/>
      </w:r>
      <w:r>
        <w:t xml:space="preserve"> </w:t>
      </w:r>
      <w:r>
        <w:t xml:space="preserve">  </w:t>
      </w:r>
      <w:r>
        <w:t xml:space="preserve">Lista atrage atenţia prin faptul că pomeneşte ca seminţii, doi fii ai lui Iacov care nu au primit, ca atare, moştenire în Canaan, anume Levi şi Iosif (este adevărat că Manase şi Efraim, fiii lui Iosif, au primit şi ei moştenire în Canaan şi erau consideraţi drept capi de seminţie). Din lista de 12 seminţii a Vechiului Testament lipsesc însă Dan şi Efraim. Să admitem că în loc de Efraim este numit Iosif, tatăl său. Rămâne de explicat, totuşi, lipsa lui Dan, care nu este menţionat deloc. Este posibil ca o astfel de listă să arate că Dumnezeu redefineşte, într-un anume fel, poporul lui Israel şi seminţiile (triburile) sale.</w:t>
      </w:r>
    </w:p>
  </w:footnote>
  <w:footnote w:id="7">
    <w:p>
      <w:pPr>
        <w:pStyle w:val="footnotes"/>
      </w:pPr>
      <w:r>
        <w:rPr>
          <w:rStyle w:val="FootnoteReference"/>
        </w:rPr>
        <w:footnoteRef/>
      </w:r>
      <w:r>
        <w:t xml:space="preserve"> I.H. Marshall, </w:t>
      </w:r>
      <w:r>
        <w:rPr>
          <w:i/>
        </w:rPr>
        <w:t xml:space="preserve">New Testament Theology. Many Witnesses, One Gospel</w:t>
      </w:r>
      <w:r>
        <w:t xml:space="preserve">, Downers Grove, IL: InterVarsity Press, 2004, 554. </w:t>
      </w:r>
    </w:p>
  </w:footnote>
  <w:footnote w:id="8">
    <w:p>
      <w:pPr>
        <w:pStyle w:val="footnotes"/>
      </w:pPr>
      <w:r>
        <w:rPr>
          <w:rStyle w:val="FootnoteReference"/>
        </w:rPr>
        <w:footnoteRef/>
      </w:r>
      <w:r>
        <w:t xml:space="preserve"> Apariţia acestui grup ridică unele întrebări suplimentare: pot să fie ei şi altă categorie, decât Biserica dintre Neamuri. Reprezintă ei toată Biserica, din toate timpurile? Reprezintă mai mult decât Biserica? Sunt cumva grupul de martiri care mai trebuia să vină în cer, pe lângă cei de sub altar, şi care acum au sosit şi ei în ceruri (cf. cap. 5)? Prezenţa lor la acest moment este o dovadă a răpirii Bisericii, înaintea necazului celui mare, sau scena este o viziune care anticipează sfârşitul istoriei, scenele finale? </w:t>
      </w:r>
    </w:p>
  </w:footnote>
  <w:footnote w:id="9">
    <w:p>
      <w:pPr>
        <w:pStyle w:val="footnotes"/>
      </w:pPr>
      <w:r>
        <w:rPr>
          <w:rStyle w:val="FootnoteReference"/>
        </w:rPr>
        <w:footnoteRef/>
      </w:r>
      <w:r>
        <w:t xml:space="preserve"> Anatomia internă a seriilor de şapte pare să respecte o structură de tipul 4 plus 3, o judecată globală plus o reafirmare a deciziilor divine.</w:t>
      </w:r>
    </w:p>
  </w:footnote>
  <w:footnote w:id="10">
    <w:p>
      <w:pPr>
        <w:pStyle w:val="footnotes"/>
      </w:pPr>
      <w:r>
        <w:rPr>
          <w:rStyle w:val="FootnoteReference"/>
        </w:rPr>
        <w:footnoteRef/>
      </w:r>
      <w:r>
        <w:t xml:space="preserve"> Această serie de şapte semne nu este semnalată în text ca atare. Semnele sunt amintite</w:t>
      </w:r>
      <w:r>
        <w:t xml:space="preserve">,</w:t>
      </w:r>
      <w:r>
        <w:t xml:space="preserve"> dar nu sunt prezentate ca o serie specifică de şapte. S-ar putea deci ca seriile de şapte care contează în judecata pământului să fie doar cele trei: şapte peceţi, şapte trâmbiţe, şapte potire.</w:t>
      </w:r>
    </w:p>
  </w:footnote>
  <w:footnote w:id="11">
    <w:p>
      <w:pPr>
        <w:pStyle w:val="footnotes"/>
      </w:pPr>
      <w:r>
        <w:rPr>
          <w:vertAlign w:val="superscript"/>
        </w:rPr>
        <w:footnoteRef/>
      </w:r>
      <w:r>
        <w:t xml:space="preserve"> Beale, </w:t>
      </w:r>
      <w:r>
        <w:rPr>
          <w:i/>
          <w:iCs/>
        </w:rPr>
        <w:t xml:space="preserve">Revelation</w:t>
      </w:r>
      <w:r>
        <w:t xml:space="preserve">, 969. </w:t>
      </w:r>
    </w:p>
  </w:footnote>
  <w:footnote w:id="12">
    <w:p>
      <w:pPr>
        <w:pStyle w:val="footnotes"/>
      </w:pPr>
      <w:r>
        <w:rPr>
          <w:vertAlign w:val="superscript"/>
        </w:rPr>
        <w:footnoteRef/>
      </w:r>
      <w:r>
        <w:t xml:space="preserve"> Beale, </w:t>
      </w:r>
      <w:r>
        <w:rPr>
          <w:i/>
          <w:iCs/>
        </w:rPr>
        <w:t xml:space="preserve">Revelation, </w:t>
      </w:r>
      <w:r>
        <w:t xml:space="preserve">970.</w:t>
      </w:r>
    </w:p>
  </w:footnote>
  <w:footnote w:id="13">
    <w:p>
      <w:pPr>
        <w:pStyle w:val="footnotes"/>
      </w:pPr>
      <w:r>
        <w:rPr>
          <w:vertAlign w:val="superscript"/>
        </w:rPr>
        <w:footnoteRef/>
      </w:r>
      <w:r>
        <w:t xml:space="preserve"> În greceşte cuvântul obişnuit pentru </w:t>
      </w:r>
      <w:r>
        <w:t xml:space="preserve">„</w:t>
      </w:r>
      <w:r>
        <w:t xml:space="preserve">o mie</w:t>
      </w:r>
      <w:r>
        <w:t xml:space="preserve">”</w:t>
      </w:r>
      <w:r>
        <w:t xml:space="preserve"> este </w:t>
      </w:r>
      <w:r>
        <w:rPr>
          <w:i/>
        </w:rPr>
        <w:t xml:space="preserve">chilios,</w:t>
      </w:r>
      <w:r>
        <w:t xml:space="preserve"> </w:t>
      </w:r>
      <w:r>
        <w:rPr>
          <w:i/>
          <w:iCs/>
        </w:rPr>
        <w:t xml:space="preserve">chilioi</w:t>
      </w:r>
      <w:r>
        <w:t xml:space="preserve">, un plural masculin.</w:t>
      </w:r>
      <w:r>
        <w:t xml:space="preserve"> Formula </w:t>
      </w:r>
      <w:r>
        <w:rPr>
          <w:i/>
        </w:rPr>
        <w:t xml:space="preserve">ta </w:t>
      </w:r>
      <w:r>
        <w:rPr>
          <w:i/>
        </w:rPr>
        <w:t xml:space="preserve">c</w:t>
      </w:r>
      <w:r>
        <w:rPr>
          <w:i/>
        </w:rPr>
        <w:t xml:space="preserve">hilia</w:t>
      </w:r>
      <w:r>
        <w:t xml:space="preserve">, mii sau o mie, este un plural neutru care poate avea valoare simbolică, aşa cum are cuvântul „veac, veacuri”  semnificaţia de o sută de ani sau de o perioadă mai lungă, nedeterminată, simbolică.</w:t>
      </w:r>
    </w:p>
  </w:footnote>
  <w:footnote w:id="14">
    <w:p>
      <w:pPr>
        <w:pStyle w:val="footnotes"/>
      </w:pPr>
      <w:r>
        <w:rPr>
          <w:vertAlign w:val="superscript"/>
        </w:rPr>
        <w:footnoteRef/>
      </w:r>
      <w:r>
        <w:t xml:space="preserve"> Beale, </w:t>
      </w:r>
      <w:r>
        <w:rPr>
          <w:i/>
          <w:iCs/>
        </w:rPr>
        <w:t xml:space="preserve">Revelation, </w:t>
      </w:r>
      <w:r>
        <w:t xml:space="preserve">972.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ind w:firstLine="0"/>
      <w:rPr>
        <w:sz w:val="20"/>
      </w:rPr>
    </w:pPr>
    <w:r>
      <w:rPr>
        <w:sz w:val="20"/>
      </w:rPr>
      <w:fldChar w:fldCharType="begin"/>
    </w:r>
    <w:r>
      <w:rPr>
        <w:sz w:val="20"/>
      </w:rPr>
      <w:instrText xml:space="preserve"> PAGE   \* MERGEFORMAT </w:instrText>
    </w:r>
    <w:r>
      <w:rPr>
        <w:sz w:val="20"/>
      </w:rPr>
      <w:fldChar w:fldCharType="separate"/>
    </w:r>
    <w:r>
      <w:rPr>
        <w:sz w:val="20"/>
      </w:rPr>
      <w:t xml:space="preserve">112</w:t>
    </w:r>
    <w:r>
      <w:rPr>
        <w:sz w:val="20"/>
      </w:rPr>
      <w:fldChar w:fldCharType="end"/>
    </w:r>
  </w:p>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framePr w:hAnchor="margin" w:vAnchor="text" w:wrap="around" w:xAlign="right" w:y="1"/>
      <w:rPr>
        <w:rStyle w:val="PageNumber"/>
        <w:sz w:val="18"/>
        <w:szCs w:val="18"/>
      </w:rPr>
    </w:pPr>
    <w:r>
      <w:rPr>
        <w:rStyle w:val="PageNumber"/>
        <w:sz w:val="18"/>
        <w:szCs w:val="18"/>
      </w:rPr>
      <w:fldChar w:fldCharType="begin"/>
    </w:r>
    <w:r>
      <w:rPr>
        <w:rStyle w:val="PageNumber"/>
        <w:sz w:val="18"/>
        <w:szCs w:val="18"/>
      </w:rPr>
      <w:instrText xml:space="preserve">PAGE  </w:instrText>
    </w:r>
    <w:r>
      <w:rPr>
        <w:rStyle w:val="PageNumber"/>
        <w:sz w:val="18"/>
        <w:szCs w:val="18"/>
      </w:rPr>
      <w:fldChar w:fldCharType="separate"/>
    </w:r>
    <w:r>
      <w:rPr>
        <w:rStyle w:val="PageNumber"/>
        <w:sz w:val="18"/>
        <w:szCs w:val="18"/>
      </w:rPr>
      <w:t xml:space="preserve">51</w:t>
    </w:r>
    <w:r>
      <w:rPr>
        <w:rStyle w:val="PageNumber"/>
        <w:sz w:val="18"/>
        <w:szCs w:val="18"/>
      </w:rPr>
      <w:fldChar w:fldCharType="end"/>
    </w:r>
  </w:p>
  <w:p>
    <w:pPr>
      <w:pStyle w:val="Header"/>
      <w:tabs>
        <w:tab w:val="clear" w:pos="4320"/>
        <w:tab w:val="center" w:pos="5400"/>
        <w:tab w:val="left" w:pos="5580"/>
      </w:tabs>
      <w:ind w:right="360"/>
    </w:pPr>
    <w:r>
      <w:rPr>
        <w:rStyle w:val="PageNumber"/>
      </w:rPr>
      <w:t xml:space="preserve">                                                                      </w:t>
    </w:r>
    <w:r>
      <w:rPr>
        <w:rStyle w:val="PageNumber"/>
      </w:rPr>
      <w:tab/>
    </w:r>
    <w:r>
      <w:rPr>
        <w:rStyle w:val="PageNumber"/>
      </w:rPr>
      <w:tab/>
      <w:t xml:space="preserve">            </w:t>
    </w:r>
  </w:p>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right"/>
      <w:rPr>
        <w:sz w:val="20"/>
      </w:rPr>
    </w:pPr>
    <w:r>
      <w:rPr>
        <w:sz w:val="20"/>
      </w:rPr>
      <w:fldChar w:fldCharType="begin"/>
    </w:r>
    <w:r>
      <w:rPr>
        <w:sz w:val="20"/>
      </w:rPr>
      <w:instrText xml:space="preserve"> PAGE   \* MERGEFORMAT </w:instrText>
    </w:r>
    <w:r>
      <w:rPr>
        <w:sz w:val="20"/>
      </w:rPr>
      <w:fldChar w:fldCharType="separate"/>
    </w:r>
    <w:r>
      <w:rPr>
        <w:sz w:val="20"/>
      </w:rPr>
      <w:t xml:space="preserve">5</w:t>
    </w:r>
    <w:r>
      <w:rPr>
        <w:sz w:val="20"/>
      </w:rPr>
      <w:fldChar w:fldCharType="end"/>
    </w:r>
  </w:p>
  <w:p>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nsid w:val="013B6CEF"/>
    <w:lvl w:ilvl="0" w:tplc="75966AF0">
      <w:lvlJc w:val="left"/>
      <w:lvlText w:val="%1."/>
      <w:numFmt w:val="decimal"/>
      <w:pPr>
        <w:ind w:hanging="360" w:left="1080"/>
      </w:pPr>
      <w:rPr>
        <w:rFonts w:hint="default"/>
      </w:rPr>
      <w:start w:val="1"/>
    </w:lvl>
    <w:lvl w:ilvl="1" w:tentative="true" w:tplc="08090019">
      <w:lvlJc w:val="left"/>
      <w:lvlText w:val="%2."/>
      <w:numFmt w:val="lowerLetter"/>
      <w:pPr>
        <w:ind w:hanging="360" w:left="1800"/>
      </w:pPr>
      <w:start w:val="1"/>
    </w:lvl>
    <w:lvl w:ilvl="2" w:tentative="true" w:tplc="0809001B">
      <w:lvlJc w:val="right"/>
      <w:lvlText w:val="%3."/>
      <w:numFmt w:val="lowerRoman"/>
      <w:pPr>
        <w:ind w:hanging="180" w:left="2520"/>
      </w:pPr>
      <w:start w:val="1"/>
    </w:lvl>
    <w:lvl w:ilvl="3" w:tentative="true" w:tplc="0809000F">
      <w:lvlJc w:val="left"/>
      <w:lvlText w:val="%4."/>
      <w:numFmt w:val="decimal"/>
      <w:pPr>
        <w:ind w:hanging="360" w:left="3240"/>
      </w:pPr>
      <w:start w:val="1"/>
    </w:lvl>
    <w:lvl w:ilvl="4" w:tentative="true" w:tplc="08090019">
      <w:lvlJc w:val="left"/>
      <w:lvlText w:val="%5."/>
      <w:numFmt w:val="lowerLetter"/>
      <w:pPr>
        <w:ind w:hanging="360" w:left="3960"/>
      </w:pPr>
      <w:start w:val="1"/>
    </w:lvl>
    <w:lvl w:ilvl="5" w:tentative="true" w:tplc="0809001B">
      <w:lvlJc w:val="right"/>
      <w:lvlText w:val="%6."/>
      <w:numFmt w:val="lowerRoman"/>
      <w:pPr>
        <w:ind w:hanging="180" w:left="4680"/>
      </w:pPr>
      <w:start w:val="1"/>
    </w:lvl>
    <w:lvl w:ilvl="6" w:tentative="true" w:tplc="0809000F">
      <w:lvlJc w:val="left"/>
      <w:lvlText w:val="%7."/>
      <w:numFmt w:val="decimal"/>
      <w:pPr>
        <w:ind w:hanging="360" w:left="5400"/>
      </w:pPr>
      <w:start w:val="1"/>
    </w:lvl>
    <w:lvl w:ilvl="7" w:tentative="true" w:tplc="08090019">
      <w:lvlJc w:val="left"/>
      <w:lvlText w:val="%8."/>
      <w:numFmt w:val="lowerLetter"/>
      <w:pPr>
        <w:ind w:hanging="360" w:left="6120"/>
      </w:pPr>
      <w:start w:val="1"/>
    </w:lvl>
    <w:lvl w:ilvl="8" w:tentative="true" w:tplc="0809001B">
      <w:lvlJc w:val="right"/>
      <w:lvlText w:val="%9."/>
      <w:numFmt w:val="lowerRoman"/>
      <w:pPr>
        <w:ind w:hanging="180" w:left="6840"/>
      </w:pPr>
      <w:start w:val="1"/>
    </w:lvl>
  </w:abstractNum>
  <w:abstractNum w:abstractNumId="1">
    <w:multiLevelType w:val="hybridMultilevel"/>
    <w:nsid w:val="071A2DA7"/>
    <w:lvl w:ilvl="0" w:tplc="D59ECA14">
      <w:lvlJc w:val="left"/>
      <w:lvlText w:val="%1."/>
      <w:numFmt w:val="decimal"/>
      <w:pPr>
        <w:ind w:hanging="564" w:left="852"/>
      </w:pPr>
      <w:rPr>
        <w:rFonts w:hint="default"/>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2">
    <w:multiLevelType w:val="multilevel"/>
    <w:nsid w:val="075BCD15"/>
    <w:lvl w:ilvl="0">
      <w:lvlJc w:val="left"/>
      <w:lvlText w:val="%1"/>
      <w:numFmt w:val="decimal"/>
      <w:start w:val="1"/>
      <w:suff w:val="nothing"/>
    </w:lvl>
    <w:lvl w:ilvl="1">
      <w:lvlJc w:val="left"/>
      <w:lvlText w:val="%2"/>
      <w:numFmt w:val="decimal"/>
      <w:start w:val="1"/>
      <w:suff w:val="nothing"/>
    </w:lvl>
    <w:lvl w:ilvl="2">
      <w:lvlJc w:val="left"/>
      <w:lvlText w:val="%2.%3"/>
      <w:numFmt w:val="upperLetter"/>
      <w:start w:val="1"/>
      <w:suff w:val="nothing"/>
    </w:lvl>
    <w:lvl w:ilvl="3">
      <w:lvlJc w:val="left"/>
      <w:lvlText w:val="%2.%3.((%4))"/>
      <w:numFmt w:val="lowerRoman"/>
      <w:start w:val="1"/>
      <w:suff w:val="nothing"/>
    </w:lvl>
    <w:lvl w:ilvl="4">
      <w:lvlJc w:val="left"/>
      <w:lvlText w:val="%2.%3.((%4)).(%5)"/>
      <w:numFmt w:val="lowerRoman"/>
      <w:start w:val="1"/>
      <w:suff w:val="nothing"/>
    </w:lvl>
    <w:lvl w:ilvl="5">
      <w:lvlJc w:val="left"/>
      <w:lvlText w:val="%6"/>
      <w:numFmt w:val="decimal"/>
      <w:start w:val="1"/>
      <w:suff w:val="nothing"/>
    </w:lvl>
    <w:lvl w:ilvl="6">
      <w:lvlJc w:val="left"/>
      <w:lvlText w:val="%7"/>
      <w:numFmt w:val="decimal"/>
      <w:start w:val="1"/>
      <w:suff w:val="nothing"/>
    </w:lvl>
    <w:lvl w:ilvl="7">
      <w:lvlJc w:val="left"/>
      <w:lvlText w:val="%8"/>
      <w:numFmt w:val="decimal"/>
      <w:start w:val="1"/>
      <w:suff w:val="nothing"/>
    </w:lvl>
    <w:lvl w:ilvl="8">
      <w:lvlJc w:val="left"/>
      <w:lvlRestart w:val="0"/>
      <w:lvlText w:val="%9"/>
      <w:numFmt w:val="decimal"/>
      <w:start w:val="1"/>
      <w:suff w:val="nothing"/>
    </w:lvl>
  </w:abstractNum>
  <w:abstractNum w:abstractNumId="3">
    <w:multiLevelType w:val="hybridMultilevel"/>
    <w:nsid w:val="0BC47D9D"/>
    <w:lvl w:ilvl="0" w:tplc="04090017">
      <w:lvlJc w:val="left"/>
      <w:lvlText w:val="%1)"/>
      <w:numFmt w:val="lowerLetter"/>
      <w:pPr>
        <w:ind w:hanging="360" w:left="947"/>
      </w:pPr>
      <w:start w:val="1"/>
    </w:lvl>
    <w:lvl w:ilvl="1" w:tentative="true" w:tplc="04090019">
      <w:lvlJc w:val="left"/>
      <w:lvlText w:val="%2."/>
      <w:numFmt w:val="lowerLetter"/>
      <w:pPr>
        <w:ind w:hanging="360" w:left="1667"/>
      </w:pPr>
      <w:start w:val="1"/>
    </w:lvl>
    <w:lvl w:ilvl="2" w:tentative="true" w:tplc="0409001B">
      <w:lvlJc w:val="right"/>
      <w:lvlText w:val="%3."/>
      <w:numFmt w:val="lowerRoman"/>
      <w:pPr>
        <w:ind w:hanging="180" w:left="2387"/>
      </w:pPr>
      <w:start w:val="1"/>
    </w:lvl>
    <w:lvl w:ilvl="3" w:tentative="true" w:tplc="0409000F">
      <w:lvlJc w:val="left"/>
      <w:lvlText w:val="%4."/>
      <w:numFmt w:val="decimal"/>
      <w:pPr>
        <w:ind w:hanging="360" w:left="3107"/>
      </w:pPr>
      <w:start w:val="1"/>
    </w:lvl>
    <w:lvl w:ilvl="4" w:tentative="true" w:tplc="04090019">
      <w:lvlJc w:val="left"/>
      <w:lvlText w:val="%5."/>
      <w:numFmt w:val="lowerLetter"/>
      <w:pPr>
        <w:ind w:hanging="360" w:left="3827"/>
      </w:pPr>
      <w:start w:val="1"/>
    </w:lvl>
    <w:lvl w:ilvl="5" w:tentative="true" w:tplc="0409001B">
      <w:lvlJc w:val="right"/>
      <w:lvlText w:val="%6."/>
      <w:numFmt w:val="lowerRoman"/>
      <w:pPr>
        <w:ind w:hanging="180" w:left="4547"/>
      </w:pPr>
      <w:start w:val="1"/>
    </w:lvl>
    <w:lvl w:ilvl="6" w:tentative="true" w:tplc="0409000F">
      <w:lvlJc w:val="left"/>
      <w:lvlText w:val="%7."/>
      <w:numFmt w:val="decimal"/>
      <w:pPr>
        <w:ind w:hanging="360" w:left="5267"/>
      </w:pPr>
      <w:start w:val="1"/>
    </w:lvl>
    <w:lvl w:ilvl="7" w:tentative="true" w:tplc="04090019">
      <w:lvlJc w:val="left"/>
      <w:lvlText w:val="%8."/>
      <w:numFmt w:val="lowerLetter"/>
      <w:pPr>
        <w:ind w:hanging="360" w:left="5987"/>
      </w:pPr>
      <w:start w:val="1"/>
    </w:lvl>
    <w:lvl w:ilvl="8" w:tentative="true" w:tplc="0409001B">
      <w:lvlJc w:val="right"/>
      <w:lvlText w:val="%9."/>
      <w:numFmt w:val="lowerRoman"/>
      <w:pPr>
        <w:ind w:hanging="180" w:left="6707"/>
      </w:pPr>
      <w:start w:val="1"/>
    </w:lvl>
  </w:abstractNum>
  <w:abstractNum w:abstractNumId="4">
    <w:multiLevelType w:val="hybridMultilevel"/>
    <w:nsid w:val="11326EF7"/>
    <w:lvl w:ilvl="0" w:tplc="7848F682">
      <w:lvlJc w:val="left"/>
      <w:lvlText w:val="%1)"/>
      <w:numFmt w:val="lowerLetter"/>
      <w:pPr>
        <w:ind w:hanging="360" w:left="1080"/>
      </w:pPr>
      <w:rPr>
        <w:rFonts w:hint="default"/>
      </w:rPr>
      <w:start w:val="1"/>
    </w:lvl>
    <w:lvl w:ilvl="1" w:tentative="true" w:tplc="04090019">
      <w:lvlJc w:val="left"/>
      <w:lvlText w:val="%2."/>
      <w:numFmt w:val="lowerLetter"/>
      <w:pPr>
        <w:ind w:hanging="360" w:left="1800"/>
      </w:pPr>
      <w:start w:val="1"/>
    </w:lvl>
    <w:lvl w:ilvl="2" w:tentative="true" w:tplc="0409001B">
      <w:lvlJc w:val="right"/>
      <w:lvlText w:val="%3."/>
      <w:numFmt w:val="lowerRoman"/>
      <w:pPr>
        <w:ind w:hanging="180" w:left="2520"/>
      </w:pPr>
      <w:start w:val="1"/>
    </w:lvl>
    <w:lvl w:ilvl="3" w:tentative="true" w:tplc="0409000F">
      <w:lvlJc w:val="left"/>
      <w:lvlText w:val="%4."/>
      <w:numFmt w:val="decimal"/>
      <w:pPr>
        <w:ind w:hanging="360" w:left="3240"/>
      </w:pPr>
      <w:start w:val="1"/>
    </w:lvl>
    <w:lvl w:ilvl="4" w:tentative="true" w:tplc="04090019">
      <w:lvlJc w:val="left"/>
      <w:lvlText w:val="%5."/>
      <w:numFmt w:val="lowerLetter"/>
      <w:pPr>
        <w:ind w:hanging="360" w:left="3960"/>
      </w:pPr>
      <w:start w:val="1"/>
    </w:lvl>
    <w:lvl w:ilvl="5" w:tentative="true" w:tplc="0409001B">
      <w:lvlJc w:val="right"/>
      <w:lvlText w:val="%6."/>
      <w:numFmt w:val="lowerRoman"/>
      <w:pPr>
        <w:ind w:hanging="180" w:left="4680"/>
      </w:pPr>
      <w:start w:val="1"/>
    </w:lvl>
    <w:lvl w:ilvl="6" w:tentative="true" w:tplc="0409000F">
      <w:lvlJc w:val="left"/>
      <w:lvlText w:val="%7."/>
      <w:numFmt w:val="decimal"/>
      <w:pPr>
        <w:ind w:hanging="360" w:left="5400"/>
      </w:pPr>
      <w:start w:val="1"/>
    </w:lvl>
    <w:lvl w:ilvl="7" w:tentative="true" w:tplc="04090019">
      <w:lvlJc w:val="left"/>
      <w:lvlText w:val="%8."/>
      <w:numFmt w:val="lowerLetter"/>
      <w:pPr>
        <w:ind w:hanging="360" w:left="6120"/>
      </w:pPr>
      <w:start w:val="1"/>
    </w:lvl>
    <w:lvl w:ilvl="8" w:tentative="true" w:tplc="0409001B">
      <w:lvlJc w:val="right"/>
      <w:lvlText w:val="%9."/>
      <w:numFmt w:val="lowerRoman"/>
      <w:pPr>
        <w:ind w:hanging="180" w:left="6840"/>
      </w:pPr>
      <w:start w:val="1"/>
    </w:lvl>
  </w:abstractNum>
  <w:abstractNum w:abstractNumId="5">
    <w:multiLevelType w:val="hybridMultilevel"/>
    <w:nsid w:val="15F807D8"/>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6">
    <w:multiLevelType w:val="hybridMultilevel"/>
    <w:nsid w:val="1C017819"/>
    <w:lvl w:ilvl="0" w:tplc="58C4EB60">
      <w:lvlJc w:val="left"/>
      <w:lvlText w:val="%1."/>
      <w:numFmt w:val="decimal"/>
      <w:pPr>
        <w:ind w:hanging="555" w:left="785"/>
      </w:pPr>
      <w:rPr>
        <w:rFonts w:hint="default"/>
      </w:rPr>
      <w:start w:val="1"/>
    </w:lvl>
    <w:lvl w:ilvl="1" w:tentative="true" w:tplc="04090019">
      <w:lvlJc w:val="left"/>
      <w:lvlText w:val="%2."/>
      <w:numFmt w:val="lowerLetter"/>
      <w:pPr>
        <w:ind w:hanging="360" w:left="1310"/>
      </w:pPr>
      <w:start w:val="1"/>
    </w:lvl>
    <w:lvl w:ilvl="2" w:tentative="true" w:tplc="0409001B">
      <w:lvlJc w:val="right"/>
      <w:lvlText w:val="%3."/>
      <w:numFmt w:val="lowerRoman"/>
      <w:pPr>
        <w:ind w:hanging="180" w:left="2030"/>
      </w:pPr>
      <w:start w:val="1"/>
    </w:lvl>
    <w:lvl w:ilvl="3" w:tentative="true" w:tplc="0409000F">
      <w:lvlJc w:val="left"/>
      <w:lvlText w:val="%4."/>
      <w:numFmt w:val="decimal"/>
      <w:pPr>
        <w:ind w:hanging="360" w:left="2750"/>
      </w:pPr>
      <w:start w:val="1"/>
    </w:lvl>
    <w:lvl w:ilvl="4" w:tentative="true" w:tplc="04090019">
      <w:lvlJc w:val="left"/>
      <w:lvlText w:val="%5."/>
      <w:numFmt w:val="lowerLetter"/>
      <w:pPr>
        <w:ind w:hanging="360" w:left="3470"/>
      </w:pPr>
      <w:start w:val="1"/>
    </w:lvl>
    <w:lvl w:ilvl="5" w:tentative="true" w:tplc="0409001B">
      <w:lvlJc w:val="right"/>
      <w:lvlText w:val="%6."/>
      <w:numFmt w:val="lowerRoman"/>
      <w:pPr>
        <w:ind w:hanging="180" w:left="4190"/>
      </w:pPr>
      <w:start w:val="1"/>
    </w:lvl>
    <w:lvl w:ilvl="6" w:tentative="true" w:tplc="0409000F">
      <w:lvlJc w:val="left"/>
      <w:lvlText w:val="%7."/>
      <w:numFmt w:val="decimal"/>
      <w:pPr>
        <w:ind w:hanging="360" w:left="4910"/>
      </w:pPr>
      <w:start w:val="1"/>
    </w:lvl>
    <w:lvl w:ilvl="7" w:tentative="true" w:tplc="04090019">
      <w:lvlJc w:val="left"/>
      <w:lvlText w:val="%8."/>
      <w:numFmt w:val="lowerLetter"/>
      <w:pPr>
        <w:ind w:hanging="360" w:left="5630"/>
      </w:pPr>
      <w:start w:val="1"/>
    </w:lvl>
    <w:lvl w:ilvl="8" w:tentative="true" w:tplc="0409001B">
      <w:lvlJc w:val="right"/>
      <w:lvlText w:val="%9."/>
      <w:numFmt w:val="lowerRoman"/>
      <w:pPr>
        <w:ind w:hanging="180" w:left="6350"/>
      </w:pPr>
      <w:start w:val="1"/>
    </w:lvl>
  </w:abstractNum>
  <w:abstractNum w:abstractNumId="7">
    <w:multiLevelType w:val="hybridMultilevel"/>
    <w:nsid w:val="1FCE4FB2"/>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8">
    <w:multiLevelType w:val="hybridMultilevel"/>
    <w:nsid w:val="25061A43"/>
    <w:lvl w:ilvl="0" w:tplc="BED80250">
      <w:lvlJc w:val="left"/>
      <w:lvlText w:val="%1."/>
      <w:numFmt w:val="upperLetter"/>
      <w:pPr>
        <w:ind w:hanging="360" w:left="928"/>
      </w:pPr>
      <w:rPr>
        <w:rFonts w:hint="default"/>
      </w:rPr>
      <w:start w:val="1"/>
    </w:lvl>
    <w:lvl w:ilvl="1" w:tentative="true" w:tplc="08090019">
      <w:lvlJc w:val="left"/>
      <w:lvlText w:val="%2."/>
      <w:numFmt w:val="lowerLetter"/>
      <w:pPr>
        <w:ind w:hanging="360" w:left="1648"/>
      </w:pPr>
      <w:start w:val="1"/>
    </w:lvl>
    <w:lvl w:ilvl="2" w:tentative="true" w:tplc="0809001B">
      <w:lvlJc w:val="right"/>
      <w:lvlText w:val="%3."/>
      <w:numFmt w:val="lowerRoman"/>
      <w:pPr>
        <w:ind w:hanging="180" w:left="2368"/>
      </w:pPr>
      <w:start w:val="1"/>
    </w:lvl>
    <w:lvl w:ilvl="3" w:tentative="true" w:tplc="0809000F">
      <w:lvlJc w:val="left"/>
      <w:lvlText w:val="%4."/>
      <w:numFmt w:val="decimal"/>
      <w:pPr>
        <w:ind w:hanging="360" w:left="3088"/>
      </w:pPr>
      <w:start w:val="1"/>
    </w:lvl>
    <w:lvl w:ilvl="4" w:tentative="true" w:tplc="08090019">
      <w:lvlJc w:val="left"/>
      <w:lvlText w:val="%5."/>
      <w:numFmt w:val="lowerLetter"/>
      <w:pPr>
        <w:ind w:hanging="360" w:left="3808"/>
      </w:pPr>
      <w:start w:val="1"/>
    </w:lvl>
    <w:lvl w:ilvl="5" w:tentative="true" w:tplc="0809001B">
      <w:lvlJc w:val="right"/>
      <w:lvlText w:val="%6."/>
      <w:numFmt w:val="lowerRoman"/>
      <w:pPr>
        <w:ind w:hanging="180" w:left="4528"/>
      </w:pPr>
      <w:start w:val="1"/>
    </w:lvl>
    <w:lvl w:ilvl="6" w:tentative="true" w:tplc="0809000F">
      <w:lvlJc w:val="left"/>
      <w:lvlText w:val="%7."/>
      <w:numFmt w:val="decimal"/>
      <w:pPr>
        <w:ind w:hanging="360" w:left="5248"/>
      </w:pPr>
      <w:start w:val="1"/>
    </w:lvl>
    <w:lvl w:ilvl="7" w:tentative="true" w:tplc="08090019">
      <w:lvlJc w:val="left"/>
      <w:lvlText w:val="%8."/>
      <w:numFmt w:val="lowerLetter"/>
      <w:pPr>
        <w:ind w:hanging="360" w:left="5968"/>
      </w:pPr>
      <w:start w:val="1"/>
    </w:lvl>
    <w:lvl w:ilvl="8" w:tentative="true" w:tplc="0809001B">
      <w:lvlJc w:val="right"/>
      <w:lvlText w:val="%9."/>
      <w:numFmt w:val="lowerRoman"/>
      <w:pPr>
        <w:ind w:hanging="180" w:left="6688"/>
      </w:pPr>
      <w:start w:val="1"/>
    </w:lvl>
  </w:abstractNum>
  <w:abstractNum w:abstractNumId="9">
    <w:multiLevelType w:val="hybridMultilevel"/>
    <w:nsid w:val="277572FF"/>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10">
    <w:multiLevelType w:val="hybridMultilevel"/>
    <w:nsid w:val="28690D2D"/>
    <w:lvl w:ilvl="0" w:tplc="696489C0">
      <w:lvlJc w:val="left"/>
      <w:lvlText w:val="%1."/>
      <w:numFmt w:val="decimal"/>
      <w:pPr>
        <w:ind w:hanging="360" w:left="648"/>
      </w:pPr>
      <w:rPr>
        <w:rFonts w:hint="default"/>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11">
    <w:multiLevelType w:val="hybridMultilevel"/>
    <w:nsid w:val="28A151C1"/>
    <w:lvl w:ilvl="0" w:tplc="6B8A1B4A">
      <w:lvlJc w:val="left"/>
      <w:lvlText w:val="%1."/>
      <w:numFmt w:val="upperLetter"/>
      <w:pPr>
        <w:ind w:hanging="360" w:left="644"/>
      </w:pPr>
      <w:rPr>
        <w:rFonts w:hint="default"/>
      </w:rPr>
      <w:start w:val="1"/>
    </w:lvl>
    <w:lvl w:ilvl="1" w:tentative="true" w:tplc="08090019">
      <w:lvlJc w:val="left"/>
      <w:lvlText w:val="%2."/>
      <w:numFmt w:val="lowerLetter"/>
      <w:pPr>
        <w:ind w:hanging="360" w:left="1364"/>
      </w:pPr>
      <w:start w:val="1"/>
    </w:lvl>
    <w:lvl w:ilvl="2" w:tentative="true" w:tplc="0809001B">
      <w:lvlJc w:val="right"/>
      <w:lvlText w:val="%3."/>
      <w:numFmt w:val="lowerRoman"/>
      <w:pPr>
        <w:ind w:hanging="180" w:left="2084"/>
      </w:pPr>
      <w:start w:val="1"/>
    </w:lvl>
    <w:lvl w:ilvl="3" w:tentative="true" w:tplc="0809000F">
      <w:lvlJc w:val="left"/>
      <w:lvlText w:val="%4."/>
      <w:numFmt w:val="decimal"/>
      <w:pPr>
        <w:ind w:hanging="360" w:left="2804"/>
      </w:pPr>
      <w:start w:val="1"/>
    </w:lvl>
    <w:lvl w:ilvl="4" w:tentative="true" w:tplc="08090019">
      <w:lvlJc w:val="left"/>
      <w:lvlText w:val="%5."/>
      <w:numFmt w:val="lowerLetter"/>
      <w:pPr>
        <w:ind w:hanging="360" w:left="3524"/>
      </w:pPr>
      <w:start w:val="1"/>
    </w:lvl>
    <w:lvl w:ilvl="5" w:tentative="true" w:tplc="0809001B">
      <w:lvlJc w:val="right"/>
      <w:lvlText w:val="%6."/>
      <w:numFmt w:val="lowerRoman"/>
      <w:pPr>
        <w:ind w:hanging="180" w:left="4244"/>
      </w:pPr>
      <w:start w:val="1"/>
    </w:lvl>
    <w:lvl w:ilvl="6" w:tentative="true" w:tplc="0809000F">
      <w:lvlJc w:val="left"/>
      <w:lvlText w:val="%7."/>
      <w:numFmt w:val="decimal"/>
      <w:pPr>
        <w:ind w:hanging="360" w:left="4964"/>
      </w:pPr>
      <w:start w:val="1"/>
    </w:lvl>
    <w:lvl w:ilvl="7" w:tentative="true" w:tplc="08090019">
      <w:lvlJc w:val="left"/>
      <w:lvlText w:val="%8."/>
      <w:numFmt w:val="lowerLetter"/>
      <w:pPr>
        <w:ind w:hanging="360" w:left="5684"/>
      </w:pPr>
      <w:start w:val="1"/>
    </w:lvl>
    <w:lvl w:ilvl="8" w:tentative="true" w:tplc="0809001B">
      <w:lvlJc w:val="right"/>
      <w:lvlText w:val="%9."/>
      <w:numFmt w:val="lowerRoman"/>
      <w:pPr>
        <w:ind w:hanging="180" w:left="6404"/>
      </w:pPr>
      <w:start w:val="1"/>
    </w:lvl>
  </w:abstractNum>
  <w:abstractNum w:abstractNumId="12">
    <w:multiLevelType w:val="hybridMultilevel"/>
    <w:nsid w:val="31624C4D"/>
    <w:lvl w:ilvl="0" w:tplc="0409000F">
      <w:lvlJc w:val="left"/>
      <w:lvlText w:val="%1."/>
      <w:numFmt w:val="decimal"/>
      <w:pPr>
        <w:tabs>
          <w:tab w:val="num" w:pos="720"/>
        </w:tabs>
        <w:ind w:hanging="360" w:left="720"/>
      </w:pPr>
      <w:rPr>
        <w:rFonts w:hint="default"/>
      </w:rPr>
      <w:start w:val="1"/>
    </w:lvl>
    <w:lvl w:ilvl="1" w:tentative="true" w:tplc="04090019">
      <w:lvlJc w:val="left"/>
      <w:lvlText w:val="%2."/>
      <w:numFmt w:val="lowerLetter"/>
      <w:pPr>
        <w:tabs>
          <w:tab w:val="num" w:pos="1440"/>
        </w:tabs>
        <w:ind w:hanging="360" w:left="1440"/>
      </w:pPr>
      <w:start w:val="1"/>
    </w:lvl>
    <w:lvl w:ilvl="2" w:tentative="true" w:tplc="0409001B">
      <w:lvlJc w:val="right"/>
      <w:lvlText w:val="%3."/>
      <w:numFmt w:val="lowerRoman"/>
      <w:pPr>
        <w:tabs>
          <w:tab w:val="num" w:pos="2160"/>
        </w:tabs>
        <w:ind w:hanging="180" w:left="2160"/>
      </w:pPr>
      <w:start w:val="1"/>
    </w:lvl>
    <w:lvl w:ilvl="3" w:tentative="true" w:tplc="0409000F">
      <w:lvlJc w:val="left"/>
      <w:lvlText w:val="%4."/>
      <w:numFmt w:val="decimal"/>
      <w:pPr>
        <w:tabs>
          <w:tab w:val="num" w:pos="2880"/>
        </w:tabs>
        <w:ind w:hanging="360" w:left="2880"/>
      </w:pPr>
      <w:start w:val="1"/>
    </w:lvl>
    <w:lvl w:ilvl="4" w:tentative="true" w:tplc="04090019">
      <w:lvlJc w:val="left"/>
      <w:lvlText w:val="%5."/>
      <w:numFmt w:val="lowerLetter"/>
      <w:pPr>
        <w:tabs>
          <w:tab w:val="num" w:pos="3600"/>
        </w:tabs>
        <w:ind w:hanging="360" w:left="3600"/>
      </w:pPr>
      <w:start w:val="1"/>
    </w:lvl>
    <w:lvl w:ilvl="5" w:tentative="true" w:tplc="0409001B">
      <w:lvlJc w:val="right"/>
      <w:lvlText w:val="%6."/>
      <w:numFmt w:val="lowerRoman"/>
      <w:pPr>
        <w:tabs>
          <w:tab w:val="num" w:pos="4320"/>
        </w:tabs>
        <w:ind w:hanging="180" w:left="4320"/>
      </w:pPr>
      <w:start w:val="1"/>
    </w:lvl>
    <w:lvl w:ilvl="6" w:tentative="true" w:tplc="0409000F">
      <w:lvlJc w:val="left"/>
      <w:lvlText w:val="%7."/>
      <w:numFmt w:val="decimal"/>
      <w:pPr>
        <w:tabs>
          <w:tab w:val="num" w:pos="5040"/>
        </w:tabs>
        <w:ind w:hanging="360" w:left="5040"/>
      </w:pPr>
      <w:start w:val="1"/>
    </w:lvl>
    <w:lvl w:ilvl="7" w:tentative="true" w:tplc="04090019">
      <w:lvlJc w:val="left"/>
      <w:lvlText w:val="%8."/>
      <w:numFmt w:val="lowerLetter"/>
      <w:pPr>
        <w:tabs>
          <w:tab w:val="num" w:pos="5760"/>
        </w:tabs>
        <w:ind w:hanging="360" w:left="5760"/>
      </w:pPr>
      <w:start w:val="1"/>
    </w:lvl>
    <w:lvl w:ilvl="8" w:tentative="true" w:tplc="0409001B">
      <w:lvlJc w:val="right"/>
      <w:lvlText w:val="%9."/>
      <w:numFmt w:val="lowerRoman"/>
      <w:pPr>
        <w:tabs>
          <w:tab w:val="num" w:pos="6480"/>
        </w:tabs>
        <w:ind w:hanging="180" w:left="6480"/>
      </w:pPr>
      <w:start w:val="1"/>
    </w:lvl>
  </w:abstractNum>
  <w:abstractNum w:abstractNumId="13">
    <w:multiLevelType w:val="hybridMultilevel"/>
    <w:nsid w:val="356C1D7D"/>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14">
    <w:multiLevelType w:val="hybridMultilevel"/>
    <w:nsid w:val="37600FB4"/>
    <w:lvl w:ilvl="0" w:tplc="9662DD7C">
      <w:lvlJc w:val="left"/>
      <w:lvlText w:val="%1."/>
      <w:numFmt w:val="decimal"/>
      <w:pPr>
        <w:ind w:hanging="360" w:left="587"/>
      </w:pPr>
      <w:rPr>
        <w:rFonts w:hint="default"/>
      </w:rPr>
      <w:start w:val="2"/>
    </w:lvl>
    <w:lvl w:ilvl="1" w:tentative="true" w:tplc="08090019">
      <w:lvlJc w:val="left"/>
      <w:lvlText w:val="%2."/>
      <w:numFmt w:val="lowerLetter"/>
      <w:pPr>
        <w:ind w:hanging="360" w:left="1307"/>
      </w:pPr>
      <w:start w:val="1"/>
    </w:lvl>
    <w:lvl w:ilvl="2" w:tentative="true" w:tplc="0809001B">
      <w:lvlJc w:val="right"/>
      <w:lvlText w:val="%3."/>
      <w:numFmt w:val="lowerRoman"/>
      <w:pPr>
        <w:ind w:hanging="180" w:left="2027"/>
      </w:pPr>
      <w:start w:val="1"/>
    </w:lvl>
    <w:lvl w:ilvl="3" w:tentative="true" w:tplc="0809000F">
      <w:lvlJc w:val="left"/>
      <w:lvlText w:val="%4."/>
      <w:numFmt w:val="decimal"/>
      <w:pPr>
        <w:ind w:hanging="360" w:left="2747"/>
      </w:pPr>
      <w:start w:val="1"/>
    </w:lvl>
    <w:lvl w:ilvl="4" w:tentative="true" w:tplc="08090019">
      <w:lvlJc w:val="left"/>
      <w:lvlText w:val="%5."/>
      <w:numFmt w:val="lowerLetter"/>
      <w:pPr>
        <w:ind w:hanging="360" w:left="3467"/>
      </w:pPr>
      <w:start w:val="1"/>
    </w:lvl>
    <w:lvl w:ilvl="5" w:tentative="true" w:tplc="0809001B">
      <w:lvlJc w:val="right"/>
      <w:lvlText w:val="%6."/>
      <w:numFmt w:val="lowerRoman"/>
      <w:pPr>
        <w:ind w:hanging="180" w:left="4187"/>
      </w:pPr>
      <w:start w:val="1"/>
    </w:lvl>
    <w:lvl w:ilvl="6" w:tentative="true" w:tplc="0809000F">
      <w:lvlJc w:val="left"/>
      <w:lvlText w:val="%7."/>
      <w:numFmt w:val="decimal"/>
      <w:pPr>
        <w:ind w:hanging="360" w:left="4907"/>
      </w:pPr>
      <w:start w:val="1"/>
    </w:lvl>
    <w:lvl w:ilvl="7" w:tentative="true" w:tplc="08090019">
      <w:lvlJc w:val="left"/>
      <w:lvlText w:val="%8."/>
      <w:numFmt w:val="lowerLetter"/>
      <w:pPr>
        <w:ind w:hanging="360" w:left="5627"/>
      </w:pPr>
      <w:start w:val="1"/>
    </w:lvl>
    <w:lvl w:ilvl="8" w:tentative="true" w:tplc="0809001B">
      <w:lvlJc w:val="right"/>
      <w:lvlText w:val="%9."/>
      <w:numFmt w:val="lowerRoman"/>
      <w:pPr>
        <w:ind w:hanging="180" w:left="6347"/>
      </w:pPr>
      <w:start w:val="1"/>
    </w:lvl>
  </w:abstractNum>
  <w:abstractNum w:abstractNumId="15">
    <w:multiLevelType w:val="hybridMultilevel"/>
    <w:nsid w:val="3A3C4C49"/>
    <w:lvl w:ilvl="0" w:tplc="F3407256">
      <w:lvlJc w:val="left"/>
      <w:lvlText w:val="%1."/>
      <w:numFmt w:val="upperLetter"/>
      <w:pPr>
        <w:ind w:hanging="360" w:left="644"/>
      </w:pPr>
      <w:rPr>
        <w:rFonts w:hint="default"/>
      </w:rPr>
      <w:start w:val="1"/>
    </w:lvl>
    <w:lvl w:ilvl="1" w:tentative="true" w:tplc="08090019">
      <w:lvlJc w:val="left"/>
      <w:lvlText w:val="%2."/>
      <w:numFmt w:val="lowerLetter"/>
      <w:pPr>
        <w:ind w:hanging="360" w:left="1364"/>
      </w:pPr>
      <w:start w:val="1"/>
    </w:lvl>
    <w:lvl w:ilvl="2" w:tentative="true" w:tplc="0809001B">
      <w:lvlJc w:val="right"/>
      <w:lvlText w:val="%3."/>
      <w:numFmt w:val="lowerRoman"/>
      <w:pPr>
        <w:ind w:hanging="180" w:left="2084"/>
      </w:pPr>
      <w:start w:val="1"/>
    </w:lvl>
    <w:lvl w:ilvl="3" w:tentative="true" w:tplc="0809000F">
      <w:lvlJc w:val="left"/>
      <w:lvlText w:val="%4."/>
      <w:numFmt w:val="decimal"/>
      <w:pPr>
        <w:ind w:hanging="360" w:left="2804"/>
      </w:pPr>
      <w:start w:val="1"/>
    </w:lvl>
    <w:lvl w:ilvl="4" w:tentative="true" w:tplc="08090019">
      <w:lvlJc w:val="left"/>
      <w:lvlText w:val="%5."/>
      <w:numFmt w:val="lowerLetter"/>
      <w:pPr>
        <w:ind w:hanging="360" w:left="3524"/>
      </w:pPr>
      <w:start w:val="1"/>
    </w:lvl>
    <w:lvl w:ilvl="5" w:tentative="true" w:tplc="0809001B">
      <w:lvlJc w:val="right"/>
      <w:lvlText w:val="%6."/>
      <w:numFmt w:val="lowerRoman"/>
      <w:pPr>
        <w:ind w:hanging="180" w:left="4244"/>
      </w:pPr>
      <w:start w:val="1"/>
    </w:lvl>
    <w:lvl w:ilvl="6" w:tentative="true" w:tplc="0809000F">
      <w:lvlJc w:val="left"/>
      <w:lvlText w:val="%7."/>
      <w:numFmt w:val="decimal"/>
      <w:pPr>
        <w:ind w:hanging="360" w:left="4964"/>
      </w:pPr>
      <w:start w:val="1"/>
    </w:lvl>
    <w:lvl w:ilvl="7" w:tentative="true" w:tplc="08090019">
      <w:lvlJc w:val="left"/>
      <w:lvlText w:val="%8."/>
      <w:numFmt w:val="lowerLetter"/>
      <w:pPr>
        <w:ind w:hanging="360" w:left="5684"/>
      </w:pPr>
      <w:start w:val="1"/>
    </w:lvl>
    <w:lvl w:ilvl="8" w:tentative="true" w:tplc="0809001B">
      <w:lvlJc w:val="right"/>
      <w:lvlText w:val="%9."/>
      <w:numFmt w:val="lowerRoman"/>
      <w:pPr>
        <w:ind w:hanging="180" w:left="6404"/>
      </w:pPr>
      <w:start w:val="1"/>
    </w:lvl>
  </w:abstractNum>
  <w:abstractNum w:abstractNumId="16">
    <w:multiLevelType w:val="hybridMultilevel"/>
    <w:nsid w:val="3CF94AD9"/>
    <w:lvl w:ilvl="0" w:tplc="BED80250">
      <w:lvlJc w:val="left"/>
      <w:lvlText w:val="%1."/>
      <w:numFmt w:val="upperLetter"/>
      <w:pPr>
        <w:ind w:hanging="360" w:left="928"/>
      </w:pPr>
      <w:rPr>
        <w:rFonts w:hint="default"/>
      </w:rPr>
      <w:start w:val="1"/>
    </w:lvl>
    <w:lvl w:ilvl="1" w:tentative="true" w:tplc="08090019">
      <w:lvlJc w:val="left"/>
      <w:lvlText w:val="%2."/>
      <w:numFmt w:val="lowerLetter"/>
      <w:pPr>
        <w:ind w:hanging="360" w:left="1648"/>
      </w:pPr>
      <w:start w:val="1"/>
    </w:lvl>
    <w:lvl w:ilvl="2" w:tentative="true" w:tplc="0809001B">
      <w:lvlJc w:val="right"/>
      <w:lvlText w:val="%3."/>
      <w:numFmt w:val="lowerRoman"/>
      <w:pPr>
        <w:ind w:hanging="180" w:left="2368"/>
      </w:pPr>
      <w:start w:val="1"/>
    </w:lvl>
    <w:lvl w:ilvl="3" w:tentative="true" w:tplc="0809000F">
      <w:lvlJc w:val="left"/>
      <w:lvlText w:val="%4."/>
      <w:numFmt w:val="decimal"/>
      <w:pPr>
        <w:ind w:hanging="360" w:left="3088"/>
      </w:pPr>
      <w:start w:val="1"/>
    </w:lvl>
    <w:lvl w:ilvl="4" w:tentative="true" w:tplc="08090019">
      <w:lvlJc w:val="left"/>
      <w:lvlText w:val="%5."/>
      <w:numFmt w:val="lowerLetter"/>
      <w:pPr>
        <w:ind w:hanging="360" w:left="3808"/>
      </w:pPr>
      <w:start w:val="1"/>
    </w:lvl>
    <w:lvl w:ilvl="5" w:tentative="true" w:tplc="0809001B">
      <w:lvlJc w:val="right"/>
      <w:lvlText w:val="%6."/>
      <w:numFmt w:val="lowerRoman"/>
      <w:pPr>
        <w:ind w:hanging="180" w:left="4528"/>
      </w:pPr>
      <w:start w:val="1"/>
    </w:lvl>
    <w:lvl w:ilvl="6" w:tentative="true" w:tplc="0809000F">
      <w:lvlJc w:val="left"/>
      <w:lvlText w:val="%7."/>
      <w:numFmt w:val="decimal"/>
      <w:pPr>
        <w:ind w:hanging="360" w:left="5248"/>
      </w:pPr>
      <w:start w:val="1"/>
    </w:lvl>
    <w:lvl w:ilvl="7" w:tentative="true" w:tplc="08090019">
      <w:lvlJc w:val="left"/>
      <w:lvlText w:val="%8."/>
      <w:numFmt w:val="lowerLetter"/>
      <w:pPr>
        <w:ind w:hanging="360" w:left="5968"/>
      </w:pPr>
      <w:start w:val="1"/>
    </w:lvl>
    <w:lvl w:ilvl="8" w:tentative="true" w:tplc="0809001B">
      <w:lvlJc w:val="right"/>
      <w:lvlText w:val="%9."/>
      <w:numFmt w:val="lowerRoman"/>
      <w:pPr>
        <w:ind w:hanging="180" w:left="6688"/>
      </w:pPr>
      <w:start w:val="1"/>
    </w:lvl>
  </w:abstractNum>
  <w:abstractNum w:abstractNumId="17">
    <w:multiLevelType w:val="hybridMultilevel"/>
    <w:nsid w:val="3D3D0ED8"/>
    <w:lvl w:ilvl="0" w:tplc="DDC448AE">
      <w:lvlJc w:val="left"/>
      <w:lvlText w:val="%1."/>
      <w:numFmt w:val="decimal"/>
      <w:pPr>
        <w:ind w:hanging="360" w:left="936"/>
      </w:pPr>
      <w:rPr>
        <w:rFonts w:hint="default"/>
        <w:i w:val="0"/>
        <w:iCs w:val="0"/>
      </w:rPr>
      <w:start w:val="1"/>
    </w:lvl>
    <w:lvl w:ilvl="1" w:tentative="true" w:tplc="04090019">
      <w:lvlJc w:val="left"/>
      <w:lvlText w:val="%2."/>
      <w:numFmt w:val="lowerLetter"/>
      <w:pPr>
        <w:ind w:hanging="360" w:left="1656"/>
      </w:pPr>
      <w:start w:val="1"/>
    </w:lvl>
    <w:lvl w:ilvl="2" w:tentative="true" w:tplc="0409001B">
      <w:lvlJc w:val="right"/>
      <w:lvlText w:val="%3."/>
      <w:numFmt w:val="lowerRoman"/>
      <w:pPr>
        <w:ind w:hanging="180" w:left="2376"/>
      </w:pPr>
      <w:start w:val="1"/>
    </w:lvl>
    <w:lvl w:ilvl="3" w:tentative="true" w:tplc="0409000F">
      <w:lvlJc w:val="left"/>
      <w:lvlText w:val="%4."/>
      <w:numFmt w:val="decimal"/>
      <w:pPr>
        <w:ind w:hanging="360" w:left="3096"/>
      </w:pPr>
      <w:start w:val="1"/>
    </w:lvl>
    <w:lvl w:ilvl="4" w:tentative="true" w:tplc="04090019">
      <w:lvlJc w:val="left"/>
      <w:lvlText w:val="%5."/>
      <w:numFmt w:val="lowerLetter"/>
      <w:pPr>
        <w:ind w:hanging="360" w:left="3816"/>
      </w:pPr>
      <w:start w:val="1"/>
    </w:lvl>
    <w:lvl w:ilvl="5" w:tentative="true" w:tplc="0409001B">
      <w:lvlJc w:val="right"/>
      <w:lvlText w:val="%6."/>
      <w:numFmt w:val="lowerRoman"/>
      <w:pPr>
        <w:ind w:hanging="180" w:left="4536"/>
      </w:pPr>
      <w:start w:val="1"/>
    </w:lvl>
    <w:lvl w:ilvl="6" w:tentative="true" w:tplc="0409000F">
      <w:lvlJc w:val="left"/>
      <w:lvlText w:val="%7."/>
      <w:numFmt w:val="decimal"/>
      <w:pPr>
        <w:ind w:hanging="360" w:left="5256"/>
      </w:pPr>
      <w:start w:val="1"/>
    </w:lvl>
    <w:lvl w:ilvl="7" w:tentative="true" w:tplc="04090019">
      <w:lvlJc w:val="left"/>
      <w:lvlText w:val="%8."/>
      <w:numFmt w:val="lowerLetter"/>
      <w:pPr>
        <w:ind w:hanging="360" w:left="5976"/>
      </w:pPr>
      <w:start w:val="1"/>
    </w:lvl>
    <w:lvl w:ilvl="8" w:tentative="true" w:tplc="0409001B">
      <w:lvlJc w:val="right"/>
      <w:lvlText w:val="%9."/>
      <w:numFmt w:val="lowerRoman"/>
      <w:pPr>
        <w:ind w:hanging="180" w:left="6696"/>
      </w:pPr>
      <w:start w:val="1"/>
    </w:lvl>
  </w:abstractNum>
  <w:abstractNum w:abstractNumId="18">
    <w:multiLevelType w:val="hybridMultilevel"/>
    <w:nsid w:val="3DDF4F6F"/>
    <w:lvl w:ilvl="0" w:tplc="D2DE3B2C">
      <w:lvlJc w:val="left"/>
      <w:lvlText w:val="%1."/>
      <w:numFmt w:val="decimal"/>
      <w:pPr>
        <w:ind w:hanging="540" w:left="828"/>
      </w:pPr>
      <w:rPr>
        <w:rFonts w:hint="default"/>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19">
    <w:multiLevelType w:val="hybridMultilevel"/>
    <w:nsid w:val="43E90266"/>
    <w:lvl w:ilvl="0" w:tplc="0409000F">
      <w:lvlJc w:val="left"/>
      <w:lvlText w:val="%1."/>
      <w:numFmt w:val="decimal"/>
      <w:pPr>
        <w:tabs>
          <w:tab w:val="num" w:pos="720"/>
        </w:tabs>
        <w:ind w:hanging="360" w:left="720"/>
      </w:pPr>
      <w:rPr>
        <w:rFonts w:hint="default"/>
      </w:rPr>
      <w:start w:val="1"/>
    </w:lvl>
    <w:lvl w:ilvl="1" w:tentative="true" w:tplc="04090019">
      <w:lvlJc w:val="left"/>
      <w:lvlText w:val="%2."/>
      <w:numFmt w:val="lowerLetter"/>
      <w:pPr>
        <w:tabs>
          <w:tab w:val="num" w:pos="1440"/>
        </w:tabs>
        <w:ind w:hanging="360" w:left="1440"/>
      </w:pPr>
      <w:start w:val="1"/>
    </w:lvl>
    <w:lvl w:ilvl="2" w:tentative="true" w:tplc="0409001B">
      <w:lvlJc w:val="right"/>
      <w:lvlText w:val="%3."/>
      <w:numFmt w:val="lowerRoman"/>
      <w:pPr>
        <w:tabs>
          <w:tab w:val="num" w:pos="2160"/>
        </w:tabs>
        <w:ind w:hanging="180" w:left="2160"/>
      </w:pPr>
      <w:start w:val="1"/>
    </w:lvl>
    <w:lvl w:ilvl="3" w:tentative="true" w:tplc="0409000F">
      <w:lvlJc w:val="left"/>
      <w:lvlText w:val="%4."/>
      <w:numFmt w:val="decimal"/>
      <w:pPr>
        <w:tabs>
          <w:tab w:val="num" w:pos="2880"/>
        </w:tabs>
        <w:ind w:hanging="360" w:left="2880"/>
      </w:pPr>
      <w:start w:val="1"/>
    </w:lvl>
    <w:lvl w:ilvl="4" w:tentative="true" w:tplc="04090019">
      <w:lvlJc w:val="left"/>
      <w:lvlText w:val="%5."/>
      <w:numFmt w:val="lowerLetter"/>
      <w:pPr>
        <w:tabs>
          <w:tab w:val="num" w:pos="3600"/>
        </w:tabs>
        <w:ind w:hanging="360" w:left="3600"/>
      </w:pPr>
      <w:start w:val="1"/>
    </w:lvl>
    <w:lvl w:ilvl="5" w:tentative="true" w:tplc="0409001B">
      <w:lvlJc w:val="right"/>
      <w:lvlText w:val="%6."/>
      <w:numFmt w:val="lowerRoman"/>
      <w:pPr>
        <w:tabs>
          <w:tab w:val="num" w:pos="4320"/>
        </w:tabs>
        <w:ind w:hanging="180" w:left="4320"/>
      </w:pPr>
      <w:start w:val="1"/>
    </w:lvl>
    <w:lvl w:ilvl="6" w:tentative="true" w:tplc="0409000F">
      <w:lvlJc w:val="left"/>
      <w:lvlText w:val="%7."/>
      <w:numFmt w:val="decimal"/>
      <w:pPr>
        <w:tabs>
          <w:tab w:val="num" w:pos="5040"/>
        </w:tabs>
        <w:ind w:hanging="360" w:left="5040"/>
      </w:pPr>
      <w:start w:val="1"/>
    </w:lvl>
    <w:lvl w:ilvl="7" w:tentative="true" w:tplc="04090019">
      <w:lvlJc w:val="left"/>
      <w:lvlText w:val="%8."/>
      <w:numFmt w:val="lowerLetter"/>
      <w:pPr>
        <w:tabs>
          <w:tab w:val="num" w:pos="5760"/>
        </w:tabs>
        <w:ind w:hanging="360" w:left="5760"/>
      </w:pPr>
      <w:start w:val="1"/>
    </w:lvl>
    <w:lvl w:ilvl="8" w:tentative="true" w:tplc="0409001B">
      <w:lvlJc w:val="right"/>
      <w:lvlText w:val="%9."/>
      <w:numFmt w:val="lowerRoman"/>
      <w:pPr>
        <w:tabs>
          <w:tab w:val="num" w:pos="6480"/>
        </w:tabs>
        <w:ind w:hanging="180" w:left="6480"/>
      </w:pPr>
      <w:start w:val="1"/>
    </w:lvl>
  </w:abstractNum>
  <w:abstractNum w:abstractNumId="20">
    <w:multiLevelType w:val="hybridMultilevel"/>
    <w:nsid w:val="459C355B"/>
    <w:lvl w:ilvl="0" w:tplc="40C2C7D0">
      <w:lvlJc w:val="left"/>
      <w:lvlText w:val="%1."/>
      <w:numFmt w:val="lowerLetter"/>
      <w:pPr>
        <w:ind w:hanging="360" w:left="648"/>
      </w:pPr>
      <w:rPr>
        <w:rFonts w:hint="default"/>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21">
    <w:multiLevelType w:val="hybridMultilevel"/>
    <w:nsid w:val="4E460C1B"/>
    <w:lvl w:ilvl="0" w:tplc="B8785014">
      <w:lvlJc w:val="left"/>
      <w:lvlText w:val="%1."/>
      <w:numFmt w:val="decimal"/>
      <w:pPr>
        <w:ind w:hanging="360" w:left="720"/>
      </w:pPr>
      <w:rPr>
        <w:rFonts w:hint="default" w:ascii="New Century Schoolbook" w:hAnsi="New Century Schoolbook"/>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22">
    <w:multiLevelType w:val="hybridMultilevel"/>
    <w:nsid w:val="543B2F43"/>
    <w:lvl w:ilvl="0" w:tplc="D026FB34">
      <w:lvlJc w:val="left"/>
      <w:lvlText w:val="(%1)"/>
      <w:numFmt w:val="lowerLetter"/>
      <w:pPr>
        <w:ind w:hanging="360" w:left="1080"/>
      </w:pPr>
      <w:rPr>
        <w:rFonts w:hint="default"/>
      </w:rPr>
      <w:start w:val="1"/>
    </w:lvl>
    <w:lvl w:ilvl="1" w:tentative="true" w:tplc="04090019">
      <w:lvlJc w:val="left"/>
      <w:lvlText w:val="%2."/>
      <w:numFmt w:val="lowerLetter"/>
      <w:pPr>
        <w:ind w:hanging="360" w:left="1800"/>
      </w:pPr>
      <w:start w:val="1"/>
    </w:lvl>
    <w:lvl w:ilvl="2" w:tentative="true" w:tplc="0409001B">
      <w:lvlJc w:val="right"/>
      <w:lvlText w:val="%3."/>
      <w:numFmt w:val="lowerRoman"/>
      <w:pPr>
        <w:ind w:hanging="180" w:left="2520"/>
      </w:pPr>
      <w:start w:val="1"/>
    </w:lvl>
    <w:lvl w:ilvl="3" w:tentative="true" w:tplc="0409000F">
      <w:lvlJc w:val="left"/>
      <w:lvlText w:val="%4."/>
      <w:numFmt w:val="decimal"/>
      <w:pPr>
        <w:ind w:hanging="360" w:left="3240"/>
      </w:pPr>
      <w:start w:val="1"/>
    </w:lvl>
    <w:lvl w:ilvl="4" w:tentative="true" w:tplc="04090019">
      <w:lvlJc w:val="left"/>
      <w:lvlText w:val="%5."/>
      <w:numFmt w:val="lowerLetter"/>
      <w:pPr>
        <w:ind w:hanging="360" w:left="3960"/>
      </w:pPr>
      <w:start w:val="1"/>
    </w:lvl>
    <w:lvl w:ilvl="5" w:tentative="true" w:tplc="0409001B">
      <w:lvlJc w:val="right"/>
      <w:lvlText w:val="%6."/>
      <w:numFmt w:val="lowerRoman"/>
      <w:pPr>
        <w:ind w:hanging="180" w:left="4680"/>
      </w:pPr>
      <w:start w:val="1"/>
    </w:lvl>
    <w:lvl w:ilvl="6" w:tentative="true" w:tplc="0409000F">
      <w:lvlJc w:val="left"/>
      <w:lvlText w:val="%7."/>
      <w:numFmt w:val="decimal"/>
      <w:pPr>
        <w:ind w:hanging="360" w:left="5400"/>
      </w:pPr>
      <w:start w:val="1"/>
    </w:lvl>
    <w:lvl w:ilvl="7" w:tentative="true" w:tplc="04090019">
      <w:lvlJc w:val="left"/>
      <w:lvlText w:val="%8."/>
      <w:numFmt w:val="lowerLetter"/>
      <w:pPr>
        <w:ind w:hanging="360" w:left="6120"/>
      </w:pPr>
      <w:start w:val="1"/>
    </w:lvl>
    <w:lvl w:ilvl="8" w:tentative="true" w:tplc="0409001B">
      <w:lvlJc w:val="right"/>
      <w:lvlText w:val="%9."/>
      <w:numFmt w:val="lowerRoman"/>
      <w:pPr>
        <w:ind w:hanging="180" w:left="6840"/>
      </w:pPr>
      <w:start w:val="1"/>
    </w:lvl>
  </w:abstractNum>
  <w:abstractNum w:abstractNumId="23">
    <w:multiLevelType w:val="hybridMultilevel"/>
    <w:nsid w:val="566776C1"/>
    <w:lvl w:ilvl="0" w:tplc="AE84AF8C">
      <w:lvlJc w:val="left"/>
      <w:lvlText w:val="%1."/>
      <w:numFmt w:val="decimal"/>
      <w:pPr>
        <w:ind w:hanging="360" w:left="5040"/>
      </w:pPr>
      <w:rPr>
        <w:rFonts w:hint="default"/>
      </w:rPr>
      <w:start w:val="1"/>
    </w:lvl>
    <w:lvl w:ilvl="1" w:tplc="04090019">
      <w:lvlJc w:val="left"/>
      <w:lvlText w:val="%2."/>
      <w:numFmt w:val="lowerLetter"/>
      <w:pPr>
        <w:ind w:hanging="360" w:left="1222"/>
      </w:pPr>
      <w:start w:val="1"/>
    </w:lvl>
    <w:lvl w:ilvl="2" w:tentative="true" w:tplc="0409001B">
      <w:lvlJc w:val="right"/>
      <w:lvlText w:val="%3."/>
      <w:numFmt w:val="lowerRoman"/>
      <w:pPr>
        <w:ind w:hanging="180" w:left="1942"/>
      </w:pPr>
      <w:start w:val="1"/>
    </w:lvl>
    <w:lvl w:ilvl="3" w:tentative="true" w:tplc="0409000F">
      <w:lvlJc w:val="left"/>
      <w:lvlText w:val="%4."/>
      <w:numFmt w:val="decimal"/>
      <w:pPr>
        <w:ind w:hanging="360" w:left="2662"/>
      </w:pPr>
      <w:start w:val="1"/>
    </w:lvl>
    <w:lvl w:ilvl="4" w:tentative="true" w:tplc="04090019">
      <w:lvlJc w:val="left"/>
      <w:lvlText w:val="%5."/>
      <w:numFmt w:val="lowerLetter"/>
      <w:pPr>
        <w:ind w:hanging="360" w:left="3382"/>
      </w:pPr>
      <w:start w:val="1"/>
    </w:lvl>
    <w:lvl w:ilvl="5" w:tentative="true" w:tplc="0409001B">
      <w:lvlJc w:val="right"/>
      <w:lvlText w:val="%6."/>
      <w:numFmt w:val="lowerRoman"/>
      <w:pPr>
        <w:ind w:hanging="180" w:left="4102"/>
      </w:pPr>
      <w:start w:val="1"/>
    </w:lvl>
    <w:lvl w:ilvl="6" w:tentative="true" w:tplc="0409000F">
      <w:lvlJc w:val="left"/>
      <w:lvlText w:val="%7."/>
      <w:numFmt w:val="decimal"/>
      <w:pPr>
        <w:ind w:hanging="360" w:left="4822"/>
      </w:pPr>
      <w:start w:val="1"/>
    </w:lvl>
    <w:lvl w:ilvl="7" w:tentative="true" w:tplc="04090019">
      <w:lvlJc w:val="left"/>
      <w:lvlText w:val="%8."/>
      <w:numFmt w:val="lowerLetter"/>
      <w:pPr>
        <w:ind w:hanging="360" w:left="5542"/>
      </w:pPr>
      <w:start w:val="1"/>
    </w:lvl>
    <w:lvl w:ilvl="8" w:tentative="true" w:tplc="0409001B">
      <w:lvlJc w:val="right"/>
      <w:lvlText w:val="%9."/>
      <w:numFmt w:val="lowerRoman"/>
      <w:pPr>
        <w:ind w:hanging="180" w:left="6262"/>
      </w:pPr>
      <w:start w:val="1"/>
    </w:lvl>
  </w:abstractNum>
  <w:abstractNum w:abstractNumId="24">
    <w:multiLevelType w:val="hybridMultilevel"/>
    <w:nsid w:val="5686144E"/>
    <w:lvl w:ilvl="0" w:tplc="04090017">
      <w:lvlJc w:val="left"/>
      <w:lvlText w:val="%1)"/>
      <w:numFmt w:val="lowerLetter"/>
      <w:pPr>
        <w:ind w:hanging="360" w:left="720"/>
      </w:p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25">
    <w:multiLevelType w:val="hybridMultilevel"/>
    <w:nsid w:val="5B52193D"/>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26">
    <w:multiLevelType w:val="hybridMultilevel"/>
    <w:nsid w:val="5D2D5589"/>
    <w:lvl w:ilvl="0" w:tplc="BC5E0B06">
      <w:lvlJc w:val="left"/>
      <w:lvlText w:val="%1."/>
      <w:numFmt w:val="lowerLetter"/>
      <w:pPr>
        <w:ind w:hanging="360" w:left="1080"/>
      </w:pPr>
      <w:rPr>
        <w:rFonts w:hint="default"/>
      </w:rPr>
      <w:start w:val="1"/>
    </w:lvl>
    <w:lvl w:ilvl="1" w:tentative="true" w:tplc="04090019">
      <w:lvlJc w:val="left"/>
      <w:lvlText w:val="%2."/>
      <w:numFmt w:val="lowerLetter"/>
      <w:pPr>
        <w:ind w:hanging="360" w:left="1800"/>
      </w:pPr>
      <w:start w:val="1"/>
    </w:lvl>
    <w:lvl w:ilvl="2" w:tentative="true" w:tplc="0409001B">
      <w:lvlJc w:val="right"/>
      <w:lvlText w:val="%3."/>
      <w:numFmt w:val="lowerRoman"/>
      <w:pPr>
        <w:ind w:hanging="180" w:left="2520"/>
      </w:pPr>
      <w:start w:val="1"/>
    </w:lvl>
    <w:lvl w:ilvl="3" w:tentative="true" w:tplc="0409000F">
      <w:lvlJc w:val="left"/>
      <w:lvlText w:val="%4."/>
      <w:numFmt w:val="decimal"/>
      <w:pPr>
        <w:ind w:hanging="360" w:left="3240"/>
      </w:pPr>
      <w:start w:val="1"/>
    </w:lvl>
    <w:lvl w:ilvl="4" w:tentative="true" w:tplc="04090019">
      <w:lvlJc w:val="left"/>
      <w:lvlText w:val="%5."/>
      <w:numFmt w:val="lowerLetter"/>
      <w:pPr>
        <w:ind w:hanging="360" w:left="3960"/>
      </w:pPr>
      <w:start w:val="1"/>
    </w:lvl>
    <w:lvl w:ilvl="5" w:tentative="true" w:tplc="0409001B">
      <w:lvlJc w:val="right"/>
      <w:lvlText w:val="%6."/>
      <w:numFmt w:val="lowerRoman"/>
      <w:pPr>
        <w:ind w:hanging="180" w:left="4680"/>
      </w:pPr>
      <w:start w:val="1"/>
    </w:lvl>
    <w:lvl w:ilvl="6" w:tentative="true" w:tplc="0409000F">
      <w:lvlJc w:val="left"/>
      <w:lvlText w:val="%7."/>
      <w:numFmt w:val="decimal"/>
      <w:pPr>
        <w:ind w:hanging="360" w:left="5400"/>
      </w:pPr>
      <w:start w:val="1"/>
    </w:lvl>
    <w:lvl w:ilvl="7" w:tentative="true" w:tplc="04090019">
      <w:lvlJc w:val="left"/>
      <w:lvlText w:val="%8."/>
      <w:numFmt w:val="lowerLetter"/>
      <w:pPr>
        <w:ind w:hanging="360" w:left="6120"/>
      </w:pPr>
      <w:start w:val="1"/>
    </w:lvl>
    <w:lvl w:ilvl="8" w:tentative="true" w:tplc="0409001B">
      <w:lvlJc w:val="right"/>
      <w:lvlText w:val="%9."/>
      <w:numFmt w:val="lowerRoman"/>
      <w:pPr>
        <w:ind w:hanging="180" w:left="6840"/>
      </w:pPr>
      <w:start w:val="1"/>
    </w:lvl>
  </w:abstractNum>
  <w:abstractNum w:abstractNumId="27">
    <w:multiLevelType w:val="multilevel"/>
    <w:nsid w:val="5F5629C2"/>
    <w:lvl w:ilvl="0">
      <w:lvlJc w:val="left"/>
      <w:lvlText w:val="%1"/>
      <w:numFmt w:val="decimal"/>
      <w:pPr>
        <w:ind w:hanging="360" w:left="360"/>
      </w:pPr>
      <w:rPr>
        <w:rFonts w:hint="default"/>
      </w:rPr>
      <w:start w:val="4"/>
    </w:lvl>
    <w:lvl w:ilvl="1">
      <w:lvlJc w:val="left"/>
      <w:lvlText w:val="%1.%2"/>
      <w:numFmt w:val="decimal"/>
      <w:pPr>
        <w:ind w:hanging="360" w:left="360"/>
      </w:pPr>
      <w:rPr>
        <w:rFonts w:hint="default"/>
      </w:rPr>
      <w:start w:val="8"/>
    </w:lvl>
    <w:lvl w:ilvl="2">
      <w:lvlJc w:val="left"/>
      <w:lvlText w:val="%1.%2.%3"/>
      <w:numFmt w:val="decimal"/>
      <w:pPr>
        <w:ind w:hanging="720" w:left="720"/>
      </w:pPr>
      <w:rPr>
        <w:rFonts w:hint="default"/>
      </w:rPr>
      <w:start w:val="1"/>
    </w:lvl>
    <w:lvl w:ilvl="3">
      <w:lvlJc w:val="left"/>
      <w:lvlText w:val="%1.%2.%3.%4"/>
      <w:numFmt w:val="decimal"/>
      <w:pPr>
        <w:ind w:hanging="1080" w:left="1080"/>
      </w:pPr>
      <w:rPr>
        <w:rFonts w:hint="default"/>
      </w:rPr>
      <w:start w:val="1"/>
    </w:lvl>
    <w:lvl w:ilvl="4">
      <w:lvlJc w:val="left"/>
      <w:lvlText w:val="%1.%2.%3.%4.%5"/>
      <w:numFmt w:val="decimal"/>
      <w:pPr>
        <w:ind w:hanging="1080" w:left="1080"/>
      </w:pPr>
      <w:rPr>
        <w:rFonts w:hint="default"/>
      </w:rPr>
      <w:start w:val="1"/>
    </w:lvl>
    <w:lvl w:ilvl="5">
      <w:lvlJc w:val="left"/>
      <w:lvlText w:val="%1.%2.%3.%4.%5.%6"/>
      <w:numFmt w:val="decimal"/>
      <w:pPr>
        <w:ind w:hanging="1440" w:left="1440"/>
      </w:pPr>
      <w:rPr>
        <w:rFonts w:hint="default"/>
      </w:rPr>
      <w:start w:val="1"/>
    </w:lvl>
    <w:lvl w:ilvl="6">
      <w:lvlJc w:val="left"/>
      <w:lvlText w:val="%1.%2.%3.%4.%5.%6.%7"/>
      <w:numFmt w:val="decimal"/>
      <w:pPr>
        <w:ind w:hanging="1440" w:left="1440"/>
      </w:pPr>
      <w:rPr>
        <w:rFonts w:hint="default"/>
      </w:rPr>
      <w:start w:val="1"/>
    </w:lvl>
    <w:lvl w:ilvl="7">
      <w:lvlJc w:val="left"/>
      <w:lvlText w:val="%1.%2.%3.%4.%5.%6.%7.%8"/>
      <w:numFmt w:val="decimal"/>
      <w:pPr>
        <w:ind w:hanging="1800" w:left="1800"/>
      </w:pPr>
      <w:rPr>
        <w:rFonts w:hint="default"/>
      </w:rPr>
      <w:start w:val="1"/>
    </w:lvl>
    <w:lvl w:ilvl="8">
      <w:lvlJc w:val="left"/>
      <w:lvlText w:val="%1.%2.%3.%4.%5.%6.%7.%8.%9"/>
      <w:numFmt w:val="decimal"/>
      <w:pPr>
        <w:ind w:hanging="1800" w:left="1800"/>
      </w:pPr>
      <w:rPr>
        <w:rFonts w:hint="default"/>
      </w:rPr>
      <w:start w:val="1"/>
    </w:lvl>
  </w:abstractNum>
  <w:abstractNum w:abstractNumId="28">
    <w:multiLevelType w:val="hybridMultilevel"/>
    <w:nsid w:val="649B640E"/>
    <w:lvl w:ilvl="0" w:tplc="9E104134">
      <w:lvlJc w:val="left"/>
      <w:lvlText w:val="%1."/>
      <w:numFmt w:val="decimal"/>
      <w:pPr>
        <w:ind w:hanging="360" w:left="590"/>
      </w:pPr>
      <w:rPr>
        <w:rFonts w:hint="default"/>
      </w:rPr>
      <w:start w:val="1"/>
    </w:lvl>
    <w:lvl w:ilvl="1" w:tentative="true" w:tplc="04090019">
      <w:lvlJc w:val="left"/>
      <w:lvlText w:val="%2."/>
      <w:numFmt w:val="lowerLetter"/>
      <w:pPr>
        <w:ind w:hanging="360" w:left="1310"/>
      </w:pPr>
      <w:start w:val="1"/>
    </w:lvl>
    <w:lvl w:ilvl="2" w:tentative="true" w:tplc="0409001B">
      <w:lvlJc w:val="right"/>
      <w:lvlText w:val="%3."/>
      <w:numFmt w:val="lowerRoman"/>
      <w:pPr>
        <w:ind w:hanging="180" w:left="2030"/>
      </w:pPr>
      <w:start w:val="1"/>
    </w:lvl>
    <w:lvl w:ilvl="3" w:tentative="true" w:tplc="0409000F">
      <w:lvlJc w:val="left"/>
      <w:lvlText w:val="%4."/>
      <w:numFmt w:val="decimal"/>
      <w:pPr>
        <w:ind w:hanging="360" w:left="2750"/>
      </w:pPr>
      <w:start w:val="1"/>
    </w:lvl>
    <w:lvl w:ilvl="4" w:tentative="true" w:tplc="04090019">
      <w:lvlJc w:val="left"/>
      <w:lvlText w:val="%5."/>
      <w:numFmt w:val="lowerLetter"/>
      <w:pPr>
        <w:ind w:hanging="360" w:left="3470"/>
      </w:pPr>
      <w:start w:val="1"/>
    </w:lvl>
    <w:lvl w:ilvl="5" w:tentative="true" w:tplc="0409001B">
      <w:lvlJc w:val="right"/>
      <w:lvlText w:val="%6."/>
      <w:numFmt w:val="lowerRoman"/>
      <w:pPr>
        <w:ind w:hanging="180" w:left="4190"/>
      </w:pPr>
      <w:start w:val="1"/>
    </w:lvl>
    <w:lvl w:ilvl="6" w:tentative="true" w:tplc="0409000F">
      <w:lvlJc w:val="left"/>
      <w:lvlText w:val="%7."/>
      <w:numFmt w:val="decimal"/>
      <w:pPr>
        <w:ind w:hanging="360" w:left="4910"/>
      </w:pPr>
      <w:start w:val="1"/>
    </w:lvl>
    <w:lvl w:ilvl="7" w:tentative="true" w:tplc="04090019">
      <w:lvlJc w:val="left"/>
      <w:lvlText w:val="%8."/>
      <w:numFmt w:val="lowerLetter"/>
      <w:pPr>
        <w:ind w:hanging="360" w:left="5630"/>
      </w:pPr>
      <w:start w:val="1"/>
    </w:lvl>
    <w:lvl w:ilvl="8" w:tentative="true" w:tplc="0409001B">
      <w:lvlJc w:val="right"/>
      <w:lvlText w:val="%9."/>
      <w:numFmt w:val="lowerRoman"/>
      <w:pPr>
        <w:ind w:hanging="180" w:left="6350"/>
      </w:pPr>
      <w:start w:val="1"/>
    </w:lvl>
  </w:abstractNum>
  <w:abstractNum w:abstractNumId="29">
    <w:multiLevelType w:val="hybridMultilevel"/>
    <w:nsid w:val="64A73314"/>
    <w:lvl w:ilvl="0" w:tplc="617C4842">
      <w:lvlJc w:val="left"/>
      <w:lvlText w:val="%1."/>
      <w:numFmt w:val="upperRoman"/>
      <w:pPr>
        <w:ind w:hanging="720" w:left="1008"/>
      </w:pPr>
      <w:rPr>
        <w:rFonts w:hint="default"/>
        <w:i/>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30">
    <w:multiLevelType w:val="hybridMultilevel"/>
    <w:nsid w:val="66006786"/>
    <w:lvl w:ilvl="0" w:tplc="44F4BAE4">
      <w:lvlJc w:val="left"/>
      <w:lvlText w:val="%1."/>
      <w:numFmt w:val="decimal"/>
      <w:pPr>
        <w:tabs>
          <w:tab w:val="num" w:pos="768"/>
        </w:tabs>
        <w:ind w:hanging="408" w:left="768"/>
      </w:pPr>
      <w:rPr>
        <w:rFonts w:hint="default"/>
      </w:rPr>
      <w:start w:val="1"/>
    </w:lvl>
    <w:lvl w:ilvl="1" w:tentative="true" w:tplc="04090019">
      <w:lvlJc w:val="left"/>
      <w:lvlText w:val="%2."/>
      <w:numFmt w:val="lowerLetter"/>
      <w:pPr>
        <w:tabs>
          <w:tab w:val="num" w:pos="1440"/>
        </w:tabs>
        <w:ind w:hanging="360" w:left="1440"/>
      </w:pPr>
      <w:start w:val="1"/>
    </w:lvl>
    <w:lvl w:ilvl="2" w:tentative="true" w:tplc="0409001B">
      <w:lvlJc w:val="right"/>
      <w:lvlText w:val="%3."/>
      <w:numFmt w:val="lowerRoman"/>
      <w:pPr>
        <w:tabs>
          <w:tab w:val="num" w:pos="2160"/>
        </w:tabs>
        <w:ind w:hanging="180" w:left="2160"/>
      </w:pPr>
      <w:start w:val="1"/>
    </w:lvl>
    <w:lvl w:ilvl="3" w:tentative="true" w:tplc="0409000F">
      <w:lvlJc w:val="left"/>
      <w:lvlText w:val="%4."/>
      <w:numFmt w:val="decimal"/>
      <w:pPr>
        <w:tabs>
          <w:tab w:val="num" w:pos="2880"/>
        </w:tabs>
        <w:ind w:hanging="360" w:left="2880"/>
      </w:pPr>
      <w:start w:val="1"/>
    </w:lvl>
    <w:lvl w:ilvl="4" w:tentative="true" w:tplc="04090019">
      <w:lvlJc w:val="left"/>
      <w:lvlText w:val="%5."/>
      <w:numFmt w:val="lowerLetter"/>
      <w:pPr>
        <w:tabs>
          <w:tab w:val="num" w:pos="3600"/>
        </w:tabs>
        <w:ind w:hanging="360" w:left="3600"/>
      </w:pPr>
      <w:start w:val="1"/>
    </w:lvl>
    <w:lvl w:ilvl="5" w:tentative="true" w:tplc="0409001B">
      <w:lvlJc w:val="right"/>
      <w:lvlText w:val="%6."/>
      <w:numFmt w:val="lowerRoman"/>
      <w:pPr>
        <w:tabs>
          <w:tab w:val="num" w:pos="4320"/>
        </w:tabs>
        <w:ind w:hanging="180" w:left="4320"/>
      </w:pPr>
      <w:start w:val="1"/>
    </w:lvl>
    <w:lvl w:ilvl="6" w:tentative="true" w:tplc="0409000F">
      <w:lvlJc w:val="left"/>
      <w:lvlText w:val="%7."/>
      <w:numFmt w:val="decimal"/>
      <w:pPr>
        <w:tabs>
          <w:tab w:val="num" w:pos="5040"/>
        </w:tabs>
        <w:ind w:hanging="360" w:left="5040"/>
      </w:pPr>
      <w:start w:val="1"/>
    </w:lvl>
    <w:lvl w:ilvl="7" w:tentative="true" w:tplc="04090019">
      <w:lvlJc w:val="left"/>
      <w:lvlText w:val="%8."/>
      <w:numFmt w:val="lowerLetter"/>
      <w:pPr>
        <w:tabs>
          <w:tab w:val="num" w:pos="5760"/>
        </w:tabs>
        <w:ind w:hanging="360" w:left="5760"/>
      </w:pPr>
      <w:start w:val="1"/>
    </w:lvl>
    <w:lvl w:ilvl="8" w:tentative="true" w:tplc="0409001B">
      <w:lvlJc w:val="right"/>
      <w:lvlText w:val="%9."/>
      <w:numFmt w:val="lowerRoman"/>
      <w:pPr>
        <w:tabs>
          <w:tab w:val="num" w:pos="6480"/>
        </w:tabs>
        <w:ind w:hanging="180" w:left="6480"/>
      </w:pPr>
      <w:start w:val="1"/>
    </w:lvl>
  </w:abstractNum>
  <w:abstractNum w:abstractNumId="31">
    <w:multiLevelType w:val="hybridMultilevel"/>
    <w:nsid w:val="6B3F0CBD"/>
    <w:lvl w:ilvl="0" w:tplc="768C49E8">
      <w:lvlJc w:val="left"/>
      <w:lvlText w:val="%1."/>
      <w:numFmt w:val="upperLetter"/>
      <w:pPr>
        <w:ind w:hanging="360" w:left="644"/>
      </w:pPr>
      <w:rPr>
        <w:rFonts w:hint="default"/>
      </w:rPr>
      <w:start w:val="1"/>
    </w:lvl>
    <w:lvl w:ilvl="1" w:tentative="true" w:tplc="08090019">
      <w:lvlJc w:val="left"/>
      <w:lvlText w:val="%2."/>
      <w:numFmt w:val="lowerLetter"/>
      <w:pPr>
        <w:ind w:hanging="360" w:left="1364"/>
      </w:pPr>
      <w:start w:val="1"/>
    </w:lvl>
    <w:lvl w:ilvl="2" w:tentative="true" w:tplc="0809001B">
      <w:lvlJc w:val="right"/>
      <w:lvlText w:val="%3."/>
      <w:numFmt w:val="lowerRoman"/>
      <w:pPr>
        <w:ind w:hanging="180" w:left="2084"/>
      </w:pPr>
      <w:start w:val="1"/>
    </w:lvl>
    <w:lvl w:ilvl="3" w:tentative="true" w:tplc="0809000F">
      <w:lvlJc w:val="left"/>
      <w:lvlText w:val="%4."/>
      <w:numFmt w:val="decimal"/>
      <w:pPr>
        <w:ind w:hanging="360" w:left="2804"/>
      </w:pPr>
      <w:start w:val="1"/>
    </w:lvl>
    <w:lvl w:ilvl="4" w:tentative="true" w:tplc="08090019">
      <w:lvlJc w:val="left"/>
      <w:lvlText w:val="%5."/>
      <w:numFmt w:val="lowerLetter"/>
      <w:pPr>
        <w:ind w:hanging="360" w:left="3524"/>
      </w:pPr>
      <w:start w:val="1"/>
    </w:lvl>
    <w:lvl w:ilvl="5" w:tentative="true" w:tplc="0809001B">
      <w:lvlJc w:val="right"/>
      <w:lvlText w:val="%6."/>
      <w:numFmt w:val="lowerRoman"/>
      <w:pPr>
        <w:ind w:hanging="180" w:left="4244"/>
      </w:pPr>
      <w:start w:val="1"/>
    </w:lvl>
    <w:lvl w:ilvl="6" w:tentative="true" w:tplc="0809000F">
      <w:lvlJc w:val="left"/>
      <w:lvlText w:val="%7."/>
      <w:numFmt w:val="decimal"/>
      <w:pPr>
        <w:ind w:hanging="360" w:left="4964"/>
      </w:pPr>
      <w:start w:val="1"/>
    </w:lvl>
    <w:lvl w:ilvl="7" w:tentative="true" w:tplc="08090019">
      <w:lvlJc w:val="left"/>
      <w:lvlText w:val="%8."/>
      <w:numFmt w:val="lowerLetter"/>
      <w:pPr>
        <w:ind w:hanging="360" w:left="5684"/>
      </w:pPr>
      <w:start w:val="1"/>
    </w:lvl>
    <w:lvl w:ilvl="8" w:tentative="true" w:tplc="0809001B">
      <w:lvlJc w:val="right"/>
      <w:lvlText w:val="%9."/>
      <w:numFmt w:val="lowerRoman"/>
      <w:pPr>
        <w:ind w:hanging="180" w:left="6404"/>
      </w:pPr>
      <w:start w:val="1"/>
    </w:lvl>
  </w:abstractNum>
  <w:abstractNum w:abstractNumId="32">
    <w:multiLevelType w:val="hybridMultilevel"/>
    <w:nsid w:val="6DB34322"/>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33">
    <w:multiLevelType w:val="hybridMultilevel"/>
    <w:nsid w:val="75940808"/>
    <w:lvl w:ilvl="0" w:tplc="0409000F">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abstractNum w:abstractNumId="34">
    <w:multiLevelType w:val="hybridMultilevel"/>
    <w:nsid w:val="76E743D8"/>
    <w:lvl w:ilvl="0" w:tplc="63DEC1FC">
      <w:lvlJc w:val="left"/>
      <w:lvlText w:val="%1)"/>
      <w:numFmt w:val="lowerLetter"/>
      <w:pPr>
        <w:ind w:hanging="360" w:left="417"/>
      </w:pPr>
      <w:rPr>
        <w:rFonts w:hint="default"/>
      </w:rPr>
      <w:start w:val="1"/>
    </w:lvl>
    <w:lvl w:ilvl="1" w:tentative="true" w:tplc="04090019">
      <w:lvlJc w:val="left"/>
      <w:lvlText w:val="%2."/>
      <w:numFmt w:val="lowerLetter"/>
      <w:pPr>
        <w:ind w:hanging="360" w:left="1137"/>
      </w:pPr>
      <w:start w:val="1"/>
    </w:lvl>
    <w:lvl w:ilvl="2" w:tentative="true" w:tplc="0409001B">
      <w:lvlJc w:val="right"/>
      <w:lvlText w:val="%3."/>
      <w:numFmt w:val="lowerRoman"/>
      <w:pPr>
        <w:ind w:hanging="180" w:left="1857"/>
      </w:pPr>
      <w:start w:val="1"/>
    </w:lvl>
    <w:lvl w:ilvl="3" w:tentative="true" w:tplc="0409000F">
      <w:lvlJc w:val="left"/>
      <w:lvlText w:val="%4."/>
      <w:numFmt w:val="decimal"/>
      <w:pPr>
        <w:ind w:hanging="360" w:left="2577"/>
      </w:pPr>
      <w:start w:val="1"/>
    </w:lvl>
    <w:lvl w:ilvl="4" w:tentative="true" w:tplc="04090019">
      <w:lvlJc w:val="left"/>
      <w:lvlText w:val="%5."/>
      <w:numFmt w:val="lowerLetter"/>
      <w:pPr>
        <w:ind w:hanging="360" w:left="3297"/>
      </w:pPr>
      <w:start w:val="1"/>
    </w:lvl>
    <w:lvl w:ilvl="5" w:tentative="true" w:tplc="0409001B">
      <w:lvlJc w:val="right"/>
      <w:lvlText w:val="%6."/>
      <w:numFmt w:val="lowerRoman"/>
      <w:pPr>
        <w:ind w:hanging="180" w:left="4017"/>
      </w:pPr>
      <w:start w:val="1"/>
    </w:lvl>
    <w:lvl w:ilvl="6" w:tentative="true" w:tplc="0409000F">
      <w:lvlJc w:val="left"/>
      <w:lvlText w:val="%7."/>
      <w:numFmt w:val="decimal"/>
      <w:pPr>
        <w:ind w:hanging="360" w:left="4737"/>
      </w:pPr>
      <w:start w:val="1"/>
    </w:lvl>
    <w:lvl w:ilvl="7" w:tentative="true" w:tplc="04090019">
      <w:lvlJc w:val="left"/>
      <w:lvlText w:val="%8."/>
      <w:numFmt w:val="lowerLetter"/>
      <w:pPr>
        <w:ind w:hanging="360" w:left="5457"/>
      </w:pPr>
      <w:start w:val="1"/>
    </w:lvl>
    <w:lvl w:ilvl="8" w:tentative="true" w:tplc="0409001B">
      <w:lvlJc w:val="right"/>
      <w:lvlText w:val="%9."/>
      <w:numFmt w:val="lowerRoman"/>
      <w:pPr>
        <w:ind w:hanging="180" w:left="6177"/>
      </w:pPr>
      <w:start w:val="1"/>
    </w:lvl>
  </w:abstractNum>
  <w:abstractNum w:abstractNumId="35">
    <w:multiLevelType w:val="hybridMultilevel"/>
    <w:nsid w:val="77747C88"/>
    <w:lvl w:ilvl="0" w:tplc="41AA6E28">
      <w:lvlJc w:val="left"/>
      <w:lvlText w:val="%1."/>
      <w:numFmt w:val="decimal"/>
      <w:pPr>
        <w:ind w:hanging="360" w:left="648"/>
      </w:pPr>
      <w:rPr>
        <w:rFonts w:hint="default"/>
      </w:rPr>
      <w:start w:val="1"/>
    </w:lvl>
    <w:lvl w:ilvl="1" w:tentative="true" w:tplc="04090019">
      <w:lvlJc w:val="left"/>
      <w:lvlText w:val="%2."/>
      <w:numFmt w:val="lowerLetter"/>
      <w:pPr>
        <w:ind w:hanging="360" w:left="1368"/>
      </w:pPr>
      <w:start w:val="1"/>
    </w:lvl>
    <w:lvl w:ilvl="2" w:tentative="true" w:tplc="0409001B">
      <w:lvlJc w:val="right"/>
      <w:lvlText w:val="%3."/>
      <w:numFmt w:val="lowerRoman"/>
      <w:pPr>
        <w:ind w:hanging="180" w:left="2088"/>
      </w:pPr>
      <w:start w:val="1"/>
    </w:lvl>
    <w:lvl w:ilvl="3" w:tentative="true" w:tplc="0409000F">
      <w:lvlJc w:val="left"/>
      <w:lvlText w:val="%4."/>
      <w:numFmt w:val="decimal"/>
      <w:pPr>
        <w:ind w:hanging="360" w:left="2808"/>
      </w:pPr>
      <w:start w:val="1"/>
    </w:lvl>
    <w:lvl w:ilvl="4" w:tentative="true" w:tplc="04090019">
      <w:lvlJc w:val="left"/>
      <w:lvlText w:val="%5."/>
      <w:numFmt w:val="lowerLetter"/>
      <w:pPr>
        <w:ind w:hanging="360" w:left="3528"/>
      </w:pPr>
      <w:start w:val="1"/>
    </w:lvl>
    <w:lvl w:ilvl="5" w:tentative="true" w:tplc="0409001B">
      <w:lvlJc w:val="right"/>
      <w:lvlText w:val="%6."/>
      <w:numFmt w:val="lowerRoman"/>
      <w:pPr>
        <w:ind w:hanging="180" w:left="4248"/>
      </w:pPr>
      <w:start w:val="1"/>
    </w:lvl>
    <w:lvl w:ilvl="6" w:tentative="true" w:tplc="0409000F">
      <w:lvlJc w:val="left"/>
      <w:lvlText w:val="%7."/>
      <w:numFmt w:val="decimal"/>
      <w:pPr>
        <w:ind w:hanging="360" w:left="4968"/>
      </w:pPr>
      <w:start w:val="1"/>
    </w:lvl>
    <w:lvl w:ilvl="7" w:tentative="true" w:tplc="04090019">
      <w:lvlJc w:val="left"/>
      <w:lvlText w:val="%8."/>
      <w:numFmt w:val="lowerLetter"/>
      <w:pPr>
        <w:ind w:hanging="360" w:left="5688"/>
      </w:pPr>
      <w:start w:val="1"/>
    </w:lvl>
    <w:lvl w:ilvl="8" w:tentative="true" w:tplc="0409001B">
      <w:lvlJc w:val="right"/>
      <w:lvlText w:val="%9."/>
      <w:numFmt w:val="lowerRoman"/>
      <w:pPr>
        <w:ind w:hanging="180" w:left="6408"/>
      </w:pPr>
      <w:start w:val="1"/>
    </w:lvl>
  </w:abstractNum>
  <w:abstractNum w:abstractNumId="36">
    <w:multiLevelType w:val="hybridMultilevel"/>
    <w:nsid w:val="7D050641"/>
    <w:lvl w:ilvl="0" w:tplc="0DB2DE78">
      <w:lvlJc w:val="left"/>
      <w:lvlText w:val="%1"/>
      <w:numFmt w:val="decimal"/>
      <w:pPr>
        <w:ind w:hanging="360" w:left="720"/>
      </w:pPr>
      <w:rPr>
        <w:rFonts w:hint="default"/>
      </w:rPr>
      <w:start w:val="1"/>
    </w:lvl>
    <w:lvl w:ilvl="1" w:tentative="true" w:tplc="04090019">
      <w:lvlJc w:val="left"/>
      <w:lvlText w:val="%2."/>
      <w:numFmt w:val="lowerLetter"/>
      <w:pPr>
        <w:ind w:hanging="360" w:left="1440"/>
      </w:pPr>
      <w:start w:val="1"/>
    </w:lvl>
    <w:lvl w:ilvl="2" w:tentative="true" w:tplc="0409001B">
      <w:lvlJc w:val="right"/>
      <w:lvlText w:val="%3."/>
      <w:numFmt w:val="lowerRoman"/>
      <w:pPr>
        <w:ind w:hanging="180" w:left="2160"/>
      </w:pPr>
      <w:start w:val="1"/>
    </w:lvl>
    <w:lvl w:ilvl="3" w:tentative="true" w:tplc="0409000F">
      <w:lvlJc w:val="left"/>
      <w:lvlText w:val="%4."/>
      <w:numFmt w:val="decimal"/>
      <w:pPr>
        <w:ind w:hanging="360" w:left="2880"/>
      </w:pPr>
      <w:start w:val="1"/>
    </w:lvl>
    <w:lvl w:ilvl="4" w:tentative="true" w:tplc="04090019">
      <w:lvlJc w:val="left"/>
      <w:lvlText w:val="%5."/>
      <w:numFmt w:val="lowerLetter"/>
      <w:pPr>
        <w:ind w:hanging="360" w:left="3600"/>
      </w:pPr>
      <w:start w:val="1"/>
    </w:lvl>
    <w:lvl w:ilvl="5" w:tentative="true" w:tplc="0409001B">
      <w:lvlJc w:val="right"/>
      <w:lvlText w:val="%6."/>
      <w:numFmt w:val="lowerRoman"/>
      <w:pPr>
        <w:ind w:hanging="180" w:left="4320"/>
      </w:pPr>
      <w:start w:val="1"/>
    </w:lvl>
    <w:lvl w:ilvl="6" w:tentative="true" w:tplc="0409000F">
      <w:lvlJc w:val="left"/>
      <w:lvlText w:val="%7."/>
      <w:numFmt w:val="decimal"/>
      <w:pPr>
        <w:ind w:hanging="360" w:left="5040"/>
      </w:pPr>
      <w:start w:val="1"/>
    </w:lvl>
    <w:lvl w:ilvl="7" w:tentative="true" w:tplc="04090019">
      <w:lvlJc w:val="left"/>
      <w:lvlText w:val="%8."/>
      <w:numFmt w:val="lowerLetter"/>
      <w:pPr>
        <w:ind w:hanging="360" w:left="5760"/>
      </w:pPr>
      <w:start w:val="1"/>
    </w:lvl>
    <w:lvl w:ilvl="8" w:tentative="true" w:tplc="0409001B">
      <w:lvlJc w:val="right"/>
      <w:lvlText w:val="%9."/>
      <w:numFmt w:val="lowerRoman"/>
      <w:pPr>
        <w:ind w:hanging="180" w:left="6480"/>
      </w:pPr>
      <w:start w:val="1"/>
    </w:lvl>
  </w:abstractNum>
  <w:num w:numId="1">
    <w:abstractNumId w:val="12"/>
  </w:num>
  <w:num w:numId="2">
    <w:abstractNumId w:val="30"/>
  </w:num>
  <w:num w:numId="3">
    <w:abstractNumId w:val="19"/>
  </w:num>
  <w:num w:numId="4">
    <w:abstractNumId w:val="34"/>
  </w:num>
  <w:num w:numId="5">
    <w:abstractNumId w:val="24"/>
  </w:num>
  <w:num w:numId="6">
    <w:abstractNumId w:val="3"/>
  </w:num>
  <w:num w:numId="7">
    <w:abstractNumId w:val="27"/>
  </w:num>
  <w:num w:numId="8">
    <w:abstractNumId w:val="21"/>
  </w:num>
  <w:num w:numId="9">
    <w:abstractNumId w:val="9"/>
  </w:num>
  <w:num w:numId="10">
    <w:abstractNumId w:val="0"/>
  </w:num>
  <w:num w:numId="11">
    <w:abstractNumId w:val="15"/>
  </w:num>
  <w:num w:numId="12">
    <w:abstractNumId w:val="31"/>
  </w:num>
  <w:num w:numId="13">
    <w:abstractNumId w:val="11"/>
  </w:num>
  <w:num w:numId="14">
    <w:abstractNumId w:val="16"/>
  </w:num>
  <w:num w:numId="15">
    <w:abstractNumId w:val="17"/>
  </w:num>
  <w:num w:numId="16">
    <w:abstractNumId w:val="32"/>
  </w:num>
  <w:num w:numId="17">
    <w:abstractNumId w:val="28"/>
  </w:num>
  <w:num w:numId="18">
    <w:abstractNumId w:val="6"/>
  </w:num>
  <w:num w:numId="19">
    <w:abstractNumId w:val="5"/>
  </w:num>
  <w:num w:numId="20">
    <w:abstractNumId w:val="23"/>
  </w:num>
  <w:num w:numId="21">
    <w:abstractNumId w:val="33"/>
  </w:num>
  <w:num w:numId="22">
    <w:abstractNumId w:val="14"/>
  </w:num>
  <w:num w:numId="23">
    <w:abstractNumId w:val="8"/>
  </w:num>
  <w:num w:numId="24">
    <w:abstractNumId w:val="13"/>
  </w:num>
  <w:num w:numId="25">
    <w:abstractNumId w:val="26"/>
  </w:num>
  <w:num w:numId="26">
    <w:abstractNumId w:val="22"/>
  </w:num>
  <w:num w:numId="27">
    <w:abstractNumId w:val="4"/>
  </w:num>
  <w:num w:numId="28">
    <w:abstractNumId w:val="20"/>
  </w:num>
  <w:num w:numId="29">
    <w:abstractNumId w:val="29"/>
  </w:num>
  <w:num w:numId="30">
    <w:abstractNumId w:val="18"/>
  </w:num>
  <w:num w:numId="31">
    <w:abstractNumId w:val="1"/>
  </w:num>
  <w:num w:numId="32">
    <w:abstractNumId w:val="25"/>
  </w:num>
  <w:num w:numId="33">
    <w:abstractNumId w:val="36"/>
  </w:num>
  <w:num w:numId="34">
    <w:abstractNumId w:val="7"/>
  </w:num>
  <w:num w:numId="35">
    <w:abstractNumId w:val="10"/>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2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Normal" w:default="1">
    <w:name w:val="Normal"/>
    <w:qFormat/>
    <w:pPr>
      <w:spacing w:line="240" w:lineRule="atLeast"/>
      <w:ind w:firstLine="288"/>
      <w:jc w:val="both"/>
    </w:pPr>
    <w:rPr>
      <w:rFonts w:ascii="New Century Schoolbook" w:hAnsi="New Century Schoolbook"/>
      <w:bCs/>
      <w:color w:val="000000"/>
      <w:kern w:val="20"/>
      <w:sz w:val="22"/>
      <w:lang w:val="ro-RO"/>
    </w:rPr>
  </w:style>
  <w:style w:type="paragraph" w:styleId="Heading1">
    <w:name w:val="heading 1"/>
    <w:basedOn w:val="Normal"/>
    <w:next w:val="Normal"/>
    <w:link w:val="Heading1Char"/>
    <w:autoRedefine/>
    <w:uiPriority w:val="99"/>
    <w:qFormat/>
    <w:pPr>
      <w:keepNext w:val="true"/>
      <w:ind w:firstLine="0"/>
      <w:jc w:val="center"/>
      <w:outlineLvl w:val="0"/>
    </w:pPr>
    <w:rPr>
      <w:rFonts w:ascii="Arial" w:hAnsi="Arial"/>
      <w:b/>
      <w:sz w:val="36"/>
      <w:szCs w:val="36"/>
    </w:rPr>
  </w:style>
  <w:style w:type="paragraph" w:styleId="Heading2">
    <w:name w:val="heading 2"/>
    <w:basedOn w:val="Normal"/>
    <w:next w:val="Normal"/>
    <w:link w:val="Heading2Char"/>
    <w:autoRedefine/>
    <w:uiPriority w:val="99"/>
    <w:qFormat/>
    <w:pPr>
      <w:keepNext w:val="true"/>
      <w:ind w:firstLine="0" w:left="227"/>
      <w:jc w:val="center"/>
      <w:outlineLvl w:val="1"/>
    </w:pPr>
    <w:rPr>
      <w:rFonts w:ascii="Arial" w:hAnsi="Arial"/>
      <w:b/>
      <w:i/>
      <w:sz w:val="48"/>
      <w:szCs w:val="48"/>
    </w:rPr>
  </w:style>
  <w:style w:type="paragraph" w:styleId="Heading3">
    <w:name w:val="heading 3"/>
    <w:basedOn w:val="Normal"/>
    <w:next w:val="Normal"/>
    <w:link w:val="Heading3Char"/>
    <w:uiPriority w:val="99"/>
    <w:qFormat/>
    <w:pPr>
      <w:keepNext w:val="true"/>
      <w:ind w:right="137" w:firstLine="0"/>
      <w:outlineLvl w:val="2"/>
    </w:pPr>
    <w:rPr>
      <w:b/>
      <w:i/>
    </w:rPr>
  </w:style>
  <w:style w:type="paragraph" w:styleId="Heading4">
    <w:name w:val="heading 4"/>
    <w:basedOn w:val="Normal"/>
    <w:next w:val="Normal"/>
    <w:link w:val="Heading4Char"/>
    <w:autoRedefine/>
    <w:uiPriority w:val="99"/>
    <w:qFormat/>
    <w:pPr>
      <w:keepNext w:val="true"/>
      <w:ind w:firstLine="144"/>
      <w:jc w:val="left"/>
      <w:outlineLvl w:val="3"/>
    </w:pPr>
    <w:rPr>
      <w:i/>
    </w:rPr>
  </w:style>
  <w:style w:type="paragraph" w:styleId="Heading5">
    <w:name w:val="heading 5"/>
    <w:basedOn w:val="Normal"/>
    <w:next w:val="Normal"/>
    <w:link w:val="Heading5Char"/>
    <w:uiPriority w:val="99"/>
    <w:qFormat/>
    <w:pPr>
      <w:keepNext w:val="true"/>
      <w:outlineLvl w:val="4"/>
    </w:pPr>
    <w:rPr>
      <w:i/>
    </w:rPr>
  </w:style>
  <w:style w:type="paragraph" w:styleId="Heading6">
    <w:name w:val="heading 6"/>
    <w:basedOn w:val="Normal"/>
    <w:next w:val="Normal"/>
    <w:link w:val="Heading6Char"/>
    <w:uiPriority w:val="99"/>
    <w:qFormat/>
    <w:pPr>
      <w:keepNext w:val="true"/>
      <w:outlineLvl w:val="5"/>
    </w:pPr>
    <w:rPr>
      <w:b/>
      <w:sz w:val="23"/>
    </w:rPr>
  </w:style>
  <w:style w:type="paragraph" w:styleId="Heading7">
    <w:name w:val="heading 7"/>
    <w:basedOn w:val="Normal"/>
    <w:next w:val="Normal"/>
    <w:link w:val="Heading7Char"/>
    <w:uiPriority w:val="99"/>
    <w:qFormat/>
    <w:pPr>
      <w:keepNext w:val="true"/>
      <w:outlineLvl w:val="6"/>
    </w:pPr>
    <w:rPr>
      <w:b/>
      <w:bCs w:val="0"/>
    </w:rPr>
  </w:style>
  <w:style w:type="paragraph" w:styleId="Heading8">
    <w:name w:val="heading 8"/>
    <w:basedOn w:val="Normal"/>
    <w:next w:val="Normal"/>
    <w:link w:val="Heading8Char"/>
    <w:uiPriority w:val="99"/>
    <w:qFormat/>
    <w:pPr>
      <w:keepNext w:val="true"/>
      <w:outlineLvl w:val="7"/>
    </w:pPr>
    <w:rPr>
      <w:i/>
      <w:iCs/>
      <w:lang w:val="fr-FR"/>
    </w:rPr>
  </w:style>
  <w:style w:type="paragraph" w:styleId="Heading9">
    <w:name w:val="heading 9"/>
    <w:basedOn w:val="Normal"/>
    <w:next w:val="Normal"/>
    <w:link w:val="Heading9Char"/>
    <w:uiPriority w:val="99"/>
    <w:qFormat/>
    <w:pPr>
      <w:keepNext w:val="true"/>
      <w:ind w:firstLine="0"/>
      <w:outlineLvl w:val="8"/>
    </w:pPr>
    <w:rPr>
      <w:i/>
      <w:iCs/>
      <w:sz w:val="20"/>
      <w:lang w:val="fr-F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left w:w="108" w:type="dxa"/>
        <w:top w:w="0" w:type="dxa"/>
        <w:right w:w="108" w:type="dxa"/>
        <w:bottom w:w="0" w:type="dxa"/>
      </w:tblCellMar>
    </w:tblPr>
  </w:style>
  <w:style w:type="numbering" w:styleId="NoList" w:default="1">
    <w:name w:val="No List"/>
    <w:uiPriority w:val="99"/>
    <w:semiHidden/>
    <w:unhideWhenUsed/>
  </w:style>
  <w:style w:type="paragraph" w:styleId="FootnoteText">
    <w:name w:val="footnote text"/>
    <w:basedOn w:val="Normal"/>
    <w:link w:val="FootnoteTextChar"/>
    <w:uiPriority w:val="99"/>
    <w:semiHidden/>
    <w:rPr>
      <w:sz w:val="20"/>
    </w:rPr>
  </w:style>
  <w:style w:type="character" w:styleId="FootnoteReference">
    <w:name w:val="footnote reference"/>
    <w:semiHidden/>
    <w:rPr>
      <w:rFonts w:ascii="New Century Schoolbook" w:hAnsi="New Century Schoolbook"/>
      <w:spacing w:val="0"/>
      <w:sz w:val="18"/>
      <w:vertAlign w:val="superscript"/>
    </w:rPr>
  </w:style>
  <w:style w:type="paragraph" w:styleId="DocumentMap">
    <w:name w:val="Document Map"/>
    <w:basedOn w:val="Normal"/>
    <w:link w:val="DocumentMapChar"/>
    <w:uiPriority w:val="99"/>
    <w:semiHidden/>
    <w:pPr>
      <w:shd w:val="clear" w:color="auto" w:fill="000080"/>
    </w:pPr>
    <w:rPr>
      <w:rFonts w:ascii="Tahoma" w:hAnsi="Tahoma"/>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BodyText">
    <w:name w:val="Body Text"/>
    <w:basedOn w:val="Normal"/>
    <w:link w:val="BodyTextChar"/>
    <w:autoRedefine/>
    <w:uiPriority w:val="99"/>
    <w:pPr>
      <w:spacing w:after="120" w:before="120"/>
      <w:ind w:right="680" w:firstLine="0" w:left="680"/>
    </w:pPr>
    <w:rPr>
      <w:sz w:val="18"/>
    </w:rPr>
  </w:style>
  <w:style w:type="paragraph" w:styleId="BodyTextIndent">
    <w:name w:val="Body Text Indent"/>
    <w:basedOn w:val="Normal"/>
    <w:link w:val="BodyTextIndentChar"/>
    <w:autoRedefine/>
    <w:uiPriority w:val="99"/>
    <w:pPr>
      <w:ind w:firstLine="0"/>
    </w:pPr>
    <w:rPr>
      <w:sz w:val="20"/>
    </w:rPr>
  </w:style>
  <w:style w:type="paragraph" w:styleId="BodyTextIndent2">
    <w:name w:val="Body Text Indent 2"/>
    <w:aliases w:val="Body Text Indent 2 Char"/>
    <w:basedOn w:val="Normal"/>
    <w:link w:val="BodyTextIndent2Char1"/>
    <w:uiPriority w:val="99"/>
    <w:rPr>
      <w:rFonts w:ascii="Times New Roman" w:hAnsi="Times New Roman"/>
      <w:lang w:val="en-US"/>
    </w:rPr>
  </w:style>
  <w:style w:type="paragraph" w:styleId="PlainText">
    <w:name w:val="Plain Text"/>
    <w:basedOn w:val="Normal"/>
    <w:link w:val="PlainTextChar"/>
    <w:uiPriority w:val="99"/>
    <w:pPr>
      <w:tabs>
        <w:tab w:val="left" w:pos="360"/>
      </w:tabs>
    </w:pPr>
    <w:rPr>
      <w:rFonts w:ascii="Courier New" w:hAnsi="Courier New" w:cs="Courier New"/>
    </w:rPr>
  </w:style>
  <w:style w:type="character" w:styleId="Hyperlink">
    <w:name w:val="Hyperlink"/>
    <w:uiPriority w:val="99"/>
    <w:rPr>
      <w:color w:val="0000ff"/>
      <w:u w:val="single"/>
    </w:rPr>
  </w:style>
  <w:style w:type="paragraph" w:styleId="NormalWeb">
    <w:name w:val="Normal (Web)"/>
    <w:basedOn w:val="Normal"/>
    <w:uiPriority w:val="99"/>
    <w:pPr>
      <w:spacing w:after="100" w:afterAutospacing="1" w:before="100" w:beforeAutospacing="1"/>
      <w:ind w:firstLine="0"/>
    </w:pPr>
    <w:rPr>
      <w:szCs w:val="24"/>
      <w:lang w:eastAsia="ro-RO"/>
    </w:rPr>
  </w:style>
  <w:style w:type="paragraph" w:styleId="BodyTextIndent3">
    <w:name w:val="Body Text Indent 3"/>
    <w:basedOn w:val="Normal"/>
    <w:link w:val="BodyTextIndent3Char"/>
    <w:uiPriority w:val="99"/>
    <w:rPr>
      <w:b/>
    </w:rPr>
  </w:style>
  <w:style w:type="character" w:styleId="FollowedHyperlink">
    <w:name w:val="FollowedHyperlink"/>
    <w:uiPriority w:val="99"/>
    <w:rPr>
      <w:color w:val="800080"/>
      <w:u w:val="single"/>
    </w:rPr>
  </w:style>
  <w:style w:type="paragraph" w:styleId="BodyText2">
    <w:name w:val="Body Text 2"/>
    <w:basedOn w:val="Normal"/>
    <w:link w:val="BodyText2Char"/>
    <w:uiPriority w:val="99"/>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ind w:firstLine="0"/>
    </w:pPr>
    <w:rPr>
      <w:bCs w:val="0"/>
      <w:color w:val="auto"/>
      <w:kern w:val="0"/>
      <w:lang w:eastAsia="ro-RO"/>
    </w:rPr>
  </w:style>
  <w:style w:type="paragraph" w:styleId="author" w:customStyle="1">
    <w:name w:val="author"/>
    <w:basedOn w:val="Normal"/>
    <w:uiPriority w:val="99"/>
    <w:pPr>
      <w:spacing w:after="100" w:afterAutospacing="1" w:before="100" w:beforeAutospacing="1"/>
      <w:ind w:firstLine="0"/>
    </w:pPr>
    <w:rPr>
      <w:rFonts w:ascii="Arial Unicode MS" w:hAnsi="Arial Unicode MS" w:eastAsia="Arial Unicode MS" w:cs="Arial Unicode MS"/>
      <w:bCs w:val="0"/>
      <w:color w:val="auto"/>
      <w:kern w:val="0"/>
      <w:szCs w:val="24"/>
      <w:lang w:eastAsia="ro-RO"/>
    </w:rPr>
  </w:style>
  <w:style w:type="paragraph" w:styleId="dateline" w:customStyle="1">
    <w:name w:val="dateline"/>
    <w:basedOn w:val="Normal"/>
    <w:uiPriority w:val="99"/>
    <w:pPr>
      <w:spacing w:after="100" w:afterAutospacing="1" w:before="100" w:beforeAutospacing="1"/>
      <w:ind w:firstLine="0"/>
    </w:pPr>
    <w:rPr>
      <w:rFonts w:ascii="Arial Unicode MS" w:hAnsi="Arial Unicode MS" w:eastAsia="Arial Unicode MS" w:cs="Arial Unicode MS"/>
      <w:bCs w:val="0"/>
      <w:color w:val="auto"/>
      <w:kern w:val="0"/>
      <w:szCs w:val="24"/>
      <w:lang w:eastAsia="ro-RO"/>
    </w:rPr>
  </w:style>
  <w:style w:type="character" w:styleId="Strong">
    <w:name w:val="Strong"/>
    <w:uiPriority w:val="99"/>
    <w:qFormat/>
    <w:rPr>
      <w:b/>
      <w:bCs/>
    </w:rPr>
  </w:style>
  <w:style w:type="paragraph" w:styleId="BodyText3">
    <w:name w:val="Body Text 3"/>
    <w:basedOn w:val="Normal"/>
    <w:link w:val="BodyText3Char"/>
    <w:autoRedefine/>
    <w:uiPriority w:val="99"/>
    <w:pPr>
      <w:ind w:right="680" w:firstLine="0" w:left="680"/>
    </w:pPr>
    <w:rPr>
      <w:sz w:val="20"/>
      <w:lang w:val="fr-FR"/>
    </w:rPr>
  </w:style>
  <w:style w:type="character" w:styleId="spnmessagetext" w:customStyle="1">
    <w:name w:val="spnmessagetext"/>
    <w:basedOn w:val="DefaultParagraphFont"/>
    <w:uiPriority w:val="99"/>
  </w:style>
  <w:style w:type="paragraph" w:styleId="footnoteChar" w:customStyle="1">
    <w:name w:val="footnote Char"/>
    <w:basedOn w:val="Normal"/>
    <w:link w:val="footnoteCharChar"/>
    <w:autoRedefine/>
    <w:qFormat/>
    <w:pPr>
      <w:tabs>
        <w:tab w:val="left" w:pos="720"/>
        <w:tab w:val="left" w:pos="2160"/>
        <w:tab w:val="left" w:pos="2880"/>
        <w:tab w:val="left" w:pos="4320"/>
        <w:tab w:val="left" w:pos="5760"/>
        <w:tab w:val="left" w:pos="7200"/>
        <w:tab w:val="left" w:pos="8640"/>
        <w:tab w:val="left" w:pos="10080"/>
        <w:tab w:val="left" w:pos="11520"/>
        <w:tab w:val="left" w:pos="12960"/>
        <w:tab w:val="left" w:pos="14400"/>
      </w:tabs>
      <w:ind w:firstLine="113"/>
    </w:pPr>
    <w:rPr>
      <w:color w:val="auto"/>
      <w:kern w:val="0"/>
      <w:sz w:val="20"/>
    </w:rPr>
  </w:style>
  <w:style w:type="character" w:styleId="footnoteCharChar" w:customStyle="1">
    <w:name w:val="footnote Char Char"/>
    <w:link w:val="footnoteChar"/>
    <w:rPr>
      <w:rFonts w:ascii="New Century Schoolbook" w:hAnsi="New Century Schoolbook"/>
      <w:bCs/>
      <w:lang w:val="ro-RO" w:eastAsia="en-US" w:bidi="ar-SA"/>
    </w:rPr>
  </w:style>
  <w:style w:type="paragraph" w:styleId="StyleBodyTextIndent2ItalicChar" w:customStyle="1">
    <w:name w:val="Style Body Text Indent 2 + Italic Char"/>
    <w:basedOn w:val="BodyTextIndent2"/>
    <w:link w:val="StyleBodyTextIndent2ItalicCharChar"/>
    <w:autoRedefine/>
    <w:uiPriority w:val="99"/>
    <w:rPr>
      <w:rFonts w:ascii="New Century Schoolbook" w:hAnsi="New Century Schoolbook"/>
      <w:lang w:val="ro-RO"/>
    </w:rPr>
  </w:style>
  <w:style w:type="character" w:styleId="BodyTextIndent2Char1" w:customStyle="1">
    <w:name w:val="Body Text Indent 2 Char1"/>
    <w:aliases w:val="Body Text Indent 2 Char Char"/>
    <w:link w:val="BodyTextIndent2"/>
    <w:uiPriority w:val="99"/>
    <w:rPr>
      <w:bCs/>
      <w:color w:val="000000"/>
      <w:kern w:val="20"/>
      <w:sz w:val="24"/>
      <w:lang w:val="en-US" w:eastAsia="en-US" w:bidi="ar-SA"/>
    </w:rPr>
  </w:style>
  <w:style w:type="character" w:styleId="StyleBodyTextIndent2ItalicCharChar" w:customStyle="1">
    <w:name w:val="Style Body Text Indent 2 + Italic Char Char"/>
    <w:link w:val="StyleBodyTextIndent2ItalicChar"/>
    <w:uiPriority w:val="99"/>
    <w:rPr>
      <w:rFonts w:ascii="New Century Schoolbook" w:hAnsi="New Century Schoolbook"/>
      <w:bCs/>
      <w:color w:val="000000"/>
      <w:kern w:val="20"/>
      <w:sz w:val="24"/>
      <w:lang w:val="ro-RO" w:eastAsia="en-US" w:bidi="ar-SA"/>
    </w:rPr>
  </w:style>
  <w:style w:type="paragraph" w:styleId="StyleBodyTextIndent2Firstline0mm" w:customStyle="1">
    <w:name w:val="Style Body Text Indent 2 + First line:  0 mm"/>
    <w:basedOn w:val="BodyTextIndent2"/>
    <w:autoRedefine/>
    <w:uiPriority w:val="99"/>
    <w:pPr>
      <w:ind w:firstLine="0"/>
    </w:pPr>
    <w:rPr>
      <w:szCs w:val="24"/>
    </w:rPr>
  </w:style>
  <w:style w:type="paragraph" w:styleId="StyleFirstline0mm" w:customStyle="1">
    <w:name w:val="Style First line:  0 mm"/>
    <w:basedOn w:val="Normal"/>
    <w:autoRedefine/>
    <w:pPr>
      <w:ind w:firstLine="0"/>
    </w:pPr>
    <w:rPr>
      <w:lang w:val="fr-FR"/>
    </w:rPr>
  </w:style>
  <w:style w:type="paragraph" w:styleId="StyleFirstline0mm1" w:customStyle="1">
    <w:name w:val="Style First line:  0 mm1"/>
    <w:basedOn w:val="Normal"/>
    <w:autoRedefine/>
  </w:style>
  <w:style w:type="paragraph" w:styleId="Style10ptNotComplexBoldAutoFirstline0mm" w:customStyle="1">
    <w:name w:val="Style 10 pt Not (Complex) Bold Auto First line:  0 mm"/>
    <w:basedOn w:val="Normal"/>
    <w:autoRedefine/>
    <w:uiPriority w:val="99"/>
    <w:rPr>
      <w:bCs w:val="0"/>
      <w:color w:val="auto"/>
      <w:kern w:val="0"/>
    </w:rPr>
  </w:style>
  <w:style w:type="paragraph" w:styleId="Style10ptNotComplexBoldAutoBefore127mmFirstline" w:customStyle="1">
    <w:name w:val="Style 10 pt Not (Complex) Bold Auto Before:  12.7 mm First line..."/>
    <w:basedOn w:val="Normal"/>
    <w:next w:val="Normal"/>
    <w:autoRedefine/>
    <w:uiPriority w:val="99"/>
    <w:pPr>
      <w:ind w:firstLine="0" w:left="720"/>
    </w:pPr>
    <w:rPr>
      <w:bCs w:val="0"/>
      <w:color w:val="auto"/>
      <w:kern w:val="0"/>
    </w:rPr>
  </w:style>
  <w:style w:type="character" w:styleId="StyleNormal" w:customStyle="1">
    <w:name w:val="Style Normal +"/>
    <w:rPr>
      <w:kern w:val="0"/>
      <w:sz w:val="24"/>
    </w:rPr>
  </w:style>
  <w:style w:type="character" w:styleId="BX" w:customStyle="1">
    <w:name w:val="BX"/>
    <w:uiPriority w:val="99"/>
    <w:rPr>
      <w:sz w:val="20"/>
      <w:szCs w:val="20"/>
    </w:rPr>
  </w:style>
  <w:style w:type="paragraph" w:styleId="NX" w:customStyle="1">
    <w:name w:val="NX"/>
    <w:autoRedefine/>
    <w:uiPriority w:val="99"/>
    <w:pPr>
      <w:widowControl w:val="false"/>
      <w:ind w:firstLine="576"/>
    </w:pPr>
    <w:rPr>
      <w:rFonts w:ascii="New Century Schoolbook" w:hAnsi="New Century Schoolbook"/>
      <w:szCs w:val="24"/>
      <w:lang w:val="ro-RO" w:eastAsia="ro-RO"/>
    </w:rPr>
  </w:style>
  <w:style w:type="character" w:styleId="IX" w:customStyle="1">
    <w:name w:val="IX"/>
    <w:uiPriority w:val="99"/>
    <w:rPr>
      <w:rFonts w:ascii="New Century Schoolbook" w:hAnsi="New Century Schoolbook"/>
      <w:spacing w:val="0"/>
      <w:kern w:val="24"/>
      <w:position w:val="0"/>
      <w:sz w:val="24"/>
      <w:vertAlign w:val="baseline"/>
    </w:rPr>
  </w:style>
  <w:style w:type="paragraph" w:styleId="Header2" w:customStyle="1">
    <w:name w:val="Header2"/>
    <w:basedOn w:val="Header"/>
    <w:autoRedefine/>
    <w:uiPriority w:val="99"/>
    <w:pPr>
      <w:ind w:firstLine="142"/>
      <w:jc w:val="right"/>
    </w:pPr>
    <w:rPr>
      <w:sz w:val="18"/>
      <w:szCs w:val="18"/>
    </w:rPr>
  </w:style>
  <w:style w:type="paragraph" w:styleId="bodytext0" w:customStyle="1">
    <w:name w:val="bodytext"/>
    <w:basedOn w:val="Normal"/>
    <w:uiPriority w:val="99"/>
    <w:pPr>
      <w:spacing w:after="100" w:afterAutospacing="1" w:before="100" w:beforeAutospacing="1"/>
      <w:ind w:firstLine="0"/>
      <w:jc w:val="left"/>
    </w:pPr>
    <w:rPr>
      <w:bCs w:val="0"/>
      <w:color w:val="auto"/>
      <w:kern w:val="0"/>
      <w:szCs w:val="24"/>
    </w:rPr>
  </w:style>
  <w:style w:type="paragraph" w:styleId="idFile-Identification" w:customStyle="1">
    <w:name w:val="(id) File - Identification"/>
    <w:uiPriority w:val="99"/>
    <w:pPr>
      <w:widowControl w:val="false"/>
    </w:pPr>
    <w:rPr>
      <w:rFonts w:ascii="Arial" w:hAnsi="Arial" w:cs="Arial"/>
      <w:color w:val="000000"/>
      <w:sz w:val="24"/>
      <w:szCs w:val="24"/>
    </w:rPr>
  </w:style>
  <w:style w:type="paragraph" w:styleId="cChapterNumber" w:customStyle="1">
    <w:name w:val="(c) Chapter Number"/>
    <w:uiPriority w:val="99"/>
    <w:pPr>
      <w:widowControl w:val="false"/>
      <w:spacing w:after="80" w:before="160"/>
    </w:pPr>
    <w:rPr>
      <w:rFonts w:ascii="Arial" w:hAnsi="Arial" w:cs="Arial"/>
      <w:b/>
      <w:bCs/>
      <w:color w:val="000000"/>
      <w:sz w:val="36"/>
      <w:szCs w:val="36"/>
    </w:rPr>
  </w:style>
  <w:style w:type="character" w:styleId="vVerseNumber" w:customStyle="1">
    <w:name w:val="(v) Verse Number"/>
    <w:uiPriority w:val="99"/>
    <w:rPr>
      <w:rFonts w:cs="Arial"/>
      <w:color w:val="000000"/>
      <w:vertAlign w:val="superscript"/>
    </w:rPr>
  </w:style>
  <w:style w:type="paragraph" w:styleId="pParagraph-Normal" w:customStyle="1">
    <w:name w:val="(p) Paragraph - Normal"/>
    <w:aliases w:val="First Line Indent,(pi) Paragraph - Indented,Level 1"/>
    <w:pPr>
      <w:widowControl w:val="false"/>
      <w:ind w:firstLine="181"/>
    </w:pPr>
    <w:rPr>
      <w:rFonts w:ascii="New Century Schoolbook" w:hAnsi="New Century Schoolbook" w:cs="Arial"/>
      <w:color w:val="000000"/>
      <w:sz w:val="22"/>
      <w:szCs w:val="24"/>
    </w:rPr>
  </w:style>
  <w:style w:type="paragraph" w:styleId="mtTitle-MajorTitleLevel1" w:customStyle="1">
    <w:name w:val="(mt) Title - Major Title Level 1"/>
    <w:uiPriority w:val="99"/>
    <w:pPr>
      <w:widowControl w:val="false"/>
      <w:spacing w:after="80" w:before="160"/>
      <w:jc w:val="center"/>
    </w:pPr>
    <w:rPr>
      <w:rFonts w:ascii="Arial" w:hAnsi="Arial" w:cs="Arial"/>
      <w:b/>
      <w:bCs/>
      <w:color w:val="000000"/>
      <w:sz w:val="40"/>
      <w:szCs w:val="40"/>
    </w:rPr>
  </w:style>
  <w:style w:type="paragraph" w:styleId="ffFootnote" w:customStyle="1">
    <w:name w:val="(f...f*) Footnote"/>
    <w:link w:val="ffFootnoteChar"/>
    <w:autoRedefine/>
    <w:uiPriority w:val="99"/>
    <w:qFormat/>
    <w:pPr>
      <w:widowControl w:val="false"/>
      <w:spacing w:line="200" w:lineRule="atLeast"/>
      <w:ind w:hanging="227" w:left="227"/>
      <w:jc w:val="both"/>
    </w:pPr>
    <w:rPr>
      <w:rFonts w:ascii="New Century Schoolbook" w:hAnsi="New Century Schoolbook" w:cs="Arial"/>
      <w:color w:val="000000"/>
      <w:szCs w:val="24"/>
    </w:rPr>
  </w:style>
  <w:style w:type="paragraph" w:styleId="StylepParagraph-NormalFirstLineIndentFirstline0cm" w:customStyle="1">
    <w:name w:val="Style (p) Paragraph - NormalFirst Line Indent + First line:  0 cm"/>
    <w:basedOn w:val="pParagraph-Normal"/>
    <w:uiPriority w:val="99"/>
    <w:pPr>
      <w:ind w:firstLine="57"/>
    </w:pPr>
  </w:style>
  <w:style w:type="table" w:styleId="TableGrid">
    <w:name w:val="Table Grid"/>
    <w:basedOn w:val="TableNormal"/>
    <w:uiPriority w:val="59"/>
    <w:pPr>
      <w:tabs>
        <w:tab w:val="left" w:pos="0"/>
        <w:tab w:val="left" w:pos="851"/>
        <w:tab w:val="left" w:pos="1418"/>
        <w:tab w:val="left" w:pos="1985"/>
        <w:tab w:val="left" w:pos="2268"/>
      </w:tabs>
      <w:ind w:firstLine="142"/>
    </w:pPr>
    <w:tblPr>
      <w:tblInd w:w="0" w:type="dxa"/>
      <w:tblCellMar>
        <w:left w:w="108" w:type="dxa"/>
        <w:top w:w="0" w:type="dxa"/>
        <w:right w:w="108" w:type="dxa"/>
        <w:bottom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isclaim" w:customStyle="1">
    <w:name w:val="disclaim"/>
    <w:basedOn w:val="Normal"/>
    <w:uiPriority w:val="99"/>
    <w:pPr>
      <w:spacing w:after="100" w:afterAutospacing="1" w:before="100" w:beforeAutospacing="1"/>
      <w:ind w:firstLine="0"/>
      <w:jc w:val="left"/>
    </w:pPr>
    <w:rPr>
      <w:bCs w:val="0"/>
      <w:color w:val="auto"/>
      <w:kern w:val="0"/>
      <w:szCs w:val="24"/>
    </w:rPr>
  </w:style>
  <w:style w:type="paragraph" w:styleId="NormalWeb2" w:customStyle="1">
    <w:name w:val="Normal (Web)2"/>
    <w:basedOn w:val="Normal"/>
    <w:uiPriority w:val="99"/>
    <w:pPr>
      <w:spacing w:after="100" w:afterAutospacing="1" w:before="100" w:beforeAutospacing="1"/>
      <w:ind w:firstLine="0"/>
      <w:jc w:val="left"/>
    </w:pPr>
    <w:rPr>
      <w:rFonts w:ascii="Times New Roman" w:hAnsi="Times New Roman"/>
      <w:bCs w:val="0"/>
      <w:color w:val="222222"/>
      <w:kern w:val="0"/>
      <w:sz w:val="20"/>
      <w:lang w:val="en-US"/>
    </w:rPr>
  </w:style>
  <w:style w:type="character" w:styleId="Emphasis">
    <w:name w:val="Emphasis"/>
    <w:uiPriority w:val="99"/>
    <w:qFormat/>
    <w:rPr>
      <w:i/>
      <w:iCs/>
    </w:rPr>
  </w:style>
  <w:style w:type="paragraph" w:styleId="Style0" w:customStyle="1">
    <w:name w:val="Style0"/>
    <w:uiPriority w:val="99"/>
    <w:pPr/>
    <w:rPr>
      <w:rFonts w:ascii="Arial" w:hAnsi="Arial"/>
      <w:sz w:val="24"/>
      <w:szCs w:val="24"/>
    </w:rPr>
  </w:style>
  <w:style w:type="character" w:styleId="StyleNormal1" w:customStyle="1">
    <w:name w:val="Style Normal +1"/>
    <w:uiPriority w:val="99"/>
    <w:rPr>
      <w:kern w:val="0"/>
      <w:lang w:val="ro-RO"/>
    </w:rPr>
  </w:style>
  <w:style w:type="paragraph" w:styleId="StyleHeading4JustifiedFirstline0mm" w:customStyle="1">
    <w:name w:val="Style Heading 4 + Justified First line:  0 mm"/>
    <w:basedOn w:val="Heading4"/>
    <w:autoRedefine/>
    <w:uiPriority w:val="99"/>
    <w:pPr>
      <w:ind w:firstLine="0"/>
      <w:jc w:val="both"/>
    </w:pPr>
  </w:style>
  <w:style w:type="paragraph" w:styleId="Caption">
    <w:name w:val="caption"/>
    <w:basedOn w:val="Normal"/>
    <w:next w:val="Normal"/>
    <w:uiPriority w:val="99"/>
    <w:qFormat/>
    <w:pPr>
      <w:spacing w:after="120" w:before="120"/>
    </w:pPr>
    <w:rPr>
      <w:b/>
      <w:sz w:val="20"/>
    </w:rPr>
  </w:style>
  <w:style w:type="paragraph" w:styleId="StyleBodyTextIndent211pt" w:customStyle="1">
    <w:name w:val="Style Body Text Indent 2 + 11 pt"/>
    <w:basedOn w:val="BodyTextIndent2"/>
    <w:link w:val="StyleBodyTextIndent211ptChar"/>
    <w:autoRedefine/>
    <w:uiPriority w:val="99"/>
    <w:pPr>
      <w:ind w:firstLine="57"/>
    </w:pPr>
    <w:rPr>
      <w:rFonts w:ascii="New Century Schoolbook" w:hAnsi="New Century Schoolbook"/>
      <w:szCs w:val="22"/>
      <w:lang w:val="ro-RO"/>
    </w:rPr>
  </w:style>
  <w:style w:type="character" w:styleId="StyleBodyTextIndent211ptChar" w:customStyle="1">
    <w:name w:val="Style Body Text Indent 2 + 11 pt Char"/>
    <w:link w:val="StyleBodyTextIndent211pt"/>
    <w:uiPriority w:val="99"/>
    <w:rPr>
      <w:rFonts w:ascii="New Century Schoolbook" w:hAnsi="New Century Schoolbook"/>
      <w:bCs/>
      <w:color w:val="000000"/>
      <w:kern w:val="20"/>
      <w:sz w:val="22"/>
      <w:szCs w:val="22"/>
      <w:lang w:val="ro-RO" w:eastAsia="en-US" w:bidi="ar-SA"/>
    </w:rPr>
  </w:style>
  <w:style w:type="character" w:styleId="Heading4Char" w:customStyle="1">
    <w:name w:val="Heading 4 Char"/>
    <w:link w:val="Heading4"/>
    <w:uiPriority w:val="99"/>
    <w:rPr>
      <w:rFonts w:ascii="New Century Schoolbook" w:hAnsi="New Century Schoolbook"/>
      <w:bCs/>
      <w:i/>
      <w:color w:val="000000"/>
      <w:kern w:val="20"/>
      <w:sz w:val="24"/>
      <w:lang w:val="ro-RO"/>
    </w:rPr>
  </w:style>
  <w:style w:type="paragraph" w:styleId="Blok" w:customStyle="1">
    <w:name w:val="Blok"/>
    <w:basedOn w:val="BodyTextIndent2"/>
    <w:link w:val="BlokChar"/>
    <w:autoRedefine/>
    <w:uiPriority w:val="99"/>
    <w:pPr>
      <w:tabs>
        <w:tab w:val="left" w:pos="0"/>
        <w:tab w:val="left" w:pos="851"/>
        <w:tab w:val="left" w:pos="1276"/>
        <w:tab w:val="left" w:pos="1418"/>
        <w:tab w:val="left" w:pos="1985"/>
        <w:tab w:val="left" w:pos="2268"/>
      </w:tabs>
      <w:spacing w:line="240" w:lineRule="exact"/>
      <w:ind w:firstLine="284"/>
    </w:pPr>
    <w:rPr>
      <w:rFonts w:ascii="New Century Schoolbook" w:hAnsi="New Century Schoolbook"/>
      <w:szCs w:val="22"/>
      <w:lang w:val="ro-RO"/>
    </w:rPr>
  </w:style>
  <w:style w:type="character" w:styleId="BlokChar" w:customStyle="1">
    <w:name w:val="Blok Char"/>
    <w:link w:val="Blok"/>
    <w:uiPriority w:val="99"/>
    <w:rPr>
      <w:rFonts w:ascii="New Century Schoolbook" w:hAnsi="New Century Schoolbook"/>
      <w:bCs/>
      <w:color w:val="000000"/>
      <w:kern w:val="20"/>
      <w:sz w:val="22"/>
      <w:szCs w:val="22"/>
      <w:lang w:val="ro-RO"/>
    </w:rPr>
  </w:style>
  <w:style w:type="paragraph" w:styleId="StyleHeading4" w:customStyle="1">
    <w:name w:val="Style Heading 4"/>
    <w:basedOn w:val="Heading4"/>
    <w:autoRedefine/>
    <w:uiPriority w:val="99"/>
    <w:pPr>
      <w:tabs>
        <w:tab w:val="left" w:pos="0"/>
        <w:tab w:val="left" w:pos="851"/>
        <w:tab w:val="left" w:pos="1276"/>
        <w:tab w:val="left" w:pos="1418"/>
        <w:tab w:val="left" w:pos="1985"/>
        <w:tab w:val="left" w:pos="2268"/>
      </w:tabs>
      <w:ind w:firstLine="0"/>
    </w:pPr>
    <w:rPr>
      <w:lang w:val="en-US"/>
    </w:rPr>
  </w:style>
  <w:style w:type="character" w:styleId="Heading5Char" w:customStyle="1">
    <w:name w:val="Heading 5 Char"/>
    <w:link w:val="Heading5"/>
    <w:uiPriority w:val="99"/>
    <w:rPr>
      <w:rFonts w:ascii="New Century Schoolbook" w:hAnsi="New Century Schoolbook"/>
      <w:bCs/>
      <w:i/>
      <w:color w:val="000000"/>
      <w:kern w:val="20"/>
      <w:sz w:val="24"/>
      <w:lang w:val="ro-RO" w:eastAsia="en-US" w:bidi="ar-SA"/>
    </w:rPr>
  </w:style>
  <w:style w:type="paragraph" w:styleId="Heading4CharJustifiedFirstline0mm" w:customStyle="1">
    <w:name w:val="Heading 4 Char + Justified First line:  0 mm"/>
    <w:basedOn w:val="Heading4"/>
    <w:link w:val="Heading4CharJustifiedFirstline0mmChar"/>
    <w:autoRedefine/>
    <w:pPr>
      <w:ind w:firstLine="0"/>
      <w:jc w:val="both"/>
      <w:outlineLvl w:val="9"/>
    </w:pPr>
    <w:rPr>
      <w:bCs w:val="0"/>
      <w:i w:val="0"/>
    </w:r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bCs w:val="0"/>
      <w:color w:val="auto"/>
      <w:kern w:val="0"/>
      <w:sz w:val="20"/>
      <w:lang w:val="en-US"/>
    </w:rPr>
  </w:style>
  <w:style w:type="character" w:styleId="article" w:customStyle="1">
    <w:name w:val="article"/>
    <w:basedOn w:val="DefaultParagraphFont"/>
    <w:uiPriority w:val="99"/>
  </w:style>
  <w:style w:type="character" w:styleId="journal" w:customStyle="1">
    <w:name w:val="journal"/>
    <w:basedOn w:val="DefaultParagraphFont"/>
    <w:uiPriority w:val="99"/>
  </w:style>
  <w:style w:type="paragraph" w:styleId="return" w:customStyle="1">
    <w:name w:val="return"/>
    <w:basedOn w:val="Normal"/>
    <w:uiPriority w:val="99"/>
    <w:pPr>
      <w:spacing w:after="100" w:afterAutospacing="1" w:before="100" w:beforeAutospacing="1"/>
      <w:ind w:firstLine="0"/>
      <w:jc w:val="left"/>
    </w:pPr>
    <w:rPr>
      <w:rFonts w:ascii="Times New Roman" w:hAnsi="Times New Roman"/>
      <w:bCs w:val="0"/>
      <w:color w:val="auto"/>
      <w:kern w:val="0"/>
      <w:szCs w:val="24"/>
      <w:lang w:val="en-US"/>
    </w:rPr>
  </w:style>
  <w:style w:type="character" w:styleId="Heading3Char" w:customStyle="1">
    <w:name w:val="Heading 3 Char"/>
    <w:link w:val="Heading3"/>
    <w:uiPriority w:val="99"/>
    <w:rPr>
      <w:rFonts w:ascii="New Century Schoolbook" w:hAnsi="New Century Schoolbook"/>
      <w:b/>
      <w:bCs/>
      <w:i/>
      <w:color w:val="000000"/>
      <w:kern w:val="20"/>
      <w:sz w:val="24"/>
      <w:lang w:val="ro-RO" w:eastAsia="en-US" w:bidi="ar-SA"/>
    </w:rPr>
  </w:style>
  <w:style w:type="character" w:styleId="Heading4CharJustifiedFirstline0mmChar" w:customStyle="1">
    <w:name w:val="Heading 4 Char + Justified First line:  0 mm Char"/>
    <w:link w:val="Heading4CharJustifiedFirstline0mm"/>
    <w:rPr>
      <w:rFonts w:ascii="New Century Schoolbook" w:hAnsi="New Century Schoolbook"/>
      <w:bCs w:val="0"/>
      <w:i w:val="0"/>
      <w:color w:val="000000"/>
      <w:kern w:val="20"/>
      <w:sz w:val="24"/>
      <w:lang w:val="ro-RO"/>
    </w:rPr>
  </w:style>
  <w:style w:type="character" w:styleId="ffFootnoteChar" w:customStyle="1">
    <w:name w:val="(f...f*) Footnote Char"/>
    <w:link w:val="ffFootnote"/>
    <w:uiPriority w:val="99"/>
    <w:rPr>
      <w:rFonts w:ascii="New Century Schoolbook" w:hAnsi="New Century Schoolbook" w:cs="Arial"/>
      <w:color w:val="000000"/>
      <w:szCs w:val="24"/>
      <w:lang w:val="en-US" w:eastAsia="en-US" w:bidi="ar-SA"/>
    </w:rPr>
  </w:style>
  <w:style w:type="paragraph" w:styleId="StyleHeading2" w:customStyle="1">
    <w:name w:val="Style Heading 2 +"/>
    <w:basedOn w:val="Heading2"/>
    <w:autoRedefine/>
    <w:uiPriority w:val="99"/>
    <w:rPr>
      <w:kern w:val="0"/>
    </w:rPr>
  </w:style>
  <w:style w:type="character" w:styleId="FooterChar" w:customStyle="1">
    <w:name w:val="Footer Char"/>
    <w:link w:val="Footer"/>
    <w:uiPriority w:val="99"/>
    <w:rPr>
      <w:rFonts w:ascii="New Century Schoolbook" w:hAnsi="New Century Schoolbook"/>
      <w:bCs/>
      <w:color w:val="000000"/>
      <w:kern w:val="20"/>
      <w:sz w:val="24"/>
      <w:lang w:val="ro-RO" w:eastAsia="en-US" w:bidi="ar-SA"/>
    </w:rPr>
  </w:style>
  <w:style w:type="character" w:styleId="gk" w:customStyle="1">
    <w:name w:val="gk"/>
    <w:basedOn w:val="DefaultParagraphFont"/>
    <w:uiPriority w:val="99"/>
  </w:style>
  <w:style w:type="paragraph" w:styleId="ListParagraph">
    <w:name w:val="List Paragraph"/>
    <w:basedOn w:val="Normal"/>
    <w:uiPriority w:val="34"/>
    <w:qFormat/>
    <w:pPr>
      <w:ind w:left="720"/>
      <w:contextualSpacing w:val="true"/>
    </w:pPr>
  </w:style>
  <w:style w:type="paragraph" w:styleId="NoSpacing">
    <w:name w:val="No Spacing"/>
    <w:link w:val="NoSpacingChar"/>
    <w:uiPriority w:val="1"/>
    <w:qFormat/>
    <w:rPr>
      <w:rFonts w:ascii="Calibri" w:hAnsi="Calibri"/>
      <w:sz w:val="22"/>
      <w:szCs w:val="22"/>
    </w:rPr>
  </w:style>
  <w:style w:type="character" w:styleId="NoSpacingChar" w:customStyle="1">
    <w:name w:val="No Spacing Char"/>
    <w:link w:val="NoSpacing"/>
    <w:uiPriority w:val="1"/>
    <w:rPr>
      <w:rFonts w:ascii="Calibri" w:hAnsi="Calibri"/>
      <w:sz w:val="22"/>
      <w:szCs w:val="22"/>
      <w:lang w:val="en-US" w:eastAsia="en-US" w:bidi="ar-SA"/>
    </w:rPr>
  </w:style>
  <w:style w:type="paragraph" w:styleId="BalloonText">
    <w:name w:val="Balloon Text"/>
    <w:basedOn w:val="Normal"/>
    <w:link w:val="BalloonTextChar"/>
    <w:uiPriority w:val="99"/>
    <w:rPr>
      <w:rFonts w:ascii="Tahoma" w:hAnsi="Tahoma"/>
      <w:sz w:val="16"/>
      <w:szCs w:val="16"/>
    </w:rPr>
  </w:style>
  <w:style w:type="character" w:styleId="BalloonTextChar" w:customStyle="1">
    <w:name w:val="Balloon Text Char"/>
    <w:link w:val="BalloonText"/>
    <w:uiPriority w:val="99"/>
    <w:rPr>
      <w:rFonts w:ascii="Tahoma" w:hAnsi="Tahoma" w:cs="Tahoma"/>
      <w:bCs/>
      <w:color w:val="000000"/>
      <w:kern w:val="20"/>
      <w:sz w:val="16"/>
      <w:szCs w:val="16"/>
      <w:lang w:val="ro-RO"/>
    </w:rPr>
  </w:style>
  <w:style w:type="paragraph" w:styleId="TOCHeading">
    <w:name w:val="TOC Heading"/>
    <w:basedOn w:val="Heading1"/>
    <w:next w:val="Normal"/>
    <w:uiPriority w:val="39"/>
    <w:unhideWhenUsed/>
    <w:qFormat/>
    <w:pPr>
      <w:keepLines w:val="true"/>
      <w:spacing w:before="480" w:line="276" w:lineRule="auto"/>
      <w:jc w:val="left"/>
      <w:outlineLvl w:val="9"/>
    </w:pPr>
    <w:rPr>
      <w:rFonts w:ascii="Cambria" w:hAnsi="Cambria"/>
      <w:color w:val="365f91"/>
      <w:kern w:val="0"/>
      <w:sz w:val="28"/>
      <w:szCs w:val="28"/>
      <w:lang w:val="en-US"/>
    </w:rPr>
  </w:style>
  <w:style w:type="paragraph" w:styleId="TOC1">
    <w:name w:val="toc 1"/>
    <w:basedOn w:val="Normal"/>
    <w:next w:val="Normal"/>
    <w:autoRedefine/>
    <w:uiPriority w:val="39"/>
  </w:style>
  <w:style w:type="paragraph" w:styleId="TOC2">
    <w:name w:val="toc 2"/>
    <w:basedOn w:val="Normal"/>
    <w:next w:val="Normal"/>
    <w:autoRedefine/>
    <w:uiPriority w:val="39"/>
    <w:pPr>
      <w:ind w:left="240"/>
    </w:pPr>
  </w:style>
  <w:style w:type="paragraph" w:styleId="TOC3">
    <w:name w:val="toc 3"/>
    <w:basedOn w:val="Normal"/>
    <w:next w:val="Normal"/>
    <w:autoRedefine/>
    <w:uiPriority w:val="39"/>
    <w:pPr>
      <w:ind w:left="480"/>
    </w:pPr>
  </w:style>
  <w:style w:type="paragraph" w:styleId="Title">
    <w:name w:val="Title"/>
    <w:basedOn w:val="Normal"/>
    <w:next w:val="Normal"/>
    <w:link w:val="TitleChar"/>
    <w:qFormat/>
    <w:pPr>
      <w:spacing w:after="60" w:before="240"/>
      <w:jc w:val="center"/>
      <w:outlineLvl w:val="0"/>
    </w:pPr>
    <w:rPr>
      <w:rFonts w:ascii="Cambria" w:hAnsi="Cambria"/>
      <w:b/>
      <w:kern w:val="28"/>
      <w:sz w:val="32"/>
      <w:szCs w:val="32"/>
    </w:rPr>
  </w:style>
  <w:style w:type="character" w:styleId="TitleChar" w:customStyle="1">
    <w:name w:val="Title Char"/>
    <w:link w:val="Title"/>
    <w:rPr>
      <w:rFonts w:ascii="Cambria" w:hAnsi="Cambria" w:eastAsia="Times New Roman" w:cs="Times New Roman"/>
      <w:b/>
      <w:bCs/>
      <w:color w:val="000000"/>
      <w:kern w:val="28"/>
      <w:sz w:val="32"/>
      <w:szCs w:val="32"/>
      <w:lang w:val="ro-RO"/>
    </w:rPr>
  </w:style>
  <w:style w:type="character" w:styleId="HeaderChar" w:customStyle="1">
    <w:name w:val="Header Char"/>
    <w:link w:val="Header"/>
    <w:uiPriority w:val="99"/>
    <w:rPr>
      <w:rFonts w:ascii="New Century Schoolbook" w:hAnsi="New Century Schoolbook"/>
      <w:bCs/>
      <w:color w:val="000000"/>
      <w:kern w:val="20"/>
      <w:sz w:val="24"/>
      <w:lang w:val="ro-RO" w:bidi="ar-SA"/>
    </w:rPr>
  </w:style>
  <w:style w:type="paragraph" w:styleId="Blockquote" w:customStyle="1">
    <w:name w:val="Block quote"/>
    <w:basedOn w:val="BodyTextIndent"/>
    <w:autoRedefine/>
    <w:qFormat/>
    <w:pPr>
      <w:tabs>
        <w:tab w:val="left" w:pos="3828"/>
      </w:tabs>
      <w:ind w:right="794" w:left="794"/>
    </w:pPr>
    <w:rPr>
      <w:sz w:val="22"/>
      <w:szCs w:val="22"/>
    </w:rPr>
  </w:style>
  <w:style w:type="paragraph" w:styleId="StyleBodystill2" w:customStyle="1">
    <w:name w:val="Style Body still2"/>
    <w:basedOn w:val="BodyTextIndent"/>
    <w:qFormat/>
    <w:pPr>
      <w:ind w:left="1134"/>
    </w:pPr>
    <w:rPr>
      <w:sz w:val="22"/>
      <w:szCs w:val="22"/>
    </w:rPr>
  </w:style>
  <w:style w:type="paragraph" w:styleId="bloclateral-1" w:customStyle="1">
    <w:name w:val="bloc lateral-1"/>
    <w:basedOn w:val="StyleBodyTextIndent211pt"/>
    <w:link w:val="bloclateral-1Char"/>
    <w:qFormat/>
    <w:pPr>
      <w:ind w:firstLine="0" w:left="720"/>
    </w:pPr>
    <w:rPr>
      <w:sz w:val="20"/>
    </w:rPr>
  </w:style>
  <w:style w:type="character" w:styleId="Heading1Char" w:customStyle="1">
    <w:name w:val="Heading 1 Char"/>
    <w:link w:val="Heading1"/>
    <w:uiPriority w:val="99"/>
    <w:rPr>
      <w:rFonts w:ascii="Arial" w:hAnsi="Arial"/>
      <w:b/>
      <w:bCs/>
      <w:color w:val="000000"/>
      <w:kern w:val="20"/>
      <w:sz w:val="36"/>
      <w:szCs w:val="36"/>
      <w:lang w:val="ro-RO" w:eastAsia="en-US" w:bidi="ar-SA"/>
    </w:rPr>
  </w:style>
  <w:style w:type="character" w:styleId="bloclateral-1Char" w:customStyle="1">
    <w:name w:val="bloc lateral-1 Char"/>
    <w:link w:val="bloclateral-1"/>
    <w:rPr>
      <w:rFonts w:ascii="New Century Schoolbook" w:hAnsi="New Century Schoolbook"/>
      <w:bCs/>
      <w:color w:val="000000"/>
      <w:kern w:val="20"/>
      <w:szCs w:val="22"/>
      <w:lang w:val="ro-RO"/>
    </w:rPr>
  </w:style>
  <w:style w:type="character" w:styleId="Heading2Char" w:customStyle="1">
    <w:name w:val="Heading 2 Char"/>
    <w:link w:val="Heading2"/>
    <w:uiPriority w:val="99"/>
    <w:rPr>
      <w:rFonts w:ascii="Arial" w:hAnsi="Arial"/>
      <w:b/>
      <w:bCs/>
      <w:i/>
      <w:color w:val="000000"/>
      <w:kern w:val="20"/>
      <w:sz w:val="48"/>
      <w:szCs w:val="48"/>
      <w:lang w:val="ro-RO"/>
    </w:rPr>
  </w:style>
  <w:style w:type="character" w:styleId="Heading6Char" w:customStyle="1">
    <w:name w:val="Heading 6 Char"/>
    <w:link w:val="Heading6"/>
    <w:uiPriority w:val="99"/>
    <w:rPr>
      <w:rFonts w:ascii="New Century Schoolbook" w:hAnsi="New Century Schoolbook"/>
      <w:b/>
      <w:bCs/>
      <w:color w:val="000000"/>
      <w:kern w:val="20"/>
      <w:sz w:val="23"/>
      <w:lang w:val="ro-RO" w:eastAsia="en-US" w:bidi="ar-SA"/>
    </w:rPr>
  </w:style>
  <w:style w:type="character" w:styleId="Heading7Char" w:customStyle="1">
    <w:name w:val="Heading 7 Char"/>
    <w:link w:val="Heading7"/>
    <w:uiPriority w:val="99"/>
    <w:rPr>
      <w:rFonts w:ascii="New Century Schoolbook" w:hAnsi="New Century Schoolbook"/>
      <w:b/>
      <w:color w:val="000000"/>
      <w:kern w:val="20"/>
      <w:sz w:val="24"/>
      <w:lang w:val="ro-RO" w:eastAsia="en-US" w:bidi="ar-SA"/>
    </w:rPr>
  </w:style>
  <w:style w:type="character" w:styleId="Heading8Char" w:customStyle="1">
    <w:name w:val="Heading 8 Char"/>
    <w:link w:val="Heading8"/>
    <w:uiPriority w:val="99"/>
    <w:rPr>
      <w:rFonts w:ascii="New Century Schoolbook" w:hAnsi="New Century Schoolbook"/>
      <w:bCs/>
      <w:i/>
      <w:iCs/>
      <w:color w:val="000000"/>
      <w:kern w:val="20"/>
      <w:sz w:val="24"/>
      <w:lang w:val="fr-FR" w:eastAsia="en-US" w:bidi="ar-SA"/>
    </w:rPr>
  </w:style>
  <w:style w:type="character" w:styleId="Heading9Char" w:customStyle="1">
    <w:name w:val="Heading 9 Char"/>
    <w:link w:val="Heading9"/>
    <w:uiPriority w:val="99"/>
    <w:rPr>
      <w:rFonts w:ascii="New Century Schoolbook" w:hAnsi="New Century Schoolbook"/>
      <w:bCs/>
      <w:i/>
      <w:iCs/>
      <w:color w:val="000000"/>
      <w:kern w:val="20"/>
      <w:lang w:val="fr-FR" w:eastAsia="en-US" w:bidi="ar-SA"/>
    </w:rPr>
  </w:style>
  <w:style w:type="character" w:styleId="FootnoteTextChar" w:customStyle="1">
    <w:name w:val="Footnote Text Char"/>
    <w:link w:val="FootnoteText"/>
    <w:uiPriority w:val="99"/>
    <w:semiHidden/>
    <w:rPr>
      <w:rFonts w:ascii="New Century Schoolbook" w:hAnsi="New Century Schoolbook"/>
      <w:bCs/>
      <w:color w:val="000000"/>
      <w:kern w:val="20"/>
      <w:lang w:val="ro-RO" w:eastAsia="en-US" w:bidi="ar-SA"/>
    </w:rPr>
  </w:style>
  <w:style w:type="character" w:styleId="DocumentMapChar" w:customStyle="1">
    <w:name w:val="Document Map Char"/>
    <w:link w:val="DocumentMap"/>
    <w:uiPriority w:val="99"/>
    <w:semiHidden/>
    <w:locked/>
    <w:rPr>
      <w:rFonts w:ascii="Tahoma" w:hAnsi="Tahoma"/>
      <w:bCs/>
      <w:color w:val="000000"/>
      <w:kern w:val="20"/>
      <w:sz w:val="24"/>
      <w:shd w:val="clear" w:color="auto" w:fill="000080"/>
      <w:lang w:val="ro-RO" w:eastAsia="en-US" w:bidi="ar-SA"/>
    </w:rPr>
  </w:style>
  <w:style w:type="character" w:styleId="BodyTextChar" w:customStyle="1">
    <w:name w:val="Body Text Char"/>
    <w:link w:val="BodyText"/>
    <w:uiPriority w:val="99"/>
    <w:rPr>
      <w:rFonts w:ascii="New Century Schoolbook" w:hAnsi="New Century Schoolbook"/>
      <w:bCs/>
      <w:color w:val="000000"/>
      <w:kern w:val="20"/>
      <w:sz w:val="18"/>
      <w:lang w:val="ro-RO" w:eastAsia="en-US" w:bidi="ar-SA"/>
    </w:rPr>
  </w:style>
  <w:style w:type="character" w:styleId="BodyTextIndentChar" w:customStyle="1">
    <w:name w:val="Body Text Indent Char"/>
    <w:link w:val="BodyTextIndent"/>
    <w:uiPriority w:val="99"/>
    <w:rPr>
      <w:rFonts w:ascii="New Century Schoolbook" w:hAnsi="New Century Schoolbook"/>
      <w:bCs/>
      <w:color w:val="000000"/>
      <w:kern w:val="20"/>
      <w:lang w:val="ro-RO" w:eastAsia="en-US" w:bidi="ar-SA"/>
    </w:rPr>
  </w:style>
  <w:style w:type="character" w:styleId="PlainTextChar" w:customStyle="1">
    <w:name w:val="Plain Text Char"/>
    <w:link w:val="PlainText"/>
    <w:uiPriority w:val="99"/>
    <w:rPr>
      <w:rFonts w:ascii="Courier New" w:hAnsi="Courier New" w:cs="Courier New"/>
      <w:bCs/>
      <w:color w:val="000000"/>
      <w:kern w:val="20"/>
      <w:sz w:val="24"/>
      <w:lang w:eastAsia="en-US" w:bidi="ar-SA"/>
    </w:rPr>
  </w:style>
  <w:style w:type="character" w:styleId="BodyTextIndent3Char" w:customStyle="1">
    <w:name w:val="Body Text Indent 3 Char"/>
    <w:link w:val="BodyTextIndent3"/>
    <w:uiPriority w:val="99"/>
    <w:rPr>
      <w:rFonts w:ascii="New Century Schoolbook" w:hAnsi="New Century Schoolbook"/>
      <w:b/>
      <w:bCs/>
      <w:color w:val="000000"/>
      <w:kern w:val="20"/>
      <w:sz w:val="24"/>
      <w:lang w:val="ro-RO" w:eastAsia="en-US" w:bidi="ar-SA"/>
    </w:rPr>
  </w:style>
  <w:style w:type="character" w:styleId="BodyText2Char" w:customStyle="1">
    <w:name w:val="Body Text 2 Char"/>
    <w:link w:val="BodyText2"/>
    <w:uiPriority w:val="99"/>
    <w:rPr>
      <w:rFonts w:ascii="New Century Schoolbook" w:hAnsi="New Century Schoolbook"/>
      <w:sz w:val="24"/>
      <w:lang w:val="ro-RO" w:eastAsia="ro-RO" w:bidi="ar-SA"/>
    </w:rPr>
  </w:style>
  <w:style w:type="character" w:styleId="BodyText3Char" w:customStyle="1">
    <w:name w:val="Body Text 3 Char"/>
    <w:link w:val="BodyText3"/>
    <w:uiPriority w:val="99"/>
    <w:rPr>
      <w:rFonts w:ascii="New Century Schoolbook" w:hAnsi="New Century Schoolbook"/>
      <w:bCs/>
      <w:color w:val="000000"/>
      <w:kern w:val="20"/>
      <w:lang w:val="fr-FR" w:eastAsia="en-US" w:bidi="ar-SA"/>
    </w:rPr>
  </w:style>
  <w:style w:type="character" w:styleId="HTMLPreformattedChar" w:customStyle="1">
    <w:name w:val="HTML Preformatted Char"/>
    <w:link w:val="HTMLPreformatted"/>
    <w:uiPriority w:val="99"/>
    <w:rPr>
      <w:rFonts w:ascii="Courier New" w:hAnsi="Courier New" w:cs="Courier New"/>
      <w:lang w:val="en-US" w:eastAsia="en-US" w:bidi="ar-SA"/>
    </w:rPr>
  </w:style>
  <w:style w:type="character" w:styleId="vVerset" w:customStyle="1">
    <w:name w:val="(v) Verset"/>
    <w:uiPriority w:val="99"/>
    <w:rPr>
      <w:color w:val="228b22"/>
      <w:sz w:val="28"/>
      <w:szCs w:val="28"/>
      <w:vertAlign w:val="superscript"/>
    </w:rPr>
  </w:style>
  <w:style w:type="paragraph" w:styleId="pParagraf-Normal" w:customStyle="1">
    <w:name w:val="(p) Paragraf - Normal"/>
    <w:aliases w:val="prima linie cu alineat"/>
    <w:uiPriority w:val="99"/>
    <w:pPr>
      <w:widowControl w:val="false"/>
      <w:ind w:firstLine="180"/>
    </w:pPr>
    <w:rPr>
      <w:rFonts w:ascii="New Century Schoolbook" w:hAnsi="New Century Schoolbook"/>
      <w:color w:val="000000"/>
      <w:sz w:val="28"/>
      <w:szCs w:val="28"/>
    </w:rPr>
  </w:style>
  <w:style w:type="paragraph" w:styleId="sHeading-SectionLevel1" w:customStyle="1">
    <w:name w:val="(s) Heading - Section Level 1"/>
    <w:uiPriority w:val="99"/>
    <w:pPr>
      <w:widowControl w:val="false"/>
      <w:spacing w:after="80" w:before="160"/>
      <w:jc w:val="center"/>
    </w:pPr>
    <w:rPr>
      <w:rFonts w:ascii="New Century Schoolbook" w:hAnsi="New Century Schoolbook"/>
      <w:b/>
      <w:bCs/>
      <w:color w:val="000000"/>
      <w:sz w:val="28"/>
      <w:szCs w:val="28"/>
    </w:rPr>
  </w:style>
  <w:style w:type="paragraph" w:styleId="cCapitol" w:customStyle="1">
    <w:name w:val="(c) Capitol"/>
    <w:uiPriority w:val="99"/>
    <w:pPr>
      <w:widowControl w:val="false"/>
      <w:spacing w:after="80" w:before="160"/>
    </w:pPr>
    <w:rPr>
      <w:rFonts w:ascii="New Century Schoolbook" w:hAnsi="New Century Schoolbook"/>
      <w:b/>
      <w:bCs/>
      <w:color w:val="000000"/>
      <w:sz w:val="42"/>
      <w:szCs w:val="42"/>
    </w:rPr>
  </w:style>
  <w:style w:type="character" w:styleId="qtqtSpecial-QuotedText" w:customStyle="1">
    <w:name w:val="(qt...qt*) Special - Quoted Text"/>
    <w:aliases w:val="OT in NT"/>
    <w:uiPriority w:val="99"/>
    <w:rPr>
      <w:i/>
      <w:iCs/>
      <w:color w:val="000000"/>
      <w:sz w:val="28"/>
      <w:szCs w:val="28"/>
    </w:rPr>
  </w:style>
  <w:style w:type="paragraph" w:styleId="qPoetry-IndentLevel1" w:customStyle="1">
    <w:name w:val="(q) Poetry - Indent Level 1"/>
    <w:aliases w:val="Single Level Only"/>
    <w:uiPriority w:val="99"/>
    <w:pPr>
      <w:widowControl w:val="false"/>
      <w:ind w:hanging="1080" w:left="1440"/>
    </w:pPr>
    <w:rPr>
      <w:rFonts w:ascii="New Century Schoolbook" w:hAnsi="New Century Schoolbook"/>
      <w:color w:val="000000"/>
      <w:sz w:val="28"/>
      <w:szCs w:val="28"/>
    </w:rPr>
  </w:style>
  <w:style w:type="paragraph" w:styleId="mParagraph-Margin" w:customStyle="1">
    <w:name w:val="(m) Paragraph - Margin"/>
    <w:aliases w:val="No First Line Indent"/>
    <w:uiPriority w:val="99"/>
    <w:pPr>
      <w:widowControl w:val="false"/>
    </w:pPr>
    <w:rPr>
      <w:rFonts w:ascii="New Century Schoolbook" w:hAnsi="New Century Schoolbook"/>
      <w:color w:val="000000"/>
      <w:sz w:val="28"/>
      <w:szCs w:val="28"/>
    </w:rPr>
  </w:style>
  <w:style w:type="paragraph" w:styleId="fldFieldIdentification" w:customStyle="1">
    <w:name w:val="(fld) Field Identification"/>
    <w:uiPriority w:val="99"/>
    <w:pPr>
      <w:widowControl w:val="false"/>
    </w:pPr>
    <w:rPr>
      <w:rFonts w:ascii="New Century Schoolbook" w:hAnsi="New Century Schoolbook"/>
      <w:color w:val="000000"/>
      <w:sz w:val="28"/>
      <w:szCs w:val="28"/>
    </w:rPr>
  </w:style>
  <w:style w:type="paragraph" w:styleId="ideFile-Encoding" w:customStyle="1">
    <w:name w:val="(ide) File - Encoding"/>
    <w:uiPriority w:val="99"/>
    <w:pPr>
      <w:widowControl w:val="false"/>
    </w:pPr>
    <w:rPr>
      <w:rFonts w:ascii="New Century Schoolbook" w:hAnsi="New Century Schoolbook"/>
      <w:color w:val="000000"/>
      <w:sz w:val="28"/>
      <w:szCs w:val="28"/>
    </w:rPr>
  </w:style>
  <w:style w:type="paragraph" w:styleId="hFile-Antet" w:customStyle="1">
    <w:name w:val="(h) File - Antet"/>
    <w:uiPriority w:val="99"/>
    <w:pPr>
      <w:widowControl w:val="false"/>
    </w:pPr>
    <w:rPr>
      <w:rFonts w:ascii="New Century Schoolbook" w:hAnsi="New Century Schoolbook"/>
      <w:color w:val="000000"/>
      <w:sz w:val="28"/>
      <w:szCs w:val="28"/>
    </w:rPr>
  </w:style>
  <w:style w:type="paragraph" w:styleId="h1File-Antet1" w:customStyle="1">
    <w:name w:val="(h1) File - Antet 1"/>
    <w:uiPriority w:val="99"/>
    <w:pPr>
      <w:widowControl w:val="false"/>
    </w:pPr>
    <w:rPr>
      <w:rFonts w:ascii="New Century Schoolbook" w:hAnsi="New Century Schoolbook"/>
      <w:color w:val="000000"/>
      <w:sz w:val="28"/>
      <w:szCs w:val="28"/>
    </w:rPr>
  </w:style>
  <w:style w:type="paragraph" w:styleId="h2File-Antetstnga" w:customStyle="1">
    <w:name w:val="(h2) File - Antet stnga"/>
    <w:uiPriority w:val="99"/>
    <w:pPr>
      <w:widowControl w:val="false"/>
    </w:pPr>
    <w:rPr>
      <w:rFonts w:ascii="New Century Schoolbook" w:hAnsi="New Century Schoolbook"/>
      <w:color w:val="000000"/>
      <w:sz w:val="28"/>
      <w:szCs w:val="28"/>
    </w:rPr>
  </w:style>
  <w:style w:type="paragraph" w:styleId="h3File-Antetdreapta" w:customStyle="1">
    <w:name w:val="(h3) File - Antet dreapta"/>
    <w:uiPriority w:val="99"/>
    <w:pPr>
      <w:widowControl w:val="false"/>
    </w:pPr>
    <w:rPr>
      <w:rFonts w:ascii="New Century Schoolbook" w:hAnsi="New Century Schoolbook"/>
      <w:color w:val="000000"/>
      <w:sz w:val="28"/>
      <w:szCs w:val="28"/>
    </w:rPr>
  </w:style>
  <w:style w:type="paragraph" w:styleId="remFile-Observaii" w:customStyle="1">
    <w:name w:val="(rem) File - Observa?ii"/>
    <w:uiPriority w:val="99"/>
    <w:pPr>
      <w:widowControl w:val="false"/>
    </w:pPr>
    <w:rPr>
      <w:rFonts w:ascii="New Century Schoolbook" w:hAnsi="New Century Schoolbook"/>
      <w:color w:val="0000ff"/>
      <w:sz w:val="28"/>
      <w:szCs w:val="28"/>
    </w:rPr>
  </w:style>
  <w:style w:type="paragraph" w:styleId="restoreFile-RestoreInformation" w:customStyle="1">
    <w:name w:val="(restore) File - Restore Information"/>
    <w:uiPriority w:val="99"/>
    <w:pPr>
      <w:widowControl w:val="false"/>
    </w:pPr>
    <w:rPr>
      <w:rFonts w:ascii="New Century Schoolbook" w:hAnsi="New Century Schoolbook"/>
      <w:color w:val="0000ff"/>
      <w:sz w:val="28"/>
      <w:szCs w:val="28"/>
    </w:rPr>
  </w:style>
  <w:style w:type="paragraph" w:styleId="imtIntroduction-MajorTitleLevel1" w:customStyle="1">
    <w:name w:val="(imt) Introduction - Major Title Level 1"/>
    <w:uiPriority w:val="99"/>
    <w:pPr>
      <w:widowControl w:val="false"/>
      <w:spacing w:after="80" w:before="160"/>
      <w:jc w:val="center"/>
    </w:pPr>
    <w:rPr>
      <w:rFonts w:ascii="New Century Schoolbook" w:hAnsi="New Century Schoolbook"/>
      <w:b/>
      <w:bCs/>
      <w:color w:val="000000"/>
      <w:sz w:val="32"/>
      <w:szCs w:val="32"/>
    </w:rPr>
  </w:style>
  <w:style w:type="paragraph" w:styleId="imt1Introduction-MajorTitleLevel1" w:customStyle="1">
    <w:name w:val="(imt1) Introduction - Major Title Level 1"/>
    <w:uiPriority w:val="99"/>
    <w:pPr>
      <w:widowControl w:val="false"/>
      <w:spacing w:after="80" w:before="160"/>
      <w:jc w:val="center"/>
    </w:pPr>
    <w:rPr>
      <w:rFonts w:ascii="New Century Schoolbook" w:hAnsi="New Century Schoolbook"/>
      <w:b/>
      <w:bCs/>
      <w:color w:val="000000"/>
      <w:sz w:val="32"/>
      <w:szCs w:val="32"/>
    </w:rPr>
  </w:style>
  <w:style w:type="paragraph" w:styleId="imt2Introduction-MajorTitleLevel2" w:customStyle="1">
    <w:name w:val="(imt2) Introduction - Major Title Level 2"/>
    <w:uiPriority w:val="99"/>
    <w:pPr>
      <w:widowControl w:val="false"/>
      <w:spacing w:after="60" w:before="120"/>
      <w:jc w:val="center"/>
    </w:pPr>
    <w:rPr>
      <w:rFonts w:ascii="New Century Schoolbook" w:hAnsi="New Century Schoolbook"/>
      <w:i/>
      <w:iCs/>
      <w:color w:val="000000"/>
      <w:sz w:val="30"/>
      <w:szCs w:val="30"/>
    </w:rPr>
  </w:style>
  <w:style w:type="paragraph" w:styleId="imt3Introduction-MajorTitleLevel3" w:customStyle="1">
    <w:name w:val="(imt3) Introduction - Major Title Level 3"/>
    <w:uiPriority w:val="99"/>
    <w:pPr>
      <w:widowControl w:val="false"/>
      <w:spacing w:after="40" w:before="40"/>
      <w:jc w:val="center"/>
    </w:pPr>
    <w:rPr>
      <w:rFonts w:ascii="New Century Schoolbook" w:hAnsi="New Century Schoolbook"/>
      <w:b/>
      <w:bCs/>
      <w:color w:val="000000"/>
      <w:sz w:val="28"/>
      <w:szCs w:val="28"/>
    </w:rPr>
  </w:style>
  <w:style w:type="paragraph" w:styleId="imt4Introduction-MajorTitleLevel4" w:customStyle="1">
    <w:name w:val="(imt4) Introduction - Major Title Level 4"/>
    <w:uiPriority w:val="99"/>
    <w:pPr>
      <w:widowControl w:val="false"/>
      <w:spacing w:after="40" w:before="40"/>
      <w:jc w:val="center"/>
    </w:pPr>
    <w:rPr>
      <w:rFonts w:ascii="New Century Schoolbook" w:hAnsi="New Century Schoolbook"/>
      <w:i/>
      <w:iCs/>
      <w:color w:val="000000"/>
      <w:sz w:val="28"/>
      <w:szCs w:val="28"/>
    </w:rPr>
  </w:style>
  <w:style w:type="paragraph" w:styleId="imteIntroduction-MajorTitleatIntroductionEnd" w:customStyle="1">
    <w:name w:val="(imte) Introduction - Major Title at Introduction End"/>
    <w:uiPriority w:val="99"/>
    <w:pPr>
      <w:widowControl w:val="false"/>
      <w:jc w:val="center"/>
    </w:pPr>
    <w:rPr>
      <w:rFonts w:ascii="New Century Schoolbook" w:hAnsi="New Century Schoolbook"/>
      <w:b/>
      <w:bCs/>
      <w:color w:val="000000"/>
      <w:sz w:val="46"/>
      <w:szCs w:val="46"/>
    </w:rPr>
  </w:style>
  <w:style w:type="paragraph" w:styleId="isIntroduction-SectionHeadingLevel1" w:customStyle="1">
    <w:name w:val="(is) Introduction - Section Heading Level 1"/>
    <w:uiPriority w:val="99"/>
    <w:pPr>
      <w:widowControl w:val="false"/>
      <w:spacing w:after="80" w:before="160"/>
      <w:jc w:val="center"/>
    </w:pPr>
    <w:rPr>
      <w:rFonts w:ascii="New Century Schoolbook" w:hAnsi="New Century Schoolbook"/>
      <w:b/>
      <w:bCs/>
      <w:color w:val="000000"/>
      <w:sz w:val="28"/>
      <w:szCs w:val="28"/>
    </w:rPr>
  </w:style>
  <w:style w:type="paragraph" w:styleId="is1Introduction-SectionHeadingLevel1" w:customStyle="1">
    <w:name w:val="(is1) Introduction - Section Heading Level 1"/>
    <w:uiPriority w:val="99"/>
    <w:pPr>
      <w:widowControl w:val="false"/>
      <w:spacing w:after="80" w:before="160"/>
      <w:jc w:val="center"/>
    </w:pPr>
    <w:rPr>
      <w:rFonts w:ascii="New Century Schoolbook" w:hAnsi="New Century Schoolbook"/>
      <w:b/>
      <w:bCs/>
      <w:color w:val="000000"/>
      <w:sz w:val="28"/>
      <w:szCs w:val="28"/>
    </w:rPr>
  </w:style>
  <w:style w:type="paragraph" w:styleId="is2Introduction-SectionHeadingLevel2" w:customStyle="1">
    <w:name w:val="(is2) Introduction - Section Heading Level 2"/>
    <w:uiPriority w:val="99"/>
    <w:pPr>
      <w:widowControl w:val="false"/>
      <w:spacing w:after="80" w:before="160"/>
      <w:jc w:val="center"/>
    </w:pPr>
    <w:rPr>
      <w:rFonts w:ascii="New Century Schoolbook" w:hAnsi="New Century Schoolbook"/>
      <w:b/>
      <w:bCs/>
      <w:color w:val="000000"/>
      <w:sz w:val="28"/>
      <w:szCs w:val="28"/>
    </w:rPr>
  </w:style>
  <w:style w:type="paragraph" w:styleId="iotIntroduction-OutlineTitle" w:customStyle="1">
    <w:name w:val="(iot) Introduction - Outline Title"/>
    <w:uiPriority w:val="99"/>
    <w:pPr>
      <w:widowControl w:val="false"/>
      <w:spacing w:after="80" w:before="160"/>
      <w:jc w:val="center"/>
    </w:pPr>
    <w:rPr>
      <w:rFonts w:ascii="New Century Schoolbook" w:hAnsi="New Century Schoolbook"/>
      <w:b/>
      <w:bCs/>
      <w:color w:val="000000"/>
      <w:sz w:val="28"/>
      <w:szCs w:val="28"/>
    </w:rPr>
  </w:style>
  <w:style w:type="paragraph" w:styleId="io1Introduction-OutlineLevel1" w:customStyle="1">
    <w:name w:val="(io1) Introduction - Outline Level 1"/>
    <w:uiPriority w:val="99"/>
    <w:pPr>
      <w:widowControl w:val="false"/>
      <w:ind w:left="720"/>
    </w:pPr>
    <w:rPr>
      <w:rFonts w:ascii="New Century Schoolbook" w:hAnsi="New Century Schoolbook"/>
      <w:color w:val="000000"/>
      <w:sz w:val="28"/>
      <w:szCs w:val="28"/>
    </w:rPr>
  </w:style>
  <w:style w:type="paragraph" w:styleId="io2Introduction-OutlineLevel2" w:customStyle="1">
    <w:name w:val="(io2) Introduction - Outline Level 2"/>
    <w:uiPriority w:val="99"/>
    <w:pPr>
      <w:widowControl w:val="false"/>
      <w:ind w:left="1080"/>
    </w:pPr>
    <w:rPr>
      <w:rFonts w:ascii="New Century Schoolbook" w:hAnsi="New Century Schoolbook"/>
      <w:color w:val="000000"/>
      <w:sz w:val="28"/>
      <w:szCs w:val="28"/>
    </w:rPr>
  </w:style>
  <w:style w:type="paragraph" w:styleId="io3Introduction-OutlineLevel3" w:customStyle="1">
    <w:name w:val="(io3) Introduction - Outline Level 3"/>
    <w:uiPriority w:val="99"/>
    <w:pPr>
      <w:widowControl w:val="false"/>
      <w:ind w:left="1440"/>
    </w:pPr>
    <w:rPr>
      <w:rFonts w:ascii="New Century Schoolbook" w:hAnsi="New Century Schoolbook"/>
      <w:color w:val="000000"/>
      <w:sz w:val="28"/>
      <w:szCs w:val="28"/>
    </w:rPr>
  </w:style>
  <w:style w:type="paragraph" w:styleId="io4Introduction-OutlineLevel4" w:customStyle="1">
    <w:name w:val="(io4) Introduction - Outline Level 4"/>
    <w:uiPriority w:val="99"/>
    <w:pPr>
      <w:widowControl w:val="false"/>
      <w:ind w:left="1800"/>
    </w:pPr>
    <w:rPr>
      <w:rFonts w:ascii="New Century Schoolbook" w:hAnsi="New Century Schoolbook"/>
      <w:color w:val="000000"/>
      <w:sz w:val="28"/>
      <w:szCs w:val="28"/>
    </w:rPr>
  </w:style>
  <w:style w:type="character" w:styleId="ioriorIntroduction-OutlineReferencesRange" w:customStyle="1">
    <w:name w:val="(ior...ior*) Introduction - Outline References Range"/>
    <w:uiPriority w:val="99"/>
    <w:rPr>
      <w:color w:val="000000"/>
      <w:sz w:val="28"/>
      <w:szCs w:val="28"/>
    </w:rPr>
  </w:style>
  <w:style w:type="paragraph" w:styleId="ipIntroduction-Paragraph" w:customStyle="1">
    <w:name w:val="(ip) Introduction - Paragraph"/>
    <w:uiPriority w:val="99"/>
    <w:pPr>
      <w:widowControl w:val="false"/>
      <w:ind w:firstLine="180"/>
    </w:pPr>
    <w:rPr>
      <w:rFonts w:ascii="New Century Schoolbook" w:hAnsi="New Century Schoolbook"/>
      <w:color w:val="000000"/>
      <w:sz w:val="28"/>
      <w:szCs w:val="28"/>
    </w:rPr>
  </w:style>
  <w:style w:type="paragraph" w:styleId="imIntroduction-Paragraph" w:customStyle="1">
    <w:name w:val="(im) Introduction - Paragraph"/>
    <w:aliases w:val="no first line indent"/>
    <w:uiPriority w:val="99"/>
    <w:pPr>
      <w:widowControl w:val="false"/>
    </w:pPr>
    <w:rPr>
      <w:rFonts w:ascii="New Century Schoolbook" w:hAnsi="New Century Schoolbook"/>
      <w:color w:val="000000"/>
      <w:sz w:val="28"/>
      <w:szCs w:val="28"/>
    </w:rPr>
  </w:style>
  <w:style w:type="paragraph" w:styleId="ipiIntroduction-IndentedPara" w:customStyle="1">
    <w:name w:val="(ipi) Introduction - Indented Para"/>
    <w:aliases w:val="first line indent"/>
    <w:uiPriority w:val="99"/>
    <w:pPr>
      <w:widowControl w:val="false"/>
      <w:ind w:right="360" w:firstLine="180" w:left="360"/>
    </w:pPr>
    <w:rPr>
      <w:rFonts w:ascii="New Century Schoolbook" w:hAnsi="New Century Schoolbook"/>
      <w:color w:val="000000"/>
      <w:sz w:val="28"/>
      <w:szCs w:val="28"/>
    </w:rPr>
  </w:style>
  <w:style w:type="paragraph" w:styleId="imiIntroduction-IndentedPara" w:customStyle="1">
    <w:name w:val="(imi) Introduction - Indented Para"/>
    <w:aliases w:val="no first line indent5"/>
    <w:uiPriority w:val="99"/>
    <w:pPr>
      <w:widowControl w:val="false"/>
      <w:ind w:right="360" w:left="360"/>
    </w:pPr>
    <w:rPr>
      <w:rFonts w:ascii="New Century Schoolbook" w:hAnsi="New Century Schoolbook"/>
      <w:color w:val="000000"/>
      <w:sz w:val="28"/>
      <w:szCs w:val="28"/>
    </w:rPr>
  </w:style>
  <w:style w:type="paragraph" w:styleId="ipqIntroduction-Paragraph" w:customStyle="1">
    <w:name w:val="(ipq) Introduction - Paragraph"/>
    <w:aliases w:val="quote from text"/>
    <w:uiPriority w:val="99"/>
    <w:pPr>
      <w:widowControl w:val="false"/>
      <w:ind w:right="360" w:firstLine="180" w:left="360"/>
    </w:pPr>
    <w:rPr>
      <w:rFonts w:ascii="New Century Schoolbook" w:hAnsi="New Century Schoolbook"/>
      <w:i/>
      <w:iCs/>
      <w:color w:val="000000"/>
      <w:sz w:val="28"/>
      <w:szCs w:val="28"/>
    </w:rPr>
  </w:style>
  <w:style w:type="paragraph" w:styleId="imqIntroduction-Paragraph" w:customStyle="1">
    <w:name w:val="(imq) Introduction - Paragraph"/>
    <w:aliases w:val="quote from text3,no first line indent4"/>
    <w:uiPriority w:val="99"/>
    <w:pPr>
      <w:widowControl w:val="false"/>
      <w:ind w:right="360" w:left="360"/>
    </w:pPr>
    <w:rPr>
      <w:rFonts w:ascii="New Century Schoolbook" w:hAnsi="New Century Schoolbook"/>
      <w:i/>
      <w:iCs/>
      <w:color w:val="000000"/>
      <w:sz w:val="28"/>
      <w:szCs w:val="28"/>
    </w:rPr>
  </w:style>
  <w:style w:type="paragraph" w:styleId="iprIntroduction-Paragraph" w:customStyle="1">
    <w:name w:val="(ipr) Introduction - Paragraph"/>
    <w:aliases w:val="right aligned"/>
    <w:uiPriority w:val="99"/>
    <w:pPr>
      <w:widowControl w:val="false"/>
      <w:ind w:right="360" w:left="360"/>
      <w:jc w:val="right"/>
    </w:pPr>
    <w:rPr>
      <w:rFonts w:ascii="New Century Schoolbook" w:hAnsi="New Century Schoolbook"/>
      <w:i/>
      <w:iCs/>
      <w:color w:val="000000"/>
      <w:sz w:val="28"/>
      <w:szCs w:val="28"/>
    </w:rPr>
  </w:style>
  <w:style w:type="paragraph" w:styleId="ibIntroduction-BlankLine" w:customStyle="1">
    <w:name w:val="(ib) Introduction - Blank Line"/>
    <w:uiPriority w:val="99"/>
    <w:pPr>
      <w:widowControl w:val="false"/>
    </w:pPr>
    <w:rPr>
      <w:rFonts w:ascii="New Century Schoolbook" w:hAnsi="New Century Schoolbook"/>
      <w:color w:val="000000"/>
      <w:sz w:val="12"/>
      <w:szCs w:val="12"/>
    </w:rPr>
  </w:style>
  <w:style w:type="paragraph" w:styleId="iqIntroduction-PoetryLevel1" w:customStyle="1">
    <w:name w:val="(iq) Introduction - Poetry Level 1"/>
    <w:uiPriority w:val="99"/>
    <w:pPr>
      <w:widowControl w:val="false"/>
      <w:ind w:hanging="1080" w:left="1440"/>
    </w:pPr>
    <w:rPr>
      <w:rFonts w:ascii="New Century Schoolbook" w:hAnsi="New Century Schoolbook"/>
      <w:i/>
      <w:iCs/>
      <w:color w:val="000000"/>
      <w:sz w:val="28"/>
      <w:szCs w:val="28"/>
    </w:rPr>
  </w:style>
  <w:style w:type="paragraph" w:styleId="iq1Introduction-PoetryLevel1" w:customStyle="1">
    <w:name w:val="(iq1) Introduction - Poetry Level 1"/>
    <w:uiPriority w:val="99"/>
    <w:pPr>
      <w:widowControl w:val="false"/>
      <w:ind w:hanging="1080" w:left="1440"/>
    </w:pPr>
    <w:rPr>
      <w:rFonts w:ascii="New Century Schoolbook" w:hAnsi="New Century Schoolbook"/>
      <w:i/>
      <w:iCs/>
      <w:color w:val="000000"/>
      <w:sz w:val="28"/>
      <w:szCs w:val="28"/>
    </w:rPr>
  </w:style>
  <w:style w:type="paragraph" w:styleId="iq2Introduction-PoetryLevel2" w:customStyle="1">
    <w:name w:val="(iq2) Introduction - Poetry Level 2"/>
    <w:uiPriority w:val="99"/>
    <w:pPr>
      <w:widowControl w:val="false"/>
      <w:ind w:hanging="720" w:left="1440"/>
    </w:pPr>
    <w:rPr>
      <w:rFonts w:ascii="New Century Schoolbook" w:hAnsi="New Century Schoolbook"/>
      <w:i/>
      <w:iCs/>
      <w:color w:val="000000"/>
      <w:sz w:val="28"/>
      <w:szCs w:val="28"/>
    </w:rPr>
  </w:style>
  <w:style w:type="paragraph" w:styleId="iq3Introduction-PoetryLevel3" w:customStyle="1">
    <w:name w:val="(iq3) Introduction - Poetry Level 3"/>
    <w:uiPriority w:val="99"/>
    <w:pPr>
      <w:widowControl w:val="false"/>
      <w:ind w:hanging="360" w:left="1440"/>
    </w:pPr>
    <w:rPr>
      <w:rFonts w:ascii="New Century Schoolbook" w:hAnsi="New Century Schoolbook"/>
      <w:i/>
      <w:iCs/>
      <w:color w:val="000000"/>
      <w:sz w:val="28"/>
      <w:szCs w:val="28"/>
    </w:rPr>
  </w:style>
  <w:style w:type="paragraph" w:styleId="iexIntroduction-ExplanatoryorBridgeText" w:customStyle="1">
    <w:name w:val="(iex) Introduction - Explanatory or Bridge Text"/>
    <w:uiPriority w:val="99"/>
    <w:pPr>
      <w:widowControl w:val="false"/>
      <w:spacing w:after="80" w:before="80"/>
      <w:ind w:firstLine="180"/>
    </w:pPr>
    <w:rPr>
      <w:rFonts w:ascii="New Century Schoolbook" w:hAnsi="New Century Schoolbook"/>
      <w:color w:val="000000"/>
      <w:sz w:val="28"/>
      <w:szCs w:val="28"/>
    </w:rPr>
  </w:style>
  <w:style w:type="character" w:styleId="jmp-link" w:customStyle="1">
    <w:name w:val="jmp - link"/>
    <w:uiPriority w:val="99"/>
    <w:rPr>
      <w:b/>
      <w:bCs/>
      <w:color w:val="0000ff"/>
      <w:sz w:val="26"/>
      <w:szCs w:val="26"/>
      <w:u w:val="single"/>
    </w:rPr>
  </w:style>
  <w:style w:type="character" w:styleId="lnklnk-link" w:customStyle="1">
    <w:name w:val="lnk ... lnk* - link"/>
    <w:uiPriority w:val="99"/>
    <w:rPr>
      <w:b/>
      <w:bCs/>
      <w:color w:val="000000"/>
      <w:sz w:val="28"/>
      <w:szCs w:val="28"/>
    </w:rPr>
  </w:style>
  <w:style w:type="character" w:styleId="note-link" w:customStyle="1">
    <w:name w:val="note - link"/>
    <w:uiPriority w:val="99"/>
    <w:rPr>
      <w:b/>
      <w:bCs/>
      <w:color w:val="000000"/>
      <w:sz w:val="28"/>
      <w:szCs w:val="28"/>
    </w:rPr>
  </w:style>
  <w:style w:type="paragraph" w:styleId="caCapitolAlternativ" w:customStyle="1">
    <w:name w:val="(ca) Capitol Alternativ"/>
    <w:uiPriority w:val="99"/>
    <w:pPr>
      <w:widowControl w:val="false"/>
      <w:spacing w:after="60" w:before="140"/>
    </w:pPr>
    <w:rPr>
      <w:rFonts w:ascii="New Century Schoolbook" w:hAnsi="New Century Schoolbook"/>
      <w:b/>
      <w:bCs/>
      <w:color w:val="228b22"/>
      <w:sz w:val="38"/>
      <w:szCs w:val="38"/>
    </w:rPr>
  </w:style>
  <w:style w:type="paragraph" w:styleId="cpChapterNumber-PublishingAlternate" w:customStyle="1">
    <w:name w:val="(cp) Chapter Number - Publishing Alternate"/>
    <w:uiPriority w:val="99"/>
    <w:pPr>
      <w:widowControl w:val="false"/>
      <w:spacing w:after="80" w:before="160"/>
    </w:pPr>
    <w:rPr>
      <w:rFonts w:ascii="New Century Schoolbook" w:hAnsi="New Century Schoolbook"/>
      <w:b/>
      <w:bCs/>
      <w:color w:val="0000ff"/>
      <w:sz w:val="42"/>
      <w:szCs w:val="42"/>
    </w:rPr>
  </w:style>
  <w:style w:type="paragraph" w:styleId="clNumeCapitol" w:customStyle="1">
    <w:name w:val="(cl) Nume Capitol"/>
    <w:uiPriority w:val="99"/>
    <w:pPr>
      <w:widowControl w:val="false"/>
      <w:spacing w:after="80" w:before="160"/>
      <w:jc w:val="center"/>
    </w:pPr>
    <w:rPr>
      <w:rFonts w:ascii="New Century Schoolbook" w:hAnsi="New Century Schoolbook"/>
      <w:b/>
      <w:bCs/>
      <w:color w:val="000000"/>
      <w:sz w:val="42"/>
      <w:szCs w:val="42"/>
    </w:rPr>
  </w:style>
  <w:style w:type="paragraph" w:styleId="cdCapitol-Descriere" w:customStyle="1">
    <w:name w:val="(cd) Capitol - Descriere"/>
    <w:uiPriority w:val="99"/>
    <w:pPr>
      <w:widowControl w:val="false"/>
      <w:spacing w:after="80" w:before="160"/>
    </w:pPr>
    <w:rPr>
      <w:rFonts w:ascii="New Century Schoolbook" w:hAnsi="New Century Schoolbook"/>
      <w:color w:val="000000"/>
      <w:sz w:val="26"/>
      <w:szCs w:val="26"/>
    </w:rPr>
  </w:style>
  <w:style w:type="character" w:styleId="vaVerseNumber-Alternate" w:customStyle="1">
    <w:name w:val="(va) Verse Number - Alternate"/>
    <w:uiPriority w:val="99"/>
    <w:rPr>
      <w:color w:val="228b22"/>
      <w:sz w:val="28"/>
      <w:szCs w:val="28"/>
      <w:vertAlign w:val="superscript"/>
    </w:rPr>
  </w:style>
  <w:style w:type="character" w:styleId="vpVerseNumber-PublishingAlternate" w:customStyle="1">
    <w:name w:val="(vp) Verse Number - Publishing Alternate"/>
    <w:uiPriority w:val="99"/>
    <w:rPr>
      <w:color w:val="0000ff"/>
      <w:sz w:val="28"/>
      <w:szCs w:val="28"/>
      <w:vertAlign w:val="superscript"/>
    </w:rPr>
  </w:style>
  <w:style w:type="paragraph" w:styleId="pcParagraf-Centrat" w:customStyle="1">
    <w:name w:val="(pc) Paragraf - Centrat"/>
    <w:uiPriority w:val="99"/>
    <w:pPr>
      <w:widowControl w:val="false"/>
      <w:jc w:val="center"/>
    </w:pPr>
    <w:rPr>
      <w:rFonts w:ascii="New Century Schoolbook" w:hAnsi="New Century Schoolbook"/>
      <w:color w:val="000000"/>
      <w:sz w:val="28"/>
      <w:szCs w:val="28"/>
    </w:rPr>
  </w:style>
  <w:style w:type="paragraph" w:styleId="prParagraph-RightAligned" w:customStyle="1">
    <w:name w:val="(pr) Paragraph - Right Aligned"/>
    <w:uiPriority w:val="99"/>
    <w:pPr>
      <w:widowControl w:val="false"/>
      <w:jc w:val="right"/>
    </w:pPr>
    <w:rPr>
      <w:rFonts w:ascii="New Century Schoolbook" w:hAnsi="New Century Schoolbook"/>
      <w:color w:val="000000"/>
      <w:sz w:val="28"/>
      <w:szCs w:val="28"/>
    </w:rPr>
  </w:style>
  <w:style w:type="paragraph" w:styleId="psParagraph-NoBreakwithNextParagraph" w:customStyle="1">
    <w:name w:val="(ps) Paragraph - No Break with Next Paragraph"/>
    <w:uiPriority w:val="99"/>
    <w:pPr>
      <w:widowControl w:val="false"/>
      <w:ind w:firstLine="180"/>
    </w:pPr>
    <w:rPr>
      <w:rFonts w:ascii="New Century Schoolbook" w:hAnsi="New Century Schoolbook"/>
      <w:color w:val="000000"/>
      <w:sz w:val="28"/>
      <w:szCs w:val="28"/>
    </w:rPr>
  </w:style>
  <w:style w:type="paragraph" w:styleId="pi1Paragraph-Indented" w:customStyle="1">
    <w:name w:val="(pi1) Paragraph - Indented"/>
    <w:aliases w:val="Level 112,First Line Indent9"/>
    <w:uiPriority w:val="99"/>
    <w:pPr>
      <w:widowControl w:val="false"/>
      <w:ind w:right="360" w:firstLine="180" w:left="360"/>
    </w:pPr>
    <w:rPr>
      <w:rFonts w:ascii="New Century Schoolbook" w:hAnsi="New Century Schoolbook"/>
      <w:color w:val="000000"/>
      <w:sz w:val="28"/>
      <w:szCs w:val="28"/>
    </w:rPr>
  </w:style>
  <w:style w:type="paragraph" w:styleId="pi2Paragraph-Indented" w:customStyle="1">
    <w:name w:val="(pi2) Paragraph - Indented"/>
    <w:aliases w:val="Level 2,First Line Indent8"/>
    <w:uiPriority w:val="99"/>
    <w:pPr>
      <w:widowControl w:val="false"/>
      <w:ind w:right="360" w:firstLine="180" w:left="720"/>
    </w:pPr>
    <w:rPr>
      <w:rFonts w:ascii="New Century Schoolbook" w:hAnsi="New Century Schoolbook"/>
      <w:color w:val="000000"/>
      <w:sz w:val="28"/>
      <w:szCs w:val="28"/>
    </w:rPr>
  </w:style>
  <w:style w:type="paragraph" w:styleId="pi3Paragraph-Indented" w:customStyle="1">
    <w:name w:val="(pi3) Paragraph - Indented"/>
    <w:aliases w:val="Level 3,First Line Indent7"/>
    <w:uiPriority w:val="99"/>
    <w:pPr>
      <w:widowControl w:val="false"/>
      <w:ind w:right="360" w:firstLine="180" w:left="1080"/>
    </w:pPr>
    <w:rPr>
      <w:rFonts w:ascii="New Century Schoolbook" w:hAnsi="New Century Schoolbook"/>
      <w:color w:val="000000"/>
      <w:sz w:val="28"/>
      <w:szCs w:val="28"/>
    </w:rPr>
  </w:style>
  <w:style w:type="paragraph" w:styleId="phParagraph-HangingIndent" w:customStyle="1">
    <w:name w:val="(ph) Paragraph - Hanging Indent"/>
    <w:aliases w:val="Level 111"/>
    <w:uiPriority w:val="99"/>
    <w:pPr>
      <w:widowControl w:val="false"/>
      <w:ind w:hanging="360" w:left="720"/>
    </w:pPr>
    <w:rPr>
      <w:rFonts w:ascii="New Century Schoolbook" w:hAnsi="New Century Schoolbook"/>
      <w:color w:val="000000"/>
      <w:sz w:val="28"/>
      <w:szCs w:val="28"/>
    </w:rPr>
  </w:style>
  <w:style w:type="paragraph" w:styleId="ph1Paragraph-HangingIndent" w:customStyle="1">
    <w:name w:val="(ph1) Paragraph - Hanging Indent"/>
    <w:aliases w:val="Level 110"/>
    <w:uiPriority w:val="99"/>
    <w:pPr>
      <w:widowControl w:val="false"/>
      <w:ind w:hanging="360" w:left="720"/>
    </w:pPr>
    <w:rPr>
      <w:rFonts w:ascii="New Century Schoolbook" w:hAnsi="New Century Schoolbook"/>
      <w:color w:val="000000"/>
      <w:sz w:val="28"/>
      <w:szCs w:val="28"/>
    </w:rPr>
  </w:style>
  <w:style w:type="paragraph" w:styleId="ph2Paragraph-HangingIndent" w:customStyle="1">
    <w:name w:val="(ph2) Paragraph - Hanging Indent"/>
    <w:aliases w:val="Level 26"/>
    <w:uiPriority w:val="99"/>
    <w:pPr>
      <w:widowControl w:val="false"/>
      <w:ind w:hanging="360" w:left="1080"/>
    </w:pPr>
    <w:rPr>
      <w:rFonts w:ascii="New Century Schoolbook" w:hAnsi="New Century Schoolbook"/>
      <w:color w:val="000000"/>
      <w:sz w:val="28"/>
      <w:szCs w:val="28"/>
    </w:rPr>
  </w:style>
  <w:style w:type="paragraph" w:styleId="ph3Paragraph-HangingIndent" w:customStyle="1">
    <w:name w:val="(ph3) Paragraph - Hanging Indent"/>
    <w:aliases w:val="Level 34"/>
    <w:uiPriority w:val="99"/>
    <w:pPr>
      <w:widowControl w:val="false"/>
      <w:ind w:hanging="360" w:left="1440"/>
    </w:pPr>
    <w:rPr>
      <w:rFonts w:ascii="New Century Schoolbook" w:hAnsi="New Century Schoolbook"/>
      <w:color w:val="000000"/>
      <w:sz w:val="28"/>
      <w:szCs w:val="28"/>
    </w:rPr>
  </w:style>
  <w:style w:type="paragraph" w:styleId="psiParagraph-Indented" w:customStyle="1">
    <w:name w:val="(psi) Paragraph - Indented"/>
    <w:aliases w:val="No Break with Next"/>
    <w:uiPriority w:val="99"/>
    <w:pPr>
      <w:widowControl w:val="false"/>
      <w:ind w:right="360" w:firstLine="180" w:left="360"/>
    </w:pPr>
    <w:rPr>
      <w:rFonts w:ascii="New Century Schoolbook" w:hAnsi="New Century Schoolbook"/>
      <w:color w:val="000000"/>
      <w:sz w:val="28"/>
      <w:szCs w:val="28"/>
    </w:rPr>
  </w:style>
  <w:style w:type="paragraph" w:styleId="miParagraph-Indented" w:customStyle="1">
    <w:name w:val="(mi) Paragraph - Indented"/>
    <w:aliases w:val="No First Line Indent3"/>
    <w:uiPriority w:val="99"/>
    <w:pPr>
      <w:widowControl w:val="false"/>
      <w:ind w:right="360" w:left="360"/>
    </w:pPr>
    <w:rPr>
      <w:rFonts w:ascii="New Century Schoolbook" w:hAnsi="New Century Schoolbook"/>
      <w:color w:val="000000"/>
      <w:sz w:val="28"/>
      <w:szCs w:val="28"/>
    </w:rPr>
  </w:style>
  <w:style w:type="paragraph" w:styleId="nbParagraph-NoBreakwithPreviousParagraph" w:customStyle="1">
    <w:name w:val="(nb) Paragraph - No Break with Previous Paragraph"/>
    <w:uiPriority w:val="99"/>
    <w:pPr>
      <w:widowControl w:val="false"/>
    </w:pPr>
    <w:rPr>
      <w:rFonts w:ascii="New Century Schoolbook" w:hAnsi="New Century Schoolbook"/>
      <w:color w:val="000000"/>
      <w:sz w:val="28"/>
      <w:szCs w:val="28"/>
    </w:rPr>
  </w:style>
  <w:style w:type="paragraph" w:styleId="clsParagraph-ClosureofanEpistle" w:customStyle="1">
    <w:name w:val="(cls) Paragraph - Closure of an Epistle"/>
    <w:uiPriority w:val="99"/>
    <w:pPr>
      <w:widowControl w:val="false"/>
      <w:jc w:val="right"/>
    </w:pPr>
    <w:rPr>
      <w:rFonts w:ascii="New Century Schoolbook" w:hAnsi="New Century Schoolbook"/>
      <w:color w:val="000000"/>
      <w:sz w:val="28"/>
      <w:szCs w:val="28"/>
    </w:rPr>
  </w:style>
  <w:style w:type="paragraph" w:styleId="q1Poetry-IndentLevel1" w:customStyle="1">
    <w:name w:val="(q1) Poetry - Indent Level 1"/>
    <w:uiPriority w:val="99"/>
    <w:pPr>
      <w:widowControl w:val="false"/>
      <w:ind w:hanging="1080" w:left="1440"/>
    </w:pPr>
    <w:rPr>
      <w:rFonts w:ascii="New Century Schoolbook" w:hAnsi="New Century Schoolbook"/>
      <w:color w:val="000000"/>
      <w:sz w:val="28"/>
      <w:szCs w:val="28"/>
    </w:rPr>
  </w:style>
  <w:style w:type="paragraph" w:styleId="q2Poetry-IndentLevel2" w:customStyle="1">
    <w:name w:val="(q2) Poetry - Indent Level 2"/>
    <w:uiPriority w:val="99"/>
    <w:pPr>
      <w:widowControl w:val="false"/>
      <w:ind w:hanging="720" w:left="1440"/>
    </w:pPr>
    <w:rPr>
      <w:rFonts w:ascii="New Century Schoolbook" w:hAnsi="New Century Schoolbook"/>
      <w:color w:val="000000"/>
      <w:sz w:val="28"/>
      <w:szCs w:val="28"/>
    </w:rPr>
  </w:style>
  <w:style w:type="paragraph" w:styleId="q3Poetry-IndentLevel3" w:customStyle="1">
    <w:name w:val="(q3) Poetry - Indent Level 3"/>
    <w:uiPriority w:val="99"/>
    <w:pPr>
      <w:widowControl w:val="false"/>
      <w:ind w:hanging="360" w:left="1440"/>
    </w:pPr>
    <w:rPr>
      <w:rFonts w:ascii="New Century Schoolbook" w:hAnsi="New Century Schoolbook"/>
      <w:color w:val="000000"/>
      <w:sz w:val="28"/>
      <w:szCs w:val="28"/>
    </w:rPr>
  </w:style>
  <w:style w:type="paragraph" w:styleId="qcPoetry-Centered" w:customStyle="1">
    <w:name w:val="(qc) Poetry - Centered"/>
    <w:uiPriority w:val="99"/>
    <w:pPr>
      <w:widowControl w:val="false"/>
      <w:jc w:val="center"/>
    </w:pPr>
    <w:rPr>
      <w:rFonts w:ascii="New Century Schoolbook" w:hAnsi="New Century Schoolbook"/>
      <w:color w:val="000000"/>
      <w:sz w:val="28"/>
      <w:szCs w:val="28"/>
    </w:rPr>
  </w:style>
  <w:style w:type="paragraph" w:styleId="qrPoetry-RightAligned" w:customStyle="1">
    <w:name w:val="(qr) Poetry - Right Aligned"/>
    <w:uiPriority w:val="99"/>
    <w:pPr>
      <w:widowControl w:val="false"/>
      <w:jc w:val="right"/>
    </w:pPr>
    <w:rPr>
      <w:rFonts w:ascii="New Century Schoolbook" w:hAnsi="New Century Schoolbook"/>
      <w:color w:val="000000"/>
      <w:sz w:val="28"/>
      <w:szCs w:val="28"/>
    </w:rPr>
  </w:style>
  <w:style w:type="character" w:styleId="qsqsPoetryText-Selah" w:customStyle="1">
    <w:name w:val="(qs...qs*) Poetry Text - Selah"/>
    <w:uiPriority w:val="99"/>
    <w:rPr>
      <w:i/>
      <w:iCs/>
      <w:color w:val="000000"/>
      <w:sz w:val="28"/>
      <w:szCs w:val="28"/>
    </w:rPr>
  </w:style>
  <w:style w:type="paragraph" w:styleId="qaPoetry-AcrosticHeadingMarker" w:customStyle="1">
    <w:name w:val="(qa) Poetry - Acrostic Heading/Marker"/>
    <w:uiPriority w:val="99"/>
    <w:pPr>
      <w:widowControl w:val="false"/>
    </w:pPr>
    <w:rPr>
      <w:rFonts w:ascii="New Century Schoolbook" w:hAnsi="New Century Schoolbook"/>
      <w:i/>
      <w:iCs/>
      <w:color w:val="000000"/>
      <w:sz w:val="28"/>
      <w:szCs w:val="28"/>
    </w:rPr>
  </w:style>
  <w:style w:type="character" w:styleId="qacqacPoetryText-AcrosticLetter" w:customStyle="1">
    <w:name w:val="(qac...qac*) Poetry Text - Acrostic Letter"/>
    <w:uiPriority w:val="99"/>
    <w:rPr>
      <w:i/>
      <w:iCs/>
      <w:color w:val="000000"/>
      <w:sz w:val="28"/>
      <w:szCs w:val="28"/>
    </w:rPr>
  </w:style>
  <w:style w:type="paragraph" w:styleId="bPoetry-StanzaBreakBlankLine" w:customStyle="1">
    <w:name w:val="(b) Poetry - Stanza Break (Blank Line)"/>
    <w:uiPriority w:val="99"/>
    <w:pPr>
      <w:widowControl w:val="false"/>
    </w:pPr>
    <w:rPr>
      <w:rFonts w:ascii="New Century Schoolbook" w:hAnsi="New Century Schoolbook"/>
      <w:color w:val="000000"/>
      <w:sz w:val="12"/>
      <w:szCs w:val="12"/>
    </w:rPr>
  </w:style>
  <w:style w:type="paragraph" w:styleId="mt1Title-MajorTitleLevel1" w:customStyle="1">
    <w:name w:val="(mt1) Title - Major Title Level 1"/>
    <w:uiPriority w:val="99"/>
    <w:pPr>
      <w:widowControl w:val="false"/>
      <w:spacing w:after="80" w:before="40"/>
      <w:jc w:val="center"/>
    </w:pPr>
    <w:rPr>
      <w:rFonts w:ascii="New Century Schoolbook" w:hAnsi="New Century Schoolbook"/>
      <w:b/>
      <w:bCs/>
      <w:color w:val="000000"/>
      <w:sz w:val="46"/>
      <w:szCs w:val="46"/>
    </w:rPr>
  </w:style>
  <w:style w:type="paragraph" w:styleId="mt2Title-MajorTitleLevel2" w:customStyle="1">
    <w:name w:val="(mt2) Title - Major Title Level 2"/>
    <w:uiPriority w:val="99"/>
    <w:pPr>
      <w:widowControl w:val="false"/>
      <w:spacing w:after="40"/>
      <w:jc w:val="center"/>
    </w:pPr>
    <w:rPr>
      <w:rFonts w:ascii="New Century Schoolbook" w:hAnsi="New Century Schoolbook"/>
      <w:i/>
      <w:iCs/>
      <w:color w:val="000000"/>
      <w:sz w:val="38"/>
      <w:szCs w:val="38"/>
    </w:rPr>
  </w:style>
  <w:style w:type="paragraph" w:styleId="mt3Title-MajorTitleLevel3" w:customStyle="1">
    <w:name w:val="(mt3) Title - Major Title Level 3"/>
    <w:uiPriority w:val="99"/>
    <w:pPr>
      <w:widowControl w:val="false"/>
      <w:spacing w:after="40" w:before="40"/>
      <w:jc w:val="center"/>
    </w:pPr>
    <w:rPr>
      <w:rFonts w:ascii="New Century Schoolbook" w:hAnsi="New Century Schoolbook"/>
      <w:b/>
      <w:bCs/>
      <w:color w:val="000000"/>
      <w:sz w:val="38"/>
      <w:szCs w:val="38"/>
    </w:rPr>
  </w:style>
  <w:style w:type="paragraph" w:styleId="mt4Title-MajorTitlelevel4" w:customStyle="1">
    <w:name w:val="(mt4) Title - Major Title level 4"/>
    <w:uiPriority w:val="99"/>
    <w:pPr>
      <w:widowControl w:val="false"/>
      <w:spacing w:after="40" w:before="40"/>
      <w:jc w:val="center"/>
    </w:pPr>
    <w:rPr>
      <w:rFonts w:ascii="New Century Schoolbook" w:hAnsi="New Century Schoolbook"/>
      <w:color w:val="000000"/>
      <w:sz w:val="28"/>
      <w:szCs w:val="28"/>
    </w:rPr>
  </w:style>
  <w:style w:type="paragraph" w:styleId="mteTitle-MajorTitleEndingLevel1" w:customStyle="1">
    <w:name w:val="(mte) Title - Major Title Ending Level 1"/>
    <w:uiPriority w:val="99"/>
    <w:pPr>
      <w:widowControl w:val="false"/>
      <w:spacing w:after="80" w:before="160"/>
      <w:jc w:val="center"/>
    </w:pPr>
    <w:rPr>
      <w:rFonts w:ascii="New Century Schoolbook" w:hAnsi="New Century Schoolbook"/>
      <w:b/>
      <w:bCs/>
      <w:color w:val="000000"/>
      <w:sz w:val="46"/>
      <w:szCs w:val="46"/>
    </w:rPr>
  </w:style>
  <w:style w:type="paragraph" w:styleId="mte1Title-MajorTitleEndingLevel1" w:customStyle="1">
    <w:name w:val="(mte1) Title - Major Title Ending Level 1"/>
    <w:uiPriority w:val="99"/>
    <w:pPr>
      <w:widowControl w:val="false"/>
      <w:spacing w:after="80" w:before="160"/>
      <w:jc w:val="center"/>
    </w:pPr>
    <w:rPr>
      <w:rFonts w:ascii="New Century Schoolbook" w:hAnsi="New Century Schoolbook"/>
      <w:b/>
      <w:bCs/>
      <w:color w:val="000000"/>
      <w:sz w:val="46"/>
      <w:szCs w:val="46"/>
    </w:rPr>
  </w:style>
  <w:style w:type="paragraph" w:styleId="mte2Title-MajorTitleEndingLevel2" w:customStyle="1">
    <w:name w:val="(mte2) Title - Major Title Ending Level 2"/>
    <w:uiPriority w:val="99"/>
    <w:pPr>
      <w:widowControl w:val="false"/>
      <w:spacing w:after="40"/>
      <w:jc w:val="center"/>
    </w:pPr>
    <w:rPr>
      <w:rFonts w:ascii="New Century Schoolbook" w:hAnsi="New Century Schoolbook"/>
      <w:i/>
      <w:iCs/>
      <w:color w:val="000000"/>
      <w:sz w:val="38"/>
      <w:szCs w:val="38"/>
    </w:rPr>
  </w:style>
  <w:style w:type="paragraph" w:styleId="msHeading-MajorSectionLevel1" w:customStyle="1">
    <w:name w:val="(ms) Heading - Major Section Level 1"/>
    <w:uiPriority w:val="99"/>
    <w:pPr>
      <w:widowControl w:val="false"/>
      <w:spacing w:after="80" w:before="320"/>
      <w:jc w:val="center"/>
    </w:pPr>
    <w:rPr>
      <w:rFonts w:ascii="New Century Schoolbook" w:hAnsi="New Century Schoolbook"/>
      <w:b/>
      <w:bCs/>
      <w:color w:val="000000"/>
      <w:sz w:val="32"/>
      <w:szCs w:val="32"/>
    </w:rPr>
  </w:style>
  <w:style w:type="paragraph" w:styleId="ms1Heading-MajorSectionLevel1" w:customStyle="1">
    <w:name w:val="(ms1) Heading - Major Section Level 1"/>
    <w:uiPriority w:val="99"/>
    <w:pPr>
      <w:widowControl w:val="false"/>
      <w:spacing w:after="80" w:before="320"/>
      <w:jc w:val="center"/>
    </w:pPr>
    <w:rPr>
      <w:rFonts w:ascii="New Century Schoolbook" w:hAnsi="New Century Schoolbook"/>
      <w:b/>
      <w:bCs/>
      <w:color w:val="000000"/>
      <w:sz w:val="32"/>
      <w:szCs w:val="32"/>
    </w:rPr>
  </w:style>
  <w:style w:type="paragraph" w:styleId="ms2Heading-MajorSectionLevel2" w:customStyle="1">
    <w:name w:val="(ms2) Heading - Major Section Level 2"/>
    <w:uiPriority w:val="99"/>
    <w:pPr>
      <w:widowControl w:val="false"/>
      <w:spacing w:after="80" w:before="320"/>
      <w:jc w:val="center"/>
    </w:pPr>
    <w:rPr>
      <w:rFonts w:ascii="New Century Schoolbook" w:hAnsi="New Century Schoolbook"/>
      <w:b/>
      <w:bCs/>
      <w:color w:val="000000"/>
      <w:sz w:val="32"/>
      <w:szCs w:val="32"/>
    </w:rPr>
  </w:style>
  <w:style w:type="paragraph" w:styleId="mrHeading-MajorSectionReferences" w:customStyle="1">
    <w:name w:val="(mr) Heading - Major Section References"/>
    <w:uiPriority w:val="99"/>
    <w:pPr>
      <w:widowControl w:val="false"/>
      <w:spacing w:after="80"/>
      <w:jc w:val="center"/>
    </w:pPr>
    <w:rPr>
      <w:rFonts w:ascii="New Century Schoolbook" w:hAnsi="New Century Schoolbook"/>
      <w:i/>
      <w:iCs/>
      <w:color w:val="000000"/>
      <w:sz w:val="28"/>
      <w:szCs w:val="28"/>
    </w:rPr>
  </w:style>
  <w:style w:type="paragraph" w:styleId="s1Heading-SectionLevel1" w:customStyle="1">
    <w:name w:val="(s1) Heading - Section Level 1"/>
    <w:uiPriority w:val="99"/>
    <w:pPr>
      <w:widowControl w:val="false"/>
      <w:spacing w:after="80" w:before="160"/>
      <w:jc w:val="center"/>
    </w:pPr>
    <w:rPr>
      <w:rFonts w:ascii="New Century Schoolbook" w:hAnsi="New Century Schoolbook"/>
      <w:b/>
      <w:bCs/>
      <w:color w:val="000000"/>
      <w:sz w:val="28"/>
      <w:szCs w:val="28"/>
    </w:rPr>
  </w:style>
  <w:style w:type="paragraph" w:styleId="s2Heading-SectionLevel2" w:customStyle="1">
    <w:name w:val="(s2) Heading - Section Level 2"/>
    <w:uiPriority w:val="99"/>
    <w:pPr>
      <w:widowControl w:val="false"/>
      <w:spacing w:after="80" w:before="160"/>
      <w:jc w:val="center"/>
    </w:pPr>
    <w:rPr>
      <w:rFonts w:ascii="New Century Schoolbook" w:hAnsi="New Century Schoolbook"/>
      <w:i/>
      <w:iCs/>
      <w:color w:val="000000"/>
      <w:sz w:val="28"/>
      <w:szCs w:val="28"/>
    </w:rPr>
  </w:style>
  <w:style w:type="paragraph" w:styleId="s3Heading-SectionLevel3" w:customStyle="1">
    <w:name w:val="(s3) Heading - Section Level 3"/>
    <w:uiPriority w:val="99"/>
    <w:pPr>
      <w:widowControl w:val="false"/>
      <w:spacing w:after="60" w:before="120"/>
    </w:pPr>
    <w:rPr>
      <w:rFonts w:ascii="New Century Schoolbook" w:hAnsi="New Century Schoolbook"/>
      <w:i/>
      <w:iCs/>
      <w:color w:val="000000"/>
      <w:sz w:val="28"/>
      <w:szCs w:val="28"/>
    </w:rPr>
  </w:style>
  <w:style w:type="paragraph" w:styleId="s4Heading-SectionLevel4" w:customStyle="1">
    <w:name w:val="(s4) Heading - Section Level 4"/>
    <w:uiPriority w:val="99"/>
    <w:pPr>
      <w:widowControl w:val="false"/>
      <w:spacing w:after="60" w:before="120"/>
    </w:pPr>
    <w:rPr>
      <w:rFonts w:ascii="New Century Schoolbook" w:hAnsi="New Century Schoolbook"/>
      <w:i/>
      <w:iCs/>
      <w:color w:val="000000"/>
      <w:sz w:val="28"/>
      <w:szCs w:val="28"/>
    </w:rPr>
  </w:style>
  <w:style w:type="paragraph" w:styleId="rHeading-ParallelReferences" w:customStyle="1">
    <w:name w:val="(r) Heading - Parallel References"/>
    <w:uiPriority w:val="99"/>
    <w:pPr>
      <w:widowControl w:val="false"/>
      <w:spacing w:after="80"/>
      <w:jc w:val="center"/>
    </w:pPr>
    <w:rPr>
      <w:rFonts w:ascii="New Century Schoolbook" w:hAnsi="New Century Schoolbook"/>
      <w:i/>
      <w:iCs/>
      <w:color w:val="000000"/>
      <w:sz w:val="28"/>
      <w:szCs w:val="28"/>
    </w:rPr>
  </w:style>
  <w:style w:type="paragraph" w:styleId="spHeading-Speaker" w:customStyle="1">
    <w:name w:val="(sp) Heading - Speaker"/>
    <w:uiPriority w:val="99"/>
    <w:pPr>
      <w:widowControl w:val="false"/>
      <w:spacing w:after="80" w:before="160"/>
    </w:pPr>
    <w:rPr>
      <w:rFonts w:ascii="New Century Schoolbook" w:hAnsi="New Century Schoolbook"/>
      <w:i/>
      <w:iCs/>
      <w:color w:val="000000"/>
      <w:sz w:val="28"/>
      <w:szCs w:val="28"/>
    </w:rPr>
  </w:style>
  <w:style w:type="paragraph" w:styleId="dHeading-DescriptiveTitle" w:customStyle="1">
    <w:name w:val="(d) Heading - Descriptive Title"/>
    <w:aliases w:val="Hebrew Subtitle"/>
    <w:uiPriority w:val="99"/>
    <w:pPr>
      <w:widowControl w:val="false"/>
      <w:spacing w:after="80" w:before="160"/>
      <w:jc w:val="center"/>
    </w:pPr>
    <w:rPr>
      <w:rFonts w:ascii="New Century Schoolbook" w:hAnsi="New Century Schoolbook"/>
      <w:i/>
      <w:iCs/>
      <w:color w:val="000000"/>
      <w:sz w:val="28"/>
      <w:szCs w:val="28"/>
    </w:rPr>
  </w:style>
  <w:style w:type="paragraph" w:styleId="trTable-Row" w:customStyle="1">
    <w:name w:val="(tr) Table - Row"/>
    <w:uiPriority w:val="99"/>
    <w:pPr>
      <w:widowControl w:val="false"/>
      <w:ind w:hanging="360" w:left="720"/>
    </w:pPr>
    <w:rPr>
      <w:rFonts w:ascii="New Century Schoolbook" w:hAnsi="New Century Schoolbook"/>
      <w:color w:val="000000"/>
      <w:sz w:val="28"/>
      <w:szCs w:val="28"/>
    </w:rPr>
  </w:style>
  <w:style w:type="character" w:styleId="th1Table-Column1Heading" w:customStyle="1">
    <w:name w:val="(th1) Table - Column 1 Heading"/>
    <w:uiPriority w:val="99"/>
    <w:rPr>
      <w:i/>
      <w:iCs/>
      <w:color w:val="000000"/>
      <w:sz w:val="28"/>
      <w:szCs w:val="28"/>
    </w:rPr>
  </w:style>
  <w:style w:type="character" w:styleId="th2Table-Column2Heading" w:customStyle="1">
    <w:name w:val="(th2) Table - Column 2 Heading"/>
    <w:uiPriority w:val="99"/>
    <w:rPr>
      <w:i/>
      <w:iCs/>
      <w:color w:val="228b22"/>
      <w:sz w:val="28"/>
      <w:szCs w:val="28"/>
    </w:rPr>
  </w:style>
  <w:style w:type="character" w:styleId="th3Table-Column3Heading" w:customStyle="1">
    <w:name w:val="(th3) Table - Column 3 Heading"/>
    <w:uiPriority w:val="99"/>
    <w:rPr>
      <w:i/>
      <w:iCs/>
      <w:color w:val="0000ff"/>
      <w:sz w:val="28"/>
      <w:szCs w:val="28"/>
    </w:rPr>
  </w:style>
  <w:style w:type="character" w:styleId="th4Table-Column4Heading" w:customStyle="1">
    <w:name w:val="(th4) Table - Column 4 Heading"/>
    <w:uiPriority w:val="99"/>
    <w:rPr>
      <w:i/>
      <w:iCs/>
      <w:color w:val="228b22"/>
      <w:sz w:val="28"/>
      <w:szCs w:val="28"/>
    </w:rPr>
  </w:style>
  <w:style w:type="character" w:styleId="tc1Table-Column1Cell" w:customStyle="1">
    <w:name w:val="(tc1) Table - Column 1 Cell"/>
    <w:uiPriority w:val="99"/>
    <w:rPr>
      <w:color w:val="000000"/>
      <w:sz w:val="28"/>
      <w:szCs w:val="28"/>
    </w:rPr>
  </w:style>
  <w:style w:type="character" w:styleId="tc2Table-Column2Cell" w:customStyle="1">
    <w:name w:val="(tc2) Table - Column 2 Cell"/>
    <w:uiPriority w:val="99"/>
    <w:rPr>
      <w:color w:val="228b22"/>
      <w:sz w:val="28"/>
      <w:szCs w:val="28"/>
    </w:rPr>
  </w:style>
  <w:style w:type="character" w:styleId="tc3Table-Column3Cell" w:customStyle="1">
    <w:name w:val="(tc3) Table - Column 3 Cell"/>
    <w:uiPriority w:val="99"/>
    <w:rPr>
      <w:color w:val="0000ff"/>
      <w:sz w:val="28"/>
      <w:szCs w:val="28"/>
    </w:rPr>
  </w:style>
  <w:style w:type="character" w:styleId="tc4Table-Column4Cell" w:customStyle="1">
    <w:name w:val="(tc4) Table - Column 4 Cell"/>
    <w:uiPriority w:val="99"/>
    <w:rPr>
      <w:color w:val="228b22"/>
      <w:sz w:val="28"/>
      <w:szCs w:val="28"/>
    </w:rPr>
  </w:style>
  <w:style w:type="character" w:styleId="thr1Table-Column1Heading" w:customStyle="1">
    <w:name w:val="(thr1) Table - Column 1 Heading"/>
    <w:aliases w:val="Right Aligned"/>
    <w:uiPriority w:val="99"/>
    <w:rPr>
      <w:i/>
      <w:iCs/>
      <w:color w:val="000000"/>
      <w:sz w:val="28"/>
      <w:szCs w:val="28"/>
    </w:rPr>
  </w:style>
  <w:style w:type="character" w:styleId="thr2Table-Column2Heading" w:customStyle="1">
    <w:name w:val="(thr2) Table - Column 2 Heading"/>
    <w:aliases w:val="Right Aligned15"/>
    <w:uiPriority w:val="99"/>
    <w:rPr>
      <w:i/>
      <w:iCs/>
      <w:color w:val="228b22"/>
      <w:sz w:val="28"/>
      <w:szCs w:val="28"/>
    </w:rPr>
  </w:style>
  <w:style w:type="character" w:styleId="thr3Table-Column3Heading" w:customStyle="1">
    <w:name w:val="(thr3) Table - Column 3 Heading"/>
    <w:aliases w:val="Right Aligned14"/>
    <w:uiPriority w:val="99"/>
    <w:rPr>
      <w:i/>
      <w:iCs/>
      <w:color w:val="0000ff"/>
      <w:sz w:val="28"/>
      <w:szCs w:val="28"/>
    </w:rPr>
  </w:style>
  <w:style w:type="character" w:styleId="thr4Table-Column4Heading" w:customStyle="1">
    <w:name w:val="(thr4) Table - Column 4 Heading"/>
    <w:aliases w:val="Right Aligned13"/>
    <w:uiPriority w:val="99"/>
    <w:rPr>
      <w:i/>
      <w:iCs/>
      <w:color w:val="228b22"/>
      <w:sz w:val="28"/>
      <w:szCs w:val="28"/>
    </w:rPr>
  </w:style>
  <w:style w:type="character" w:styleId="tcr1Table-Column1Cell" w:customStyle="1">
    <w:name w:val="(tcr1) Table - Column 1 Cell"/>
    <w:aliases w:val="Right Aligned12"/>
    <w:uiPriority w:val="99"/>
    <w:rPr>
      <w:color w:val="000000"/>
      <w:sz w:val="28"/>
      <w:szCs w:val="28"/>
    </w:rPr>
  </w:style>
  <w:style w:type="character" w:styleId="tcr2Table-Column2Cell" w:customStyle="1">
    <w:name w:val="(tcr2) Table - Column 2 Cell"/>
    <w:aliases w:val="Right Aligned11"/>
    <w:uiPriority w:val="99"/>
    <w:rPr>
      <w:color w:val="228b22"/>
      <w:sz w:val="28"/>
      <w:szCs w:val="28"/>
    </w:rPr>
  </w:style>
  <w:style w:type="character" w:styleId="tcr3Table-Column3Cell" w:customStyle="1">
    <w:name w:val="(tcr3) Table - Column 3 Cell"/>
    <w:aliases w:val="Right Aligned10"/>
    <w:uiPriority w:val="99"/>
    <w:rPr>
      <w:color w:val="0000ff"/>
      <w:sz w:val="28"/>
      <w:szCs w:val="28"/>
    </w:rPr>
  </w:style>
  <w:style w:type="character" w:styleId="tcr4Table-Column4Cell" w:customStyle="1">
    <w:name w:val="(tcr4) Table - Column 4 Cell"/>
    <w:aliases w:val="Right Aligned9"/>
    <w:uiPriority w:val="99"/>
    <w:rPr>
      <w:color w:val="228b22"/>
      <w:sz w:val="28"/>
      <w:szCs w:val="28"/>
    </w:rPr>
  </w:style>
  <w:style w:type="paragraph" w:styleId="liListEntry-Level1" w:customStyle="1">
    <w:name w:val="(li) List Entry - Level 1"/>
    <w:uiPriority w:val="99"/>
    <w:pPr>
      <w:widowControl w:val="false"/>
      <w:ind w:hanging="540" w:left="900"/>
    </w:pPr>
    <w:rPr>
      <w:rFonts w:ascii="New Century Schoolbook" w:hAnsi="New Century Schoolbook"/>
      <w:color w:val="000000"/>
      <w:sz w:val="28"/>
      <w:szCs w:val="28"/>
    </w:rPr>
  </w:style>
  <w:style w:type="paragraph" w:styleId="li1ListEntry-Level1" w:customStyle="1">
    <w:name w:val="(li1) List Entry - Level 1"/>
    <w:uiPriority w:val="99"/>
    <w:pPr>
      <w:widowControl w:val="false"/>
      <w:ind w:hanging="360" w:left="720"/>
    </w:pPr>
    <w:rPr>
      <w:rFonts w:ascii="New Century Schoolbook" w:hAnsi="New Century Schoolbook"/>
      <w:color w:val="000000"/>
      <w:sz w:val="28"/>
      <w:szCs w:val="28"/>
    </w:rPr>
  </w:style>
  <w:style w:type="paragraph" w:styleId="li2ListEntry-Level2" w:customStyle="1">
    <w:name w:val="(li2) List Entry - Level 2"/>
    <w:uiPriority w:val="99"/>
    <w:pPr>
      <w:widowControl w:val="false"/>
      <w:ind w:hanging="360" w:left="1080"/>
    </w:pPr>
    <w:rPr>
      <w:rFonts w:ascii="New Century Schoolbook" w:hAnsi="New Century Schoolbook"/>
      <w:color w:val="000000"/>
      <w:sz w:val="28"/>
      <w:szCs w:val="28"/>
    </w:rPr>
  </w:style>
  <w:style w:type="paragraph" w:styleId="li3ListEntry-Level3" w:customStyle="1">
    <w:name w:val="(li3) List Entry - Level 3"/>
    <w:uiPriority w:val="99"/>
    <w:pPr>
      <w:widowControl w:val="false"/>
      <w:ind w:hanging="360" w:left="1440"/>
    </w:pPr>
    <w:rPr>
      <w:rFonts w:ascii="New Century Schoolbook" w:hAnsi="New Century Schoolbook"/>
      <w:color w:val="000000"/>
      <w:sz w:val="28"/>
      <w:szCs w:val="28"/>
    </w:rPr>
  </w:style>
  <w:style w:type="paragraph" w:styleId="li4ListEntry-Level4" w:customStyle="1">
    <w:name w:val="(li4) List Entry - Level 4"/>
    <w:uiPriority w:val="99"/>
    <w:pPr>
      <w:widowControl w:val="false"/>
      <w:ind w:hanging="360" w:left="1800"/>
    </w:pPr>
    <w:rPr>
      <w:rFonts w:ascii="New Century Schoolbook" w:hAnsi="New Century Schoolbook"/>
      <w:color w:val="000000"/>
      <w:sz w:val="28"/>
      <w:szCs w:val="28"/>
    </w:rPr>
  </w:style>
  <w:style w:type="paragraph" w:styleId="fefeEndnote" w:customStyle="1">
    <w:name w:val="(fe...fe*) Endnote"/>
    <w:uiPriority w:val="99"/>
    <w:pPr>
      <w:widowControl w:val="false"/>
    </w:pPr>
    <w:rPr>
      <w:rFonts w:ascii="New Century Schoolbook" w:hAnsi="New Century Schoolbook"/>
      <w:color w:val="000000"/>
      <w:sz w:val="28"/>
      <w:szCs w:val="28"/>
    </w:rPr>
  </w:style>
  <w:style w:type="character" w:styleId="frFootnote-Reference" w:customStyle="1">
    <w:name w:val="(fr) Footnote - Reference"/>
    <w:uiPriority w:val="99"/>
    <w:rPr>
      <w:bCs/>
      <w:color w:val="000000"/>
      <w:sz w:val="22"/>
      <w:szCs w:val="22"/>
      <w:vertAlign w:val="superscript"/>
    </w:rPr>
  </w:style>
  <w:style w:type="character" w:styleId="fkFootnote-Keyword" w:customStyle="1">
    <w:name w:val="(fk) Footnote - Keyword"/>
    <w:uiPriority w:val="99"/>
    <w:rPr>
      <w:b/>
      <w:bCs/>
      <w:i/>
      <w:iCs/>
      <w:color w:val="000000"/>
      <w:sz w:val="28"/>
      <w:szCs w:val="28"/>
    </w:rPr>
  </w:style>
  <w:style w:type="character" w:styleId="ftFootnote-Text" w:customStyle="1">
    <w:name w:val="(ft) Footnote - Text"/>
    <w:uiPriority w:val="99"/>
    <w:rPr>
      <w:color w:val="000000"/>
      <w:sz w:val="28"/>
      <w:szCs w:val="28"/>
    </w:rPr>
  </w:style>
  <w:style w:type="character" w:styleId="fqFootnote-QuotationorAlternateRendering" w:customStyle="1">
    <w:name w:val="(fq) Footnote - Quotation or Alternate Rendering"/>
    <w:uiPriority w:val="99"/>
    <w:rPr>
      <w:i/>
      <w:iCs/>
      <w:color w:val="000000"/>
      <w:sz w:val="28"/>
      <w:szCs w:val="28"/>
    </w:rPr>
  </w:style>
  <w:style w:type="character" w:styleId="fvfvFootnote-EmbeddedVerseNumber" w:customStyle="1">
    <w:name w:val="(fv...fv*) Footnote - Embedded Verse Number"/>
    <w:uiPriority w:val="99"/>
    <w:rPr>
      <w:color w:val="000000"/>
      <w:sz w:val="28"/>
      <w:szCs w:val="28"/>
      <w:vertAlign w:val="superscript"/>
    </w:rPr>
  </w:style>
  <w:style w:type="character" w:styleId="fdcfdcFootnote-DCtext" w:customStyle="1">
    <w:name w:val="(fdc...fdc*) Footnote - DC text"/>
    <w:uiPriority w:val="99"/>
    <w:rPr>
      <w:color w:val="000000"/>
      <w:sz w:val="28"/>
      <w:szCs w:val="28"/>
    </w:rPr>
  </w:style>
  <w:style w:type="character" w:styleId="fmFootnote-AdditionalCallertoPreviousNote" w:customStyle="1">
    <w:name w:val="(fm) Footnote - Additional Caller to Previous Note"/>
    <w:uiPriority w:val="99"/>
    <w:rPr>
      <w:color w:val="000000"/>
      <w:sz w:val="28"/>
      <w:szCs w:val="28"/>
      <w:vertAlign w:val="superscript"/>
    </w:rPr>
  </w:style>
  <w:style w:type="paragraph" w:styleId="xxCrossReference" w:customStyle="1">
    <w:name w:val="(x...x*) Cross Reference"/>
    <w:uiPriority w:val="99"/>
    <w:pPr>
      <w:widowControl w:val="false"/>
    </w:pPr>
    <w:rPr>
      <w:rFonts w:ascii="New Century Schoolbook" w:hAnsi="New Century Schoolbook"/>
      <w:color w:val="000000"/>
      <w:sz w:val="28"/>
      <w:szCs w:val="28"/>
    </w:rPr>
  </w:style>
  <w:style w:type="character" w:styleId="xoCrossReference-OriginReference" w:customStyle="1">
    <w:name w:val="(xo) Cross Reference - Origin Reference"/>
    <w:uiPriority w:val="99"/>
    <w:rPr>
      <w:b/>
      <w:bCs/>
      <w:color w:val="000000"/>
      <w:sz w:val="28"/>
      <w:szCs w:val="28"/>
    </w:rPr>
  </w:style>
  <w:style w:type="character" w:styleId="xtCrossReference-TargetReferences" w:customStyle="1">
    <w:name w:val="(xt) Cross Reference - Target References"/>
    <w:uiPriority w:val="99"/>
    <w:rPr>
      <w:color w:val="000000"/>
      <w:sz w:val="28"/>
      <w:szCs w:val="28"/>
    </w:rPr>
  </w:style>
  <w:style w:type="character" w:styleId="xkCrossReference-Keyword" w:customStyle="1">
    <w:name w:val="(xk) Cross Reference - Keyword"/>
    <w:uiPriority w:val="99"/>
    <w:rPr>
      <w:i/>
      <w:iCs/>
      <w:color w:val="000000"/>
      <w:sz w:val="28"/>
      <w:szCs w:val="28"/>
    </w:rPr>
  </w:style>
  <w:style w:type="character" w:styleId="xqCrossReference-Quotation" w:customStyle="1">
    <w:name w:val="(xq) Cross Reference - Quotation"/>
    <w:uiPriority w:val="99"/>
    <w:rPr>
      <w:i/>
      <w:iCs/>
      <w:color w:val="000000"/>
      <w:sz w:val="28"/>
      <w:szCs w:val="28"/>
    </w:rPr>
  </w:style>
  <w:style w:type="character" w:styleId="xdcxdcCrossReference-DCTargetRefs" w:customStyle="1">
    <w:name w:val="(xdc...xdc*) Cross Reference - DC Target Refs"/>
    <w:uiPriority w:val="99"/>
    <w:rPr>
      <w:color w:val="000000"/>
      <w:sz w:val="28"/>
      <w:szCs w:val="28"/>
    </w:rPr>
  </w:style>
  <w:style w:type="character" w:styleId="wwAuxiliary-WordlistEntry" w:customStyle="1">
    <w:name w:val="(w...w*) Auxiliary - Wordlist Entry"/>
    <w:uiPriority w:val="99"/>
    <w:rPr>
      <w:b/>
      <w:bCs/>
      <w:i/>
      <w:iCs/>
      <w:color w:val="ff00ff"/>
      <w:sz w:val="28"/>
      <w:szCs w:val="28"/>
    </w:rPr>
  </w:style>
  <w:style w:type="character" w:styleId="whwhAuxiliary-HebrewWordlistEntry" w:customStyle="1">
    <w:name w:val="(wh...wh*) Auxiliary - Hebrew Wordlist Entry"/>
    <w:uiPriority w:val="99"/>
    <w:rPr>
      <w:b/>
      <w:bCs/>
      <w:i/>
      <w:iCs/>
      <w:color w:val="ff00ff"/>
      <w:sz w:val="28"/>
      <w:szCs w:val="28"/>
    </w:rPr>
  </w:style>
  <w:style w:type="character" w:styleId="wgwgAuxiliary-GreekWordlistEntry" w:customStyle="1">
    <w:name w:val="(wg...wg*) Auxiliary - Greek Wordlist Entry"/>
    <w:uiPriority w:val="99"/>
    <w:rPr>
      <w:b/>
      <w:bCs/>
      <w:i/>
      <w:iCs/>
      <w:color w:val="ff00ff"/>
      <w:sz w:val="28"/>
      <w:szCs w:val="28"/>
    </w:rPr>
  </w:style>
  <w:style w:type="character" w:styleId="wrwrAuxiliary-WordlistGlossaryReference" w:customStyle="1">
    <w:name w:val="(wr...wr*) Auxiliary - Wordlist/Glossary Reference"/>
    <w:uiPriority w:val="99"/>
    <w:rPr>
      <w:i/>
      <w:iCs/>
      <w:color w:val="000000"/>
      <w:sz w:val="28"/>
      <w:szCs w:val="28"/>
    </w:rPr>
  </w:style>
  <w:style w:type="character" w:styleId="ndxndxAuxiliary-SubjectIndexEntry" w:customStyle="1">
    <w:name w:val="(ndx...ndx*) Auxiliary - Subject Index Entry"/>
    <w:uiPriority w:val="99"/>
    <w:rPr>
      <w:b/>
      <w:bCs/>
      <w:i/>
      <w:iCs/>
      <w:color w:val="ff00ff"/>
      <w:sz w:val="28"/>
      <w:szCs w:val="28"/>
    </w:rPr>
  </w:style>
  <w:style w:type="character" w:styleId="figfigAuxiliary-FigureIllustrationMap" w:customStyle="1">
    <w:name w:val="(fig...fig*) Auxiliary - Figure/Illustration/Map"/>
    <w:uiPriority w:val="99"/>
    <w:rPr>
      <w:color w:val="000000"/>
      <w:sz w:val="28"/>
      <w:szCs w:val="28"/>
    </w:rPr>
  </w:style>
  <w:style w:type="character" w:styleId="addaddSpecial-TranslationalAddition" w:customStyle="1">
    <w:name w:val="(add...add*) Special - Translational Addition"/>
    <w:uiPriority w:val="99"/>
    <w:rPr>
      <w:i/>
      <w:iCs/>
      <w:color w:val="000000"/>
      <w:sz w:val="28"/>
      <w:szCs w:val="28"/>
    </w:rPr>
  </w:style>
  <w:style w:type="character" w:styleId="dcSpecial-DeuterocanonicalLXXAdditions" w:customStyle="1">
    <w:name w:val="(dc) Special - Deuterocanonical/LXX Additions"/>
    <w:uiPriority w:val="99"/>
    <w:rPr>
      <w:i/>
      <w:iCs/>
      <w:color w:val="000000"/>
      <w:sz w:val="28"/>
      <w:szCs w:val="28"/>
    </w:rPr>
  </w:style>
  <w:style w:type="paragraph" w:styleId="litSpecial-Liturgicalnote" w:customStyle="1">
    <w:name w:val="(lit) Special - Liturgical note"/>
    <w:uiPriority w:val="99"/>
    <w:pPr>
      <w:widowControl w:val="false"/>
      <w:jc w:val="right"/>
    </w:pPr>
    <w:rPr>
      <w:rFonts w:ascii="New Century Schoolbook" w:hAnsi="New Century Schoolbook"/>
      <w:b/>
      <w:bCs/>
      <w:color w:val="000000"/>
      <w:sz w:val="28"/>
      <w:szCs w:val="28"/>
    </w:rPr>
  </w:style>
  <w:style w:type="character" w:styleId="ndndCharacter-NameofDeity" w:customStyle="1">
    <w:name w:val="(nd...nd*) Character - Name of Deity"/>
    <w:uiPriority w:val="99"/>
    <w:rPr>
      <w:color w:val="000000"/>
      <w:sz w:val="28"/>
      <w:szCs w:val="28"/>
      <w:u w:val="single"/>
    </w:rPr>
  </w:style>
  <w:style w:type="character" w:styleId="bkbkCharacter-Quotedbooktitle" w:customStyle="1">
    <w:name w:val="(bk...bk*) Character - Quoted book title"/>
    <w:uiPriority w:val="99"/>
    <w:rPr>
      <w:i/>
      <w:iCs/>
      <w:color w:val="000000"/>
      <w:sz w:val="28"/>
      <w:szCs w:val="28"/>
    </w:rPr>
  </w:style>
  <w:style w:type="character" w:styleId="sigsigCharacter-AuthorsSignatureEpistles" w:customStyle="1">
    <w:name w:val="(sig...sig*) Character - Author's Signature (Epistles)"/>
    <w:uiPriority w:val="99"/>
    <w:rPr>
      <w:i/>
      <w:iCs/>
      <w:color w:val="000000"/>
      <w:sz w:val="28"/>
      <w:szCs w:val="28"/>
    </w:rPr>
  </w:style>
  <w:style w:type="character" w:styleId="tltlCharacter-TransliteratedWord" w:customStyle="1">
    <w:name w:val="(tl...tl*) Character - Transliterated Word"/>
    <w:uiPriority w:val="99"/>
    <w:rPr>
      <w:i/>
      <w:iCs/>
      <w:color w:val="000000"/>
      <w:sz w:val="28"/>
      <w:szCs w:val="28"/>
    </w:rPr>
  </w:style>
  <w:style w:type="character" w:styleId="ordordCharacter-Ordinalnumbertextportion" w:customStyle="1">
    <w:name w:val="(ord...ord*) Character - Ordinal number text portion"/>
    <w:uiPriority w:val="99"/>
    <w:rPr>
      <w:color w:val="000000"/>
      <w:sz w:val="28"/>
      <w:szCs w:val="28"/>
      <w:vertAlign w:val="superscript"/>
    </w:rPr>
  </w:style>
  <w:style w:type="character" w:styleId="pnpnCharacter-ProperName" w:customStyle="1">
    <w:name w:val="(pn...pn*) Character - Proper Name"/>
    <w:uiPriority w:val="99"/>
    <w:rPr>
      <w:i/>
      <w:iCs/>
      <w:color w:val="000000"/>
      <w:sz w:val="28"/>
      <w:szCs w:val="28"/>
    </w:rPr>
  </w:style>
  <w:style w:type="character" w:styleId="kkCharacter-Keyword" w:customStyle="1">
    <w:name w:val="(k...k*) Character - Keyword"/>
    <w:uiPriority w:val="99"/>
    <w:rPr>
      <w:i/>
      <w:iCs/>
      <w:color w:val="000000"/>
      <w:sz w:val="28"/>
      <w:szCs w:val="28"/>
    </w:rPr>
  </w:style>
  <w:style w:type="character" w:styleId="nonoCharacter-NormalText" w:customStyle="1">
    <w:name w:val="(no...no*) Character - Normal Text"/>
    <w:uiPriority w:val="99"/>
    <w:rPr>
      <w:color w:val="000000"/>
      <w:sz w:val="28"/>
      <w:szCs w:val="28"/>
    </w:rPr>
  </w:style>
  <w:style w:type="character" w:styleId="ititCharacter-ItalicText" w:customStyle="1">
    <w:name w:val="(it...it*) Character - Italic Text"/>
    <w:uiPriority w:val="99"/>
    <w:rPr>
      <w:i/>
      <w:iCs/>
      <w:color w:val="000000"/>
      <w:sz w:val="28"/>
      <w:szCs w:val="28"/>
    </w:rPr>
  </w:style>
  <w:style w:type="character" w:styleId="rdrdCharacter-Inrosit" w:customStyle="1">
    <w:name w:val="(rd...rd*) Character - Inrosit"/>
    <w:uiPriority w:val="99"/>
    <w:rPr>
      <w:color w:val="auto"/>
      <w:sz w:val="28"/>
      <w:szCs w:val="28"/>
    </w:rPr>
  </w:style>
  <w:style w:type="character" w:styleId="revrevCharacter-Inrosit" w:customStyle="1">
    <w:name w:val="(rev...rev*) Character - Inrosit"/>
    <w:uiPriority w:val="99"/>
    <w:rPr>
      <w:color w:val="auto"/>
      <w:sz w:val="28"/>
      <w:szCs w:val="28"/>
    </w:rPr>
  </w:style>
  <w:style w:type="character" w:styleId="bdbdCharacter-BoldText" w:customStyle="1">
    <w:name w:val="(bd...bd*) Character - Bold Text"/>
    <w:uiPriority w:val="99"/>
    <w:rPr>
      <w:b/>
      <w:bCs/>
      <w:color w:val="000000"/>
      <w:sz w:val="28"/>
      <w:szCs w:val="28"/>
    </w:rPr>
  </w:style>
  <w:style w:type="character" w:styleId="bditbditCharacter-BoldItalicText" w:customStyle="1">
    <w:name w:val="(bdit...bdit*) Character - BoldItalic Text"/>
    <w:uiPriority w:val="99"/>
    <w:rPr>
      <w:b/>
      <w:bCs/>
      <w:color w:val="000000"/>
      <w:sz w:val="28"/>
      <w:szCs w:val="28"/>
    </w:rPr>
  </w:style>
  <w:style w:type="character" w:styleId="scscCharacter-SmallCaps" w:customStyle="1">
    <w:name w:val="(sc...sc*) Character - Small Caps"/>
    <w:uiPriority w:val="99"/>
    <w:rPr>
      <w:color w:val="000000"/>
      <w:sz w:val="28"/>
      <w:szCs w:val="28"/>
    </w:rPr>
  </w:style>
  <w:style w:type="paragraph" w:styleId="pbBreak-PageBreak" w:customStyle="1">
    <w:name w:val="(pb) Break - Page Break"/>
    <w:uiPriority w:val="99"/>
    <w:pPr>
      <w:widowControl w:val="false"/>
    </w:pPr>
    <w:rPr>
      <w:rFonts w:ascii="New Century Schoolbook" w:hAnsi="New Century Schoolbook"/>
      <w:color w:val="000000"/>
      <w:sz w:val="28"/>
      <w:szCs w:val="28"/>
    </w:rPr>
  </w:style>
  <w:style w:type="paragraph" w:styleId="OBSOLETEphiParagraph-Indented" w:customStyle="1">
    <w:name w:val="OBSOLETE (phi) Paragraph - Indented"/>
    <w:aliases w:val="Hanging Indent"/>
    <w:uiPriority w:val="99"/>
    <w:pPr>
      <w:widowControl w:val="false"/>
      <w:ind w:left="1440"/>
    </w:pPr>
    <w:rPr>
      <w:rFonts w:ascii="New Century Schoolbook" w:hAnsi="New Century Schoolbook"/>
      <w:color w:val="000000"/>
      <w:sz w:val="28"/>
      <w:szCs w:val="28"/>
    </w:rPr>
  </w:style>
  <w:style w:type="paragraph" w:styleId="OBSOLETEtr1Table-Row" w:customStyle="1">
    <w:name w:val="OBSOLETE (tr1) Table - Row"/>
    <w:aliases w:val="Level 19"/>
    <w:uiPriority w:val="99"/>
    <w:pPr>
      <w:widowControl w:val="false"/>
      <w:ind w:hanging="360" w:left="720"/>
    </w:pPr>
    <w:rPr>
      <w:rFonts w:ascii="New Century Schoolbook" w:hAnsi="New Century Schoolbook"/>
      <w:color w:val="000000"/>
      <w:sz w:val="28"/>
      <w:szCs w:val="28"/>
    </w:rPr>
  </w:style>
  <w:style w:type="paragraph" w:styleId="OBSOLETEtr2Table-Row" w:customStyle="1">
    <w:name w:val="OBSOLETE (tr2) Table - Row"/>
    <w:aliases w:val="Level 25"/>
    <w:uiPriority w:val="99"/>
    <w:pPr>
      <w:widowControl w:val="false"/>
      <w:ind w:hanging="360" w:left="1080"/>
    </w:pPr>
    <w:rPr>
      <w:rFonts w:ascii="New Century Schoolbook" w:hAnsi="New Century Schoolbook"/>
      <w:color w:val="000000"/>
      <w:sz w:val="28"/>
      <w:szCs w:val="28"/>
    </w:rPr>
  </w:style>
  <w:style w:type="paragraph" w:styleId="oth-Other-matterBeginsHere" w:customStyle="1">
    <w:name w:val="oth - Other-matter Begins Here"/>
    <w:uiPriority w:val="99"/>
    <w:pPr>
      <w:widowControl w:val="false"/>
      <w:spacing w:after="80" w:before="320"/>
    </w:pPr>
    <w:rPr>
      <w:rFonts w:ascii="New Century Schoolbook" w:hAnsi="New Century Schoolbook"/>
      <w:b/>
      <w:bCs/>
      <w:color w:val="000000"/>
      <w:sz w:val="42"/>
      <w:szCs w:val="42"/>
    </w:rPr>
  </w:style>
  <w:style w:type="paragraph" w:styleId="cov1-Frontcoverbeginshere" w:customStyle="1">
    <w:name w:val="cov1 - Front cover begins here."/>
    <w:uiPriority w:val="99"/>
    <w:pPr>
      <w:widowControl w:val="false"/>
      <w:spacing w:after="80" w:before="320"/>
    </w:pPr>
    <w:rPr>
      <w:rFonts w:ascii="New Century Schoolbook" w:hAnsi="New Century Schoolbook"/>
      <w:b/>
      <w:bCs/>
      <w:color w:val="000000"/>
      <w:sz w:val="42"/>
      <w:szCs w:val="42"/>
    </w:rPr>
  </w:style>
  <w:style w:type="paragraph" w:styleId="cov2-Backcoverbeginshere" w:customStyle="1">
    <w:name w:val="cov2 - Back cover begins here."/>
    <w:uiPriority w:val="99"/>
    <w:pPr>
      <w:widowControl w:val="false"/>
      <w:spacing w:after="80" w:before="320"/>
    </w:pPr>
    <w:rPr>
      <w:rFonts w:ascii="New Century Schoolbook" w:hAnsi="New Century Schoolbook"/>
      <w:b/>
      <w:bCs/>
      <w:color w:val="000000"/>
      <w:sz w:val="42"/>
      <w:szCs w:val="42"/>
    </w:rPr>
  </w:style>
  <w:style w:type="paragraph" w:styleId="spine-Spinebeginshere" w:customStyle="1">
    <w:name w:val="spine - Spine begins here"/>
    <w:uiPriority w:val="99"/>
    <w:pPr>
      <w:widowControl w:val="false"/>
      <w:spacing w:after="80" w:before="320"/>
    </w:pPr>
    <w:rPr>
      <w:rFonts w:ascii="New Century Schoolbook" w:hAnsi="New Century Schoolbook"/>
      <w:b/>
      <w:bCs/>
      <w:color w:val="000000"/>
      <w:sz w:val="42"/>
      <w:szCs w:val="42"/>
    </w:rPr>
  </w:style>
  <w:style w:type="paragraph" w:styleId="frt-Front-matterbeginshere" w:customStyle="1">
    <w:name w:val="frt - Front-matter begins here"/>
    <w:uiPriority w:val="99"/>
    <w:pPr>
      <w:widowControl w:val="false"/>
      <w:spacing w:after="80" w:before="320"/>
    </w:pPr>
    <w:rPr>
      <w:rFonts w:ascii="New Century Schoolbook" w:hAnsi="New Century Schoolbook"/>
      <w:b/>
      <w:bCs/>
      <w:color w:val="000000"/>
      <w:sz w:val="42"/>
      <w:szCs w:val="42"/>
    </w:rPr>
  </w:style>
  <w:style w:type="paragraph" w:styleId="edit-EditorsPage" w:customStyle="1">
    <w:name w:val="edit - Editors Page"/>
    <w:uiPriority w:val="99"/>
    <w:pPr>
      <w:widowControl w:val="false"/>
      <w:spacing w:after="40" w:before="80"/>
    </w:pPr>
    <w:rPr>
      <w:rFonts w:ascii="New Century Schoolbook" w:hAnsi="New Century Schoolbook"/>
      <w:b/>
      <w:bCs/>
      <w:color w:val="000000"/>
      <w:sz w:val="42"/>
      <w:szCs w:val="42"/>
    </w:rPr>
  </w:style>
  <w:style w:type="paragraph" w:styleId="ti1-TitlePage" w:customStyle="1">
    <w:name w:val="ti1 - Title Page"/>
    <w:uiPriority w:val="99"/>
    <w:pPr>
      <w:widowControl w:val="false"/>
      <w:spacing w:after="80" w:before="320"/>
    </w:pPr>
    <w:rPr>
      <w:rFonts w:ascii="New Century Schoolbook" w:hAnsi="New Century Schoolbook"/>
      <w:b/>
      <w:bCs/>
      <w:color w:val="000000"/>
      <w:sz w:val="42"/>
      <w:szCs w:val="42"/>
    </w:rPr>
  </w:style>
  <w:style w:type="paragraph" w:styleId="ti2-Half-titlePage" w:customStyle="1">
    <w:name w:val="ti2 - Half-title Page"/>
    <w:uiPriority w:val="99"/>
    <w:pPr>
      <w:widowControl w:val="false"/>
      <w:spacing w:after="80" w:before="320"/>
    </w:pPr>
    <w:rPr>
      <w:rFonts w:ascii="New Century Schoolbook" w:hAnsi="New Century Schoolbook"/>
      <w:b/>
      <w:bCs/>
      <w:color w:val="000000"/>
      <w:sz w:val="42"/>
      <w:szCs w:val="42"/>
    </w:rPr>
  </w:style>
  <w:style w:type="paragraph" w:styleId="helps-HelpsPage" w:customStyle="1">
    <w:name w:val="helps - Helps Page"/>
    <w:uiPriority w:val="99"/>
    <w:pPr>
      <w:widowControl w:val="false"/>
      <w:spacing w:after="80" w:before="320"/>
    </w:pPr>
    <w:rPr>
      <w:rFonts w:ascii="New Century Schoolbook" w:hAnsi="New Century Schoolbook"/>
      <w:b/>
      <w:bCs/>
      <w:color w:val="000000"/>
      <w:sz w:val="42"/>
      <w:szCs w:val="42"/>
    </w:rPr>
  </w:style>
  <w:style w:type="paragraph" w:styleId="pub-PublishingInfoandVersoPage" w:customStyle="1">
    <w:name w:val="pub - Publishing Info and Verso Page"/>
    <w:uiPriority w:val="99"/>
    <w:pPr>
      <w:widowControl w:val="false"/>
      <w:spacing w:after="40" w:before="80"/>
    </w:pPr>
    <w:rPr>
      <w:rFonts w:ascii="New Century Schoolbook" w:hAnsi="New Century Schoolbook"/>
      <w:b/>
      <w:bCs/>
      <w:color w:val="000000"/>
      <w:sz w:val="42"/>
      <w:szCs w:val="42"/>
    </w:rPr>
  </w:style>
  <w:style w:type="paragraph" w:styleId="toc-TableofContentsPage" w:customStyle="1">
    <w:name w:val="toc - Table of Contents Page"/>
    <w:uiPriority w:val="99"/>
    <w:pPr>
      <w:widowControl w:val="false"/>
      <w:spacing w:after="40" w:before="80"/>
    </w:pPr>
    <w:rPr>
      <w:rFonts w:ascii="New Century Schoolbook" w:hAnsi="New Century Schoolbook"/>
      <w:b/>
      <w:bCs/>
      <w:color w:val="000000"/>
      <w:sz w:val="42"/>
      <w:szCs w:val="42"/>
    </w:rPr>
  </w:style>
  <w:style w:type="paragraph" w:styleId="ill-IllustrationsPage" w:customStyle="1">
    <w:name w:val="ill - Illustrations Page"/>
    <w:uiPriority w:val="99"/>
    <w:pPr>
      <w:widowControl w:val="false"/>
      <w:spacing w:after="40" w:before="80"/>
    </w:pPr>
    <w:rPr>
      <w:rFonts w:ascii="New Century Schoolbook" w:hAnsi="New Century Schoolbook"/>
      <w:b/>
      <w:bCs/>
      <w:color w:val="000000"/>
      <w:sz w:val="42"/>
      <w:szCs w:val="42"/>
    </w:rPr>
  </w:style>
  <w:style w:type="paragraph" w:styleId="pre-PrefacePage" w:customStyle="1">
    <w:name w:val="pre - Preface Page"/>
    <w:uiPriority w:val="99"/>
    <w:pPr>
      <w:widowControl w:val="false"/>
      <w:spacing w:after="40" w:before="80"/>
    </w:pPr>
    <w:rPr>
      <w:rFonts w:ascii="New Century Schoolbook" w:hAnsi="New Century Schoolbook"/>
      <w:b/>
      <w:bCs/>
      <w:color w:val="000000"/>
      <w:sz w:val="42"/>
      <w:szCs w:val="42"/>
    </w:rPr>
  </w:style>
  <w:style w:type="paragraph" w:styleId="abb-AbbreviationsPage" w:customStyle="1">
    <w:name w:val="abb - Abbreviations Page"/>
    <w:uiPriority w:val="99"/>
    <w:pPr>
      <w:widowControl w:val="false"/>
      <w:spacing w:after="40" w:before="80"/>
    </w:pPr>
    <w:rPr>
      <w:rFonts w:ascii="New Century Schoolbook" w:hAnsi="New Century Schoolbook"/>
      <w:b/>
      <w:bCs/>
      <w:color w:val="000000"/>
      <w:sz w:val="42"/>
      <w:szCs w:val="42"/>
    </w:rPr>
  </w:style>
  <w:style w:type="paragraph" w:styleId="trl-TransliterationsPage" w:customStyle="1">
    <w:name w:val="trl - Transliterations Page"/>
    <w:uiPriority w:val="99"/>
    <w:pPr>
      <w:widowControl w:val="false"/>
      <w:spacing w:after="40" w:before="80"/>
    </w:pPr>
    <w:rPr>
      <w:rFonts w:ascii="New Century Schoolbook" w:hAnsi="New Century Schoolbook"/>
      <w:b/>
      <w:bCs/>
      <w:color w:val="000000"/>
      <w:sz w:val="42"/>
      <w:szCs w:val="42"/>
    </w:rPr>
  </w:style>
  <w:style w:type="paragraph" w:styleId="tra-TranslationsIssuesPage" w:customStyle="1">
    <w:name w:val="tra - Translations Issues Page"/>
    <w:uiPriority w:val="99"/>
    <w:pPr>
      <w:widowControl w:val="false"/>
      <w:spacing w:after="40" w:before="80"/>
    </w:pPr>
    <w:rPr>
      <w:rFonts w:ascii="New Century Schoolbook" w:hAnsi="New Century Schoolbook"/>
      <w:b/>
      <w:bCs/>
      <w:color w:val="000000"/>
      <w:sz w:val="42"/>
      <w:szCs w:val="42"/>
    </w:rPr>
  </w:style>
  <w:style w:type="paragraph" w:styleId="bod-Body-matterInsertedHere" w:customStyle="1">
    <w:name w:val="bod - Body-matter Inserted Here"/>
    <w:uiPriority w:val="99"/>
    <w:pPr>
      <w:widowControl w:val="false"/>
      <w:spacing w:after="80" w:before="320"/>
    </w:pPr>
    <w:rPr>
      <w:rFonts w:ascii="New Century Schoolbook" w:hAnsi="New Century Schoolbook"/>
      <w:b/>
      <w:bCs/>
      <w:color w:val="000000"/>
      <w:sz w:val="42"/>
      <w:szCs w:val="42"/>
    </w:rPr>
  </w:style>
  <w:style w:type="paragraph" w:styleId="back-Back-matterbeginshere" w:customStyle="1">
    <w:name w:val="back - Back-matter begins here"/>
    <w:uiPriority w:val="99"/>
    <w:pPr>
      <w:widowControl w:val="false"/>
      <w:spacing w:after="80" w:before="320"/>
    </w:pPr>
    <w:rPr>
      <w:rFonts w:ascii="New Century Schoolbook" w:hAnsi="New Century Schoolbook"/>
      <w:b/>
      <w:bCs/>
      <w:color w:val="000000"/>
      <w:sz w:val="42"/>
      <w:szCs w:val="42"/>
    </w:rPr>
  </w:style>
  <w:style w:type="paragraph" w:styleId="app-AppendixPage" w:customStyle="1">
    <w:name w:val="app - Appendix Page"/>
    <w:uiPriority w:val="99"/>
    <w:pPr>
      <w:widowControl w:val="false"/>
      <w:spacing w:after="40" w:before="80"/>
    </w:pPr>
    <w:rPr>
      <w:rFonts w:ascii="New Century Schoolbook" w:hAnsi="New Century Schoolbook"/>
      <w:b/>
      <w:bCs/>
      <w:color w:val="000000"/>
      <w:sz w:val="42"/>
      <w:szCs w:val="42"/>
    </w:rPr>
  </w:style>
  <w:style w:type="paragraph" w:styleId="bib-BibliographyPage" w:customStyle="1">
    <w:name w:val="bib - Bibliography Page"/>
    <w:uiPriority w:val="99"/>
    <w:pPr>
      <w:widowControl w:val="false"/>
      <w:spacing w:after="40" w:before="80"/>
    </w:pPr>
    <w:rPr>
      <w:rFonts w:ascii="New Century Schoolbook" w:hAnsi="New Century Schoolbook"/>
      <w:b/>
      <w:bCs/>
      <w:color w:val="000000"/>
      <w:sz w:val="42"/>
      <w:szCs w:val="42"/>
    </w:rPr>
  </w:style>
  <w:style w:type="paragraph" w:styleId="glo-GlossaryPage" w:customStyle="1">
    <w:name w:val="glo - Glossary Page"/>
    <w:uiPriority w:val="99"/>
    <w:pPr>
      <w:widowControl w:val="false"/>
      <w:spacing w:after="40" w:before="80"/>
    </w:pPr>
    <w:rPr>
      <w:rFonts w:ascii="New Century Schoolbook" w:hAnsi="New Century Schoolbook"/>
      <w:b/>
      <w:bCs/>
      <w:color w:val="000000"/>
      <w:sz w:val="42"/>
      <w:szCs w:val="42"/>
    </w:rPr>
  </w:style>
  <w:style w:type="paragraph" w:styleId="terms-AramaicandHebrewTermsPage" w:customStyle="1">
    <w:name w:val="terms - Aramaic and Hebrew Terms Page"/>
    <w:uiPriority w:val="99"/>
    <w:pPr>
      <w:widowControl w:val="false"/>
      <w:spacing w:after="40" w:before="80"/>
    </w:pPr>
    <w:rPr>
      <w:rFonts w:ascii="New Century Schoolbook" w:hAnsi="New Century Schoolbook"/>
      <w:b/>
      <w:bCs/>
      <w:color w:val="000000"/>
      <w:sz w:val="42"/>
      <w:szCs w:val="42"/>
    </w:rPr>
  </w:style>
  <w:style w:type="paragraph" w:styleId="idx-IndexPage" w:customStyle="1">
    <w:name w:val="idx - Index Page"/>
    <w:uiPriority w:val="99"/>
    <w:pPr>
      <w:widowControl w:val="false"/>
      <w:spacing w:after="40" w:before="80"/>
    </w:pPr>
    <w:rPr>
      <w:rFonts w:ascii="New Century Schoolbook" w:hAnsi="New Century Schoolbook"/>
      <w:b/>
      <w:bCs/>
      <w:color w:val="000000"/>
      <w:sz w:val="42"/>
      <w:szCs w:val="42"/>
    </w:rPr>
  </w:style>
  <w:style w:type="paragraph" w:styleId="a-AlternateTranslation-HangingIndent" w:customStyle="1">
    <w:name w:val="a - Alternate Translation - Hanging Indent"/>
    <w:aliases w:val="Level 18"/>
    <w:uiPriority w:val="99"/>
    <w:pPr>
      <w:widowControl w:val="false"/>
      <w:spacing w:before="80"/>
      <w:ind w:hanging="360" w:left="720"/>
    </w:pPr>
    <w:rPr>
      <w:rFonts w:ascii="New Century Schoolbook" w:hAnsi="New Century Schoolbook"/>
      <w:color w:val="000000"/>
      <w:sz w:val="28"/>
      <w:szCs w:val="28"/>
    </w:rPr>
  </w:style>
  <w:style w:type="paragraph" w:styleId="a1-AlternateTranslation-HangingIndent" w:customStyle="1">
    <w:name w:val="a1 - Alternate Translation - Hanging Indent"/>
    <w:aliases w:val="Level 17"/>
    <w:uiPriority w:val="99"/>
    <w:pPr>
      <w:widowControl w:val="false"/>
      <w:spacing w:before="80"/>
      <w:ind w:hanging="360" w:left="862"/>
    </w:pPr>
    <w:rPr>
      <w:rFonts w:ascii="New Century Schoolbook" w:hAnsi="New Century Schoolbook"/>
      <w:color w:val="000000"/>
      <w:sz w:val="28"/>
      <w:szCs w:val="28"/>
    </w:rPr>
  </w:style>
  <w:style w:type="paragraph" w:styleId="a2-AlternateTranslation-HangingIndent" w:customStyle="1">
    <w:name w:val="a2 - Alternate Translation - Hanging Indent"/>
    <w:aliases w:val="Level 24"/>
    <w:uiPriority w:val="99"/>
    <w:pPr>
      <w:widowControl w:val="false"/>
      <w:ind w:hanging="360" w:left="1080"/>
    </w:pPr>
    <w:rPr>
      <w:rFonts w:ascii="New Century Schoolbook" w:hAnsi="New Century Schoolbook"/>
      <w:color w:val="000000"/>
      <w:sz w:val="28"/>
      <w:szCs w:val="28"/>
    </w:rPr>
  </w:style>
  <w:style w:type="paragraph" w:styleId="a3-AlternateTranslation-HangingIndent" w:customStyle="1">
    <w:name w:val="a3 - Alternate Translation - Hanging Indent"/>
    <w:aliases w:val="Level 33"/>
    <w:uiPriority w:val="99"/>
    <w:pPr>
      <w:widowControl w:val="false"/>
      <w:ind w:hanging="360" w:left="1440"/>
    </w:pPr>
    <w:rPr>
      <w:rFonts w:ascii="New Century Schoolbook" w:hAnsi="New Century Schoolbook"/>
      <w:color w:val="000000"/>
      <w:sz w:val="28"/>
      <w:szCs w:val="28"/>
    </w:rPr>
  </w:style>
  <w:style w:type="paragraph" w:styleId="ai-AlternateTranslation-Indented" w:customStyle="1">
    <w:name w:val="ai - Alternate Translation - Indented"/>
    <w:aliases w:val="Hanging Indent2"/>
    <w:uiPriority w:val="99"/>
    <w:pPr>
      <w:widowControl w:val="false"/>
      <w:ind w:left="1440"/>
    </w:pPr>
    <w:rPr>
      <w:rFonts w:ascii="New Century Schoolbook" w:hAnsi="New Century Schoolbook"/>
      <w:color w:val="000000"/>
      <w:sz w:val="28"/>
      <w:szCs w:val="28"/>
    </w:rPr>
  </w:style>
  <w:style w:type="paragraph" w:styleId="scp-ScriptureParagraph-Indented" w:customStyle="1">
    <w:name w:val="scp - Scripture Paragraph - Indented"/>
    <w:aliases w:val="Level 16,First Line Indent6"/>
    <w:uiPriority w:val="99"/>
    <w:pPr>
      <w:widowControl w:val="false"/>
      <w:ind w:right="360" w:left="360"/>
    </w:pPr>
    <w:rPr>
      <w:rFonts w:ascii="New Century Schoolbook" w:hAnsi="New Century Schoolbook"/>
      <w:color w:val="000000"/>
      <w:sz w:val="28"/>
      <w:szCs w:val="28"/>
    </w:rPr>
  </w:style>
  <w:style w:type="character" w:styleId="snd-NameofDeityinScriptureFragment" w:customStyle="1">
    <w:name w:val="snd - Name of Deity in Scripture Fragment"/>
    <w:uiPriority w:val="99"/>
    <w:rPr>
      <w:b/>
      <w:bCs/>
      <w:color w:val="800000"/>
      <w:sz w:val="26"/>
      <w:szCs w:val="26"/>
    </w:rPr>
  </w:style>
  <w:style w:type="character" w:styleId="nd-NameofDeity" w:customStyle="1">
    <w:name w:val="nd - Name of Deity"/>
    <w:uiPriority w:val="99"/>
    <w:rPr>
      <w:b/>
      <w:bCs/>
      <w:color w:val="000000"/>
      <w:sz w:val="28"/>
      <w:szCs w:val="28"/>
    </w:rPr>
  </w:style>
  <w:style w:type="paragraph" w:styleId="bb-BlankLineinHandbooks" w:customStyle="1">
    <w:name w:val="bb - Blank Line in Handbooks"/>
    <w:uiPriority w:val="99"/>
    <w:pPr>
      <w:widowControl w:val="false"/>
    </w:pPr>
    <w:rPr>
      <w:rFonts w:ascii="New Century Schoolbook" w:hAnsi="New Century Schoolbook"/>
      <w:color w:val="000000"/>
      <w:sz w:val="10"/>
      <w:szCs w:val="10"/>
    </w:rPr>
  </w:style>
  <w:style w:type="character" w:styleId="na-NotApplicable" w:customStyle="1">
    <w:name w:val="na - Not Applicable"/>
    <w:aliases w:val="Needs further research"/>
    <w:uiPriority w:val="99"/>
    <w:rPr>
      <w:color w:val="0000ff"/>
      <w:sz w:val="28"/>
      <w:szCs w:val="28"/>
      <w:vertAlign w:val="superscript"/>
    </w:rPr>
  </w:style>
  <w:style w:type="paragraph" w:styleId="ms1-Level1MainSection" w:customStyle="1">
    <w:name w:val="ms1 - Level 1 Main Section"/>
    <w:uiPriority w:val="99"/>
    <w:pPr>
      <w:widowControl w:val="false"/>
      <w:spacing w:after="80" w:before="320"/>
      <w:jc w:val="center"/>
    </w:pPr>
    <w:rPr>
      <w:rFonts w:ascii="New Century Schoolbook" w:hAnsi="New Century Schoolbook"/>
      <w:b/>
      <w:bCs/>
      <w:color w:val="000000"/>
      <w:sz w:val="42"/>
      <w:szCs w:val="42"/>
    </w:rPr>
  </w:style>
  <w:style w:type="paragraph" w:styleId="ms2-Level2MainSection" w:customStyle="1">
    <w:name w:val="ms2 - Level 2 Main Section"/>
    <w:uiPriority w:val="99"/>
    <w:pPr>
      <w:widowControl w:val="false"/>
      <w:spacing w:after="40" w:before="320"/>
    </w:pPr>
    <w:rPr>
      <w:rFonts w:ascii="New Century Schoolbook" w:hAnsi="New Century Schoolbook"/>
      <w:b/>
      <w:bCs/>
      <w:color w:val="000000"/>
      <w:sz w:val="32"/>
      <w:szCs w:val="32"/>
    </w:rPr>
  </w:style>
  <w:style w:type="paragraph" w:styleId="ms3-Level3MainSection" w:customStyle="1">
    <w:name w:val="ms3 - Level 3 Main Section"/>
    <w:uiPriority w:val="99"/>
    <w:pPr>
      <w:widowControl w:val="false"/>
      <w:spacing w:after="40" w:before="160"/>
      <w:ind w:left="360"/>
    </w:pPr>
    <w:rPr>
      <w:rFonts w:ascii="New Century Schoolbook" w:hAnsi="New Century Schoolbook"/>
      <w:b/>
      <w:bCs/>
      <w:i/>
      <w:iCs/>
      <w:color w:val="000000"/>
      <w:sz w:val="28"/>
      <w:szCs w:val="28"/>
    </w:rPr>
  </w:style>
  <w:style w:type="paragraph" w:styleId="ms4-Level4MainSection" w:customStyle="1">
    <w:name w:val="ms4 - Level 4 Main Section"/>
    <w:uiPriority w:val="99"/>
    <w:pPr>
      <w:widowControl w:val="false"/>
      <w:spacing w:after="40" w:before="120"/>
      <w:ind w:left="720"/>
    </w:pPr>
    <w:rPr>
      <w:rFonts w:ascii="New Century Schoolbook" w:hAnsi="New Century Schoolbook"/>
      <w:b/>
      <w:bCs/>
      <w:i/>
      <w:iCs/>
      <w:color w:val="000000"/>
      <w:sz w:val="24"/>
      <w:szCs w:val="24"/>
    </w:rPr>
  </w:style>
  <w:style w:type="paragraph" w:styleId="ms5-Level5MainSection" w:customStyle="1">
    <w:name w:val="ms5 - Level 5 Main Section"/>
    <w:uiPriority w:val="99"/>
    <w:pPr>
      <w:widowControl w:val="false"/>
      <w:spacing w:after="40" w:before="120"/>
      <w:ind w:left="1080"/>
    </w:pPr>
    <w:rPr>
      <w:rFonts w:ascii="New Century Schoolbook" w:hAnsi="New Century Schoolbook"/>
      <w:b/>
      <w:bCs/>
      <w:i/>
      <w:iCs/>
      <w:color w:val="000000"/>
      <w:sz w:val="24"/>
      <w:szCs w:val="24"/>
    </w:rPr>
  </w:style>
  <w:style w:type="paragraph" w:styleId="ms6-Level6MainSection" w:customStyle="1">
    <w:name w:val="ms6 - Level 6 Main Section"/>
    <w:uiPriority w:val="99"/>
    <w:pPr>
      <w:widowControl w:val="false"/>
      <w:spacing w:after="40" w:before="120"/>
      <w:ind w:left="1440"/>
    </w:pPr>
    <w:rPr>
      <w:rFonts w:ascii="New Century Schoolbook" w:hAnsi="New Century Schoolbook"/>
      <w:b/>
      <w:bCs/>
      <w:i/>
      <w:iCs/>
      <w:color w:val="000000"/>
      <w:sz w:val="24"/>
      <w:szCs w:val="24"/>
    </w:rPr>
  </w:style>
  <w:style w:type="paragraph" w:styleId="ms7-Level7MainSection" w:customStyle="1">
    <w:name w:val="ms7 - Level 7 Main Section"/>
    <w:uiPriority w:val="99"/>
    <w:pPr>
      <w:widowControl w:val="false"/>
      <w:spacing w:after="40" w:before="120"/>
      <w:ind w:left="1800"/>
    </w:pPr>
    <w:rPr>
      <w:rFonts w:ascii="New Century Schoolbook" w:hAnsi="New Century Schoolbook"/>
      <w:b/>
      <w:bCs/>
      <w:i/>
      <w:iCs/>
      <w:color w:val="000000"/>
      <w:sz w:val="24"/>
      <w:szCs w:val="24"/>
    </w:rPr>
  </w:style>
  <w:style w:type="paragraph" w:styleId="ms8-Level8MainSection" w:customStyle="1">
    <w:name w:val="ms8 - Level 8 Main Section"/>
    <w:uiPriority w:val="99"/>
    <w:pPr>
      <w:widowControl w:val="false"/>
      <w:spacing w:after="80" w:before="120"/>
      <w:jc w:val="center"/>
    </w:pPr>
    <w:rPr>
      <w:rFonts w:ascii="New Century Schoolbook" w:hAnsi="New Century Schoolbook"/>
      <w:b/>
      <w:bCs/>
      <w:i/>
      <w:iCs/>
      <w:color w:val="000000"/>
      <w:sz w:val="32"/>
      <w:szCs w:val="32"/>
    </w:rPr>
  </w:style>
  <w:style w:type="paragraph" w:styleId="scv-Heading-SectionChapterVerse" w:customStyle="1">
    <w:name w:val="scv - Heading - Section Chapter/Verse"/>
    <w:uiPriority w:val="99"/>
    <w:pPr>
      <w:widowControl w:val="false"/>
      <w:spacing w:after="80" w:before="160"/>
      <w:jc w:val="center"/>
    </w:pPr>
    <w:rPr>
      <w:rFonts w:ascii="New Century Schoolbook" w:hAnsi="New Century Schoolbook"/>
      <w:b/>
      <w:bCs/>
      <w:color w:val="000000"/>
      <w:sz w:val="28"/>
      <w:szCs w:val="28"/>
    </w:rPr>
  </w:style>
  <w:style w:type="character" w:styleId="uw-Underline" w:customStyle="1">
    <w:name w:val="uw - Underline"/>
    <w:uiPriority w:val="99"/>
    <w:rPr>
      <w:color w:val="000000"/>
      <w:sz w:val="28"/>
      <w:szCs w:val="28"/>
      <w:u w:val="single"/>
    </w:rPr>
  </w:style>
  <w:style w:type="character" w:styleId="ver-VersionReference" w:customStyle="1">
    <w:name w:val="ver - Version Reference"/>
    <w:uiPriority w:val="99"/>
    <w:rPr>
      <w:rFonts w:ascii="Courier New" w:hAnsi="Courier New" w:cs="Courier New"/>
      <w:b/>
      <w:bCs/>
      <w:color w:val="000000"/>
      <w:sz w:val="26"/>
      <w:szCs w:val="26"/>
    </w:rPr>
  </w:style>
  <w:style w:type="character" w:styleId="manman-ManuscriptReference" w:customStyle="1">
    <w:name w:val="man...man* - Manuscript Reference"/>
    <w:uiPriority w:val="99"/>
    <w:rPr>
      <w:rFonts w:ascii="Courier New" w:hAnsi="Courier New" w:cs="Courier New"/>
      <w:b/>
      <w:bCs/>
      <w:color w:val="000000"/>
      <w:sz w:val="28"/>
      <w:szCs w:val="28"/>
    </w:rPr>
  </w:style>
  <w:style w:type="character" w:styleId="secsec-SectionReference" w:customStyle="1">
    <w:name w:val="sec...sec* - Section Reference"/>
    <w:uiPriority w:val="99"/>
    <w:rPr>
      <w:rFonts w:ascii="Courier New" w:hAnsi="Courier New" w:cs="Courier New"/>
      <w:i/>
      <w:iCs/>
      <w:color w:val="000000"/>
      <w:sz w:val="28"/>
      <w:szCs w:val="28"/>
    </w:rPr>
  </w:style>
  <w:style w:type="character" w:styleId="ver1ver1-BookTitleinanotherlanguage" w:customStyle="1">
    <w:name w:val="ver1...ver1* - Book Title in another language"/>
    <w:uiPriority w:val="99"/>
    <w:rPr>
      <w:rFonts w:ascii="Courier New" w:hAnsi="Courier New" w:cs="Courier New"/>
      <w:i/>
      <w:iCs/>
      <w:color w:val="000000"/>
      <w:sz w:val="28"/>
      <w:szCs w:val="28"/>
    </w:rPr>
  </w:style>
  <w:style w:type="character" w:styleId="tectec-Technicalterm" w:customStyle="1">
    <w:name w:val="tec...tec* - Technical term"/>
    <w:uiPriority w:val="99"/>
    <w:rPr>
      <w:i/>
      <w:iCs/>
      <w:color w:val="000000"/>
      <w:sz w:val="28"/>
      <w:szCs w:val="28"/>
    </w:rPr>
  </w:style>
  <w:style w:type="character" w:styleId="src-SourceReference" w:customStyle="1">
    <w:name w:val="src - Source Reference"/>
    <w:uiPriority w:val="99"/>
    <w:rPr>
      <w:b/>
      <w:bCs/>
      <w:color w:val="000000"/>
      <w:sz w:val="28"/>
      <w:szCs w:val="28"/>
    </w:rPr>
  </w:style>
  <w:style w:type="character" w:styleId="xt-CrossReference-TargetReferences" w:customStyle="1">
    <w:name w:val="xt - Cross Reference - Target References"/>
    <w:uiPriority w:val="99"/>
    <w:rPr>
      <w:b/>
      <w:bCs/>
      <w:color w:val="000000"/>
      <w:sz w:val="28"/>
      <w:szCs w:val="28"/>
    </w:rPr>
  </w:style>
  <w:style w:type="character" w:styleId="scr-Scripturefragment" w:customStyle="1">
    <w:name w:val="scr - Scripture fragment"/>
    <w:uiPriority w:val="99"/>
    <w:rPr>
      <w:b/>
      <w:bCs/>
      <w:color w:val="800000"/>
      <w:sz w:val="28"/>
      <w:szCs w:val="28"/>
    </w:rPr>
  </w:style>
  <w:style w:type="character" w:styleId="mod-ModelScripturefragment" w:customStyle="1">
    <w:name w:val="mod - Model Scripture fragment"/>
    <w:uiPriority w:val="99"/>
    <w:rPr>
      <w:b/>
      <w:bCs/>
      <w:color w:val="800000"/>
      <w:sz w:val="28"/>
      <w:szCs w:val="28"/>
    </w:rPr>
  </w:style>
  <w:style w:type="character" w:styleId="res-Resourcereference" w:customStyle="1">
    <w:name w:val="res - Resource reference"/>
    <w:uiPriority w:val="99"/>
    <w:rPr>
      <w:b/>
      <w:bCs/>
      <w:color w:val="000000"/>
      <w:sz w:val="28"/>
      <w:szCs w:val="28"/>
    </w:rPr>
  </w:style>
  <w:style w:type="character" w:styleId="jmp-link1" w:customStyle="1">
    <w:name w:val="jmp - link1"/>
    <w:uiPriority w:val="99"/>
    <w:rPr>
      <w:b/>
      <w:bCs/>
      <w:color w:val="0000ff"/>
      <w:sz w:val="26"/>
      <w:szCs w:val="26"/>
      <w:u w:val="single"/>
    </w:rPr>
  </w:style>
  <w:style w:type="character" w:styleId="lnklnk-link1" w:customStyle="1">
    <w:name w:val="lnk ... lnk* - link1"/>
    <w:uiPriority w:val="99"/>
    <w:rPr>
      <w:b/>
      <w:bCs/>
      <w:color w:val="000000"/>
      <w:sz w:val="28"/>
      <w:szCs w:val="28"/>
    </w:rPr>
  </w:style>
  <w:style w:type="character" w:styleId="note-link1" w:customStyle="1">
    <w:name w:val="note - link1"/>
    <w:uiPriority w:val="99"/>
    <w:rPr>
      <w:b/>
      <w:bCs/>
      <w:color w:val="000000"/>
      <w:sz w:val="28"/>
      <w:szCs w:val="28"/>
    </w:rPr>
  </w:style>
  <w:style w:type="character" w:styleId="cul-Culturalreference" w:customStyle="1">
    <w:name w:val="cul - Cultural reference"/>
    <w:uiPriority w:val="99"/>
    <w:rPr>
      <w:b/>
      <w:bCs/>
      <w:color w:val="000000"/>
      <w:sz w:val="28"/>
      <w:szCs w:val="28"/>
    </w:rPr>
  </w:style>
  <w:style w:type="paragraph" w:styleId="ch-ChiasmusLevel1" w:customStyle="1">
    <w:name w:val="ch - Chiasmus Level 1"/>
    <w:uiPriority w:val="99"/>
    <w:pPr>
      <w:widowControl w:val="false"/>
      <w:ind w:left="1440"/>
    </w:pPr>
    <w:rPr>
      <w:rFonts w:ascii="New Century Schoolbook" w:hAnsi="New Century Schoolbook"/>
      <w:b/>
      <w:bCs/>
      <w:color w:val="000000"/>
      <w:sz w:val="28"/>
      <w:szCs w:val="28"/>
    </w:rPr>
  </w:style>
  <w:style w:type="paragraph" w:styleId="ch1-ChiasmusLevel1" w:customStyle="1">
    <w:name w:val="ch1 - Chiasmus Level 1"/>
    <w:uiPriority w:val="99"/>
    <w:pPr>
      <w:widowControl w:val="false"/>
      <w:ind w:left="1440"/>
    </w:pPr>
    <w:rPr>
      <w:rFonts w:ascii="New Century Schoolbook" w:hAnsi="New Century Schoolbook"/>
      <w:b/>
      <w:bCs/>
      <w:color w:val="000000"/>
      <w:sz w:val="28"/>
      <w:szCs w:val="28"/>
    </w:rPr>
  </w:style>
  <w:style w:type="paragraph" w:styleId="ch2-ChiasmusLevel2" w:customStyle="1">
    <w:name w:val="ch2 - Chiasmus Level 2"/>
    <w:uiPriority w:val="99"/>
    <w:pPr>
      <w:widowControl w:val="false"/>
      <w:ind w:left="1800"/>
    </w:pPr>
    <w:rPr>
      <w:rFonts w:ascii="New Century Schoolbook" w:hAnsi="New Century Schoolbook"/>
      <w:b/>
      <w:bCs/>
      <w:color w:val="000000"/>
      <w:sz w:val="28"/>
      <w:szCs w:val="28"/>
    </w:rPr>
  </w:style>
  <w:style w:type="paragraph" w:styleId="ch3-ChiasmusLevel3" w:customStyle="1">
    <w:name w:val="ch3 - Chiasmus Level 3"/>
    <w:uiPriority w:val="99"/>
    <w:pPr>
      <w:widowControl w:val="false"/>
      <w:ind w:left="2160"/>
    </w:pPr>
    <w:rPr>
      <w:rFonts w:ascii="New Century Schoolbook" w:hAnsi="New Century Schoolbook"/>
      <w:b/>
      <w:bCs/>
      <w:color w:val="000000"/>
      <w:sz w:val="28"/>
      <w:szCs w:val="28"/>
    </w:rPr>
  </w:style>
  <w:style w:type="paragraph" w:styleId="ch4-ChiasmusLevel4" w:customStyle="1">
    <w:name w:val="ch4 - Chiasmus Level 4"/>
    <w:uiPriority w:val="99"/>
    <w:pPr>
      <w:widowControl w:val="false"/>
      <w:ind w:left="2520"/>
    </w:pPr>
    <w:rPr>
      <w:rFonts w:ascii="New Century Schoolbook" w:hAnsi="New Century Schoolbook"/>
      <w:b/>
      <w:bCs/>
      <w:color w:val="000000"/>
      <w:sz w:val="28"/>
      <w:szCs w:val="28"/>
    </w:rPr>
  </w:style>
  <w:style w:type="paragraph" w:styleId="ch5-ChiasmusLevel5" w:customStyle="1">
    <w:name w:val="ch5 - Chiasmus Level 5"/>
    <w:uiPriority w:val="99"/>
    <w:pPr>
      <w:widowControl w:val="false"/>
      <w:ind w:left="2880"/>
    </w:pPr>
    <w:rPr>
      <w:rFonts w:ascii="New Century Schoolbook" w:hAnsi="New Century Schoolbook"/>
      <w:b/>
      <w:bCs/>
      <w:color w:val="000000"/>
      <w:sz w:val="28"/>
      <w:szCs w:val="28"/>
    </w:rPr>
  </w:style>
  <w:style w:type="paragraph" w:styleId="ch6-ChiasmusLevel6" w:customStyle="1">
    <w:name w:val="ch6 - Chiasmus Level 6"/>
    <w:uiPriority w:val="99"/>
    <w:pPr>
      <w:widowControl w:val="false"/>
      <w:ind w:left="3240"/>
    </w:pPr>
    <w:rPr>
      <w:rFonts w:ascii="New Century Schoolbook" w:hAnsi="New Century Schoolbook"/>
      <w:b/>
      <w:bCs/>
      <w:color w:val="000000"/>
      <w:sz w:val="28"/>
      <w:szCs w:val="28"/>
    </w:rPr>
  </w:style>
  <w:style w:type="paragraph" w:styleId="ch7-ChiasmusLevel7" w:customStyle="1">
    <w:name w:val="ch7 - Chiasmus Level 7"/>
    <w:uiPriority w:val="99"/>
    <w:pPr>
      <w:widowControl w:val="false"/>
      <w:ind w:left="3600"/>
    </w:pPr>
    <w:rPr>
      <w:rFonts w:ascii="New Century Schoolbook" w:hAnsi="New Century Schoolbook"/>
      <w:b/>
      <w:bCs/>
      <w:color w:val="000000"/>
      <w:sz w:val="28"/>
      <w:szCs w:val="28"/>
    </w:rPr>
  </w:style>
  <w:style w:type="character" w:styleId="grk-GreekTransl" w:customStyle="1">
    <w:name w:val="grk - Greek Transl."/>
    <w:uiPriority w:val="99"/>
    <w:rPr>
      <w:b/>
      <w:bCs/>
      <w:color w:val="228b22"/>
      <w:sz w:val="28"/>
      <w:szCs w:val="28"/>
    </w:rPr>
  </w:style>
  <w:style w:type="character" w:styleId="heb-HebrewTransl" w:customStyle="1">
    <w:name w:val="heb - Hebrew Transl."/>
    <w:uiPriority w:val="99"/>
    <w:rPr>
      <w:b/>
      <w:bCs/>
      <w:color w:val="auto"/>
      <w:sz w:val="28"/>
      <w:szCs w:val="28"/>
    </w:rPr>
  </w:style>
  <w:style w:type="character" w:styleId="supsup-Superscript" w:customStyle="1">
    <w:name w:val="sup..sup* - Superscript"/>
    <w:uiPriority w:val="99"/>
    <w:rPr>
      <w:color w:val="000000"/>
      <w:sz w:val="28"/>
      <w:szCs w:val="28"/>
      <w:vertAlign w:val="superscript"/>
    </w:rPr>
  </w:style>
  <w:style w:type="paragraph" w:styleId="id-File-Identification" w:customStyle="1">
    <w:name w:val="id - File - Identification"/>
    <w:uiPriority w:val="99"/>
    <w:pPr>
      <w:widowControl w:val="false"/>
    </w:pPr>
    <w:rPr>
      <w:rFonts w:ascii="New Century Schoolbook" w:hAnsi="New Century Schoolbook"/>
      <w:color w:val="000000"/>
      <w:sz w:val="28"/>
      <w:szCs w:val="28"/>
    </w:rPr>
  </w:style>
  <w:style w:type="paragraph" w:styleId="ide-File-Encoding" w:customStyle="1">
    <w:name w:val="ide - File - Encoding"/>
    <w:uiPriority w:val="99"/>
    <w:pPr>
      <w:widowControl w:val="false"/>
    </w:pPr>
    <w:rPr>
      <w:rFonts w:ascii="New Century Schoolbook" w:hAnsi="New Century Schoolbook"/>
      <w:color w:val="000000"/>
      <w:sz w:val="28"/>
      <w:szCs w:val="28"/>
    </w:rPr>
  </w:style>
  <w:style w:type="paragraph" w:styleId="h-File-Header" w:customStyle="1">
    <w:name w:val="h - File - Header"/>
    <w:uiPriority w:val="99"/>
    <w:pPr>
      <w:widowControl w:val="false"/>
    </w:pPr>
    <w:rPr>
      <w:rFonts w:ascii="New Century Schoolbook" w:hAnsi="New Century Schoolbook"/>
      <w:color w:val="000000"/>
      <w:sz w:val="28"/>
      <w:szCs w:val="28"/>
    </w:rPr>
  </w:style>
  <w:style w:type="paragraph" w:styleId="h1-File-Header" w:customStyle="1">
    <w:name w:val="h1 - File - Header"/>
    <w:uiPriority w:val="99"/>
    <w:pPr>
      <w:widowControl w:val="false"/>
    </w:pPr>
    <w:rPr>
      <w:rFonts w:ascii="New Century Schoolbook" w:hAnsi="New Century Schoolbook"/>
      <w:color w:val="000000"/>
      <w:sz w:val="28"/>
      <w:szCs w:val="28"/>
    </w:rPr>
  </w:style>
  <w:style w:type="paragraph" w:styleId="h2-File-LeftHeader" w:customStyle="1">
    <w:name w:val="h2 - File - Left Header"/>
    <w:uiPriority w:val="99"/>
    <w:pPr>
      <w:widowControl w:val="false"/>
    </w:pPr>
    <w:rPr>
      <w:rFonts w:ascii="New Century Schoolbook" w:hAnsi="New Century Schoolbook"/>
      <w:color w:val="000000"/>
      <w:sz w:val="28"/>
      <w:szCs w:val="28"/>
    </w:rPr>
  </w:style>
  <w:style w:type="paragraph" w:styleId="h3-File-RightHeader" w:customStyle="1">
    <w:name w:val="h3 - File - Right Header"/>
    <w:uiPriority w:val="99"/>
    <w:pPr>
      <w:widowControl w:val="false"/>
    </w:pPr>
    <w:rPr>
      <w:rFonts w:ascii="New Century Schoolbook" w:hAnsi="New Century Schoolbook"/>
      <w:color w:val="000000"/>
      <w:sz w:val="28"/>
      <w:szCs w:val="28"/>
    </w:rPr>
  </w:style>
  <w:style w:type="paragraph" w:styleId="toc1-File-LongTableofContentsText" w:customStyle="1">
    <w:name w:val="toc1 - File - Long Table of Contents Text"/>
    <w:uiPriority w:val="99"/>
    <w:pPr>
      <w:widowControl w:val="false"/>
    </w:pPr>
    <w:rPr>
      <w:rFonts w:ascii="New Century Schoolbook" w:hAnsi="New Century Schoolbook"/>
      <w:b/>
      <w:bCs/>
      <w:i/>
      <w:iCs/>
      <w:color w:val="004000"/>
      <w:sz w:val="28"/>
      <w:szCs w:val="28"/>
    </w:rPr>
  </w:style>
  <w:style w:type="paragraph" w:styleId="toc2-File-ShortTableofContentsText" w:customStyle="1">
    <w:name w:val="toc2 - File - Short Table of Contents Text"/>
    <w:uiPriority w:val="99"/>
    <w:pPr>
      <w:widowControl w:val="false"/>
    </w:pPr>
    <w:rPr>
      <w:rFonts w:ascii="New Century Schoolbook" w:hAnsi="New Century Schoolbook"/>
      <w:i/>
      <w:iCs/>
      <w:color w:val="004000"/>
      <w:sz w:val="28"/>
      <w:szCs w:val="28"/>
    </w:rPr>
  </w:style>
  <w:style w:type="paragraph" w:styleId="toc3-File-BookAbbreviation" w:customStyle="1">
    <w:name w:val="toc3 - File - Book Abbreviation"/>
    <w:uiPriority w:val="99"/>
    <w:pPr>
      <w:widowControl w:val="false"/>
    </w:pPr>
    <w:rPr>
      <w:rFonts w:ascii="New Century Schoolbook" w:hAnsi="New Century Schoolbook"/>
      <w:b/>
      <w:bCs/>
      <w:i/>
      <w:iCs/>
      <w:color w:val="800000"/>
      <w:sz w:val="28"/>
      <w:szCs w:val="28"/>
    </w:rPr>
  </w:style>
  <w:style w:type="paragraph" w:styleId="rem-File-Remark" w:customStyle="1">
    <w:name w:val="rem - File - Remark"/>
    <w:uiPriority w:val="99"/>
    <w:pPr>
      <w:widowControl w:val="false"/>
    </w:pPr>
    <w:rPr>
      <w:rFonts w:ascii="New Century Schoolbook" w:hAnsi="New Century Schoolbook"/>
      <w:color w:val="0000ff"/>
      <w:sz w:val="28"/>
      <w:szCs w:val="28"/>
    </w:rPr>
  </w:style>
  <w:style w:type="paragraph" w:styleId="restore-File-RestoreInformation" w:customStyle="1">
    <w:name w:val="restore - File - Restore Information"/>
    <w:uiPriority w:val="99"/>
    <w:pPr>
      <w:widowControl w:val="false"/>
    </w:pPr>
    <w:rPr>
      <w:rFonts w:ascii="New Century Schoolbook" w:hAnsi="New Century Schoolbook"/>
      <w:color w:val="0000ff"/>
      <w:sz w:val="28"/>
      <w:szCs w:val="28"/>
    </w:rPr>
  </w:style>
  <w:style w:type="paragraph" w:styleId="imt-Introduction-MajorTitleLevel1" w:customStyle="1">
    <w:name w:val="imt - Introduction - Major Title Level 1"/>
    <w:uiPriority w:val="99"/>
    <w:pPr>
      <w:widowControl w:val="false"/>
      <w:spacing w:after="80" w:before="160"/>
      <w:jc w:val="center"/>
    </w:pPr>
    <w:rPr>
      <w:rFonts w:ascii="New Century Schoolbook" w:hAnsi="New Century Schoolbook"/>
      <w:b/>
      <w:bCs/>
      <w:color w:val="000000"/>
      <w:sz w:val="32"/>
      <w:szCs w:val="32"/>
    </w:rPr>
  </w:style>
  <w:style w:type="paragraph" w:styleId="imt1-Introduction-MajorTitleLevel1" w:customStyle="1">
    <w:name w:val="imt1 - Introduction - Major Title Level 1"/>
    <w:uiPriority w:val="99"/>
    <w:pPr>
      <w:widowControl w:val="false"/>
      <w:spacing w:after="80" w:before="160"/>
      <w:jc w:val="center"/>
    </w:pPr>
    <w:rPr>
      <w:rFonts w:ascii="New Century Schoolbook" w:hAnsi="New Century Schoolbook"/>
      <w:b/>
      <w:bCs/>
      <w:color w:val="000000"/>
      <w:sz w:val="32"/>
      <w:szCs w:val="32"/>
    </w:rPr>
  </w:style>
  <w:style w:type="paragraph" w:styleId="imt2-Introduction-MajorTitleLevel2" w:customStyle="1">
    <w:name w:val="imt2 - Introduction - Major Title Level 2"/>
    <w:uiPriority w:val="99"/>
    <w:pPr>
      <w:widowControl w:val="false"/>
      <w:spacing w:after="60" w:before="120"/>
      <w:jc w:val="center"/>
    </w:pPr>
    <w:rPr>
      <w:rFonts w:ascii="New Century Schoolbook" w:hAnsi="New Century Schoolbook"/>
      <w:i/>
      <w:iCs/>
      <w:color w:val="000000"/>
      <w:sz w:val="30"/>
      <w:szCs w:val="30"/>
    </w:rPr>
  </w:style>
  <w:style w:type="paragraph" w:styleId="imt3-Introduction-MajorTitleLevel3" w:customStyle="1">
    <w:name w:val="imt3 - Introduction - Major Title Level 3"/>
    <w:uiPriority w:val="99"/>
    <w:pPr>
      <w:widowControl w:val="false"/>
      <w:spacing w:after="40" w:before="40"/>
      <w:jc w:val="center"/>
    </w:pPr>
    <w:rPr>
      <w:rFonts w:ascii="New Century Schoolbook" w:hAnsi="New Century Schoolbook"/>
      <w:b/>
      <w:bCs/>
      <w:color w:val="000000"/>
      <w:sz w:val="28"/>
      <w:szCs w:val="28"/>
    </w:rPr>
  </w:style>
  <w:style w:type="paragraph" w:styleId="imt4-Introduction-MajorTitleLevel4" w:customStyle="1">
    <w:name w:val="imt4 - Introduction - Major Title Level 4"/>
    <w:uiPriority w:val="99"/>
    <w:pPr>
      <w:widowControl w:val="false"/>
      <w:spacing w:after="40" w:before="40"/>
      <w:jc w:val="center"/>
    </w:pPr>
    <w:rPr>
      <w:rFonts w:ascii="New Century Schoolbook" w:hAnsi="New Century Schoolbook"/>
      <w:i/>
      <w:iCs/>
      <w:color w:val="000000"/>
      <w:sz w:val="28"/>
      <w:szCs w:val="28"/>
    </w:rPr>
  </w:style>
  <w:style w:type="paragraph" w:styleId="imte-Introduction-UncommonMajorTitleatIntroductionEnd" w:customStyle="1">
    <w:name w:val="imte - Introduction - [Uncommon] Major Title at Introduction End"/>
    <w:uiPriority w:val="99"/>
    <w:pPr>
      <w:widowControl w:val="false"/>
      <w:jc w:val="center"/>
    </w:pPr>
    <w:rPr>
      <w:rFonts w:ascii="New Century Schoolbook" w:hAnsi="New Century Schoolbook"/>
      <w:b/>
      <w:bCs/>
      <w:color w:val="000000"/>
      <w:sz w:val="46"/>
      <w:szCs w:val="46"/>
    </w:rPr>
  </w:style>
  <w:style w:type="paragraph" w:styleId="is-Introduction-SectionHeadingLevel1" w:customStyle="1">
    <w:name w:val="is - Introduction - Section Heading Level 1"/>
    <w:uiPriority w:val="99"/>
    <w:pPr>
      <w:widowControl w:val="false"/>
      <w:spacing w:after="80" w:before="160"/>
      <w:jc w:val="center"/>
    </w:pPr>
    <w:rPr>
      <w:rFonts w:ascii="New Century Schoolbook" w:hAnsi="New Century Schoolbook"/>
      <w:b/>
      <w:bCs/>
      <w:color w:val="000000"/>
      <w:sz w:val="28"/>
      <w:szCs w:val="28"/>
    </w:rPr>
  </w:style>
  <w:style w:type="paragraph" w:styleId="is1-Introduction-SectionHeadingLevel1" w:customStyle="1">
    <w:name w:val="is1 - Introduction - Section Heading Level 1"/>
    <w:uiPriority w:val="99"/>
    <w:pPr>
      <w:widowControl w:val="false"/>
      <w:spacing w:after="80" w:before="160"/>
      <w:jc w:val="center"/>
    </w:pPr>
    <w:rPr>
      <w:rFonts w:ascii="New Century Schoolbook" w:hAnsi="New Century Schoolbook"/>
      <w:b/>
      <w:bCs/>
      <w:color w:val="000000"/>
      <w:sz w:val="28"/>
      <w:szCs w:val="28"/>
    </w:rPr>
  </w:style>
  <w:style w:type="paragraph" w:styleId="is2-Introduction-SectionHeadingLevel2" w:customStyle="1">
    <w:name w:val="is2 - Introduction - Section Heading Level 2"/>
    <w:uiPriority w:val="99"/>
    <w:pPr>
      <w:widowControl w:val="false"/>
      <w:spacing w:after="80" w:before="160"/>
      <w:jc w:val="center"/>
    </w:pPr>
    <w:rPr>
      <w:rFonts w:ascii="New Century Schoolbook" w:hAnsi="New Century Schoolbook"/>
      <w:b/>
      <w:bCs/>
      <w:color w:val="000000"/>
      <w:sz w:val="28"/>
      <w:szCs w:val="28"/>
    </w:rPr>
  </w:style>
  <w:style w:type="paragraph" w:styleId="iot-Introduction-OutlineTitle" w:customStyle="1">
    <w:name w:val="iot - Introduction - Outline Title"/>
    <w:uiPriority w:val="99"/>
    <w:pPr>
      <w:widowControl w:val="false"/>
      <w:spacing w:after="80" w:before="160"/>
      <w:jc w:val="center"/>
    </w:pPr>
    <w:rPr>
      <w:rFonts w:ascii="New Century Schoolbook" w:hAnsi="New Century Schoolbook"/>
      <w:b/>
      <w:bCs/>
      <w:color w:val="000000"/>
      <w:sz w:val="28"/>
      <w:szCs w:val="28"/>
    </w:rPr>
  </w:style>
  <w:style w:type="paragraph" w:styleId="io-Introduction-OutlineLevel1" w:customStyle="1">
    <w:name w:val="io - Introduction - Outline Level 1"/>
    <w:uiPriority w:val="99"/>
    <w:pPr>
      <w:widowControl w:val="false"/>
      <w:ind w:left="720"/>
    </w:pPr>
    <w:rPr>
      <w:rFonts w:ascii="New Century Schoolbook" w:hAnsi="New Century Schoolbook"/>
      <w:color w:val="000000"/>
      <w:sz w:val="28"/>
      <w:szCs w:val="28"/>
    </w:rPr>
  </w:style>
  <w:style w:type="paragraph" w:styleId="io1-Introduction-OutlineLevel1" w:customStyle="1">
    <w:name w:val="io1 - Introduction - Outline Level 1"/>
    <w:uiPriority w:val="99"/>
    <w:pPr>
      <w:widowControl w:val="false"/>
      <w:ind w:left="720"/>
    </w:pPr>
    <w:rPr>
      <w:rFonts w:ascii="New Century Schoolbook" w:hAnsi="New Century Schoolbook"/>
      <w:color w:val="000000"/>
      <w:sz w:val="28"/>
      <w:szCs w:val="28"/>
    </w:rPr>
  </w:style>
  <w:style w:type="paragraph" w:styleId="io2-Introduction-OutlineLevel2" w:customStyle="1">
    <w:name w:val="io2 - Introduction - Outline Level 2"/>
    <w:uiPriority w:val="99"/>
    <w:pPr>
      <w:widowControl w:val="false"/>
      <w:ind w:left="1080"/>
    </w:pPr>
    <w:rPr>
      <w:rFonts w:ascii="New Century Schoolbook" w:hAnsi="New Century Schoolbook"/>
      <w:color w:val="000000"/>
      <w:sz w:val="28"/>
      <w:szCs w:val="28"/>
    </w:rPr>
  </w:style>
  <w:style w:type="paragraph" w:styleId="io3-Introduction-OutlineLevel3" w:customStyle="1">
    <w:name w:val="io3 - Introduction - Outline Level 3"/>
    <w:uiPriority w:val="99"/>
    <w:pPr>
      <w:widowControl w:val="false"/>
      <w:ind w:left="1440"/>
    </w:pPr>
    <w:rPr>
      <w:rFonts w:ascii="New Century Schoolbook" w:hAnsi="New Century Schoolbook"/>
      <w:color w:val="000000"/>
      <w:sz w:val="28"/>
      <w:szCs w:val="28"/>
    </w:rPr>
  </w:style>
  <w:style w:type="paragraph" w:styleId="io4-Introduction-OutlineLevel4" w:customStyle="1">
    <w:name w:val="io4 - Introduction - Outline Level 4"/>
    <w:uiPriority w:val="99"/>
    <w:pPr>
      <w:widowControl w:val="false"/>
      <w:ind w:left="1800"/>
    </w:pPr>
    <w:rPr>
      <w:rFonts w:ascii="New Century Schoolbook" w:hAnsi="New Century Schoolbook"/>
      <w:color w:val="000000"/>
      <w:sz w:val="28"/>
      <w:szCs w:val="28"/>
    </w:rPr>
  </w:style>
  <w:style w:type="paragraph" w:styleId="io5-Introduction-OutlineLevel5" w:customStyle="1">
    <w:name w:val="io5 - Introduction - Outline Level 5"/>
    <w:uiPriority w:val="99"/>
    <w:pPr>
      <w:widowControl w:val="false"/>
      <w:ind w:left="2160"/>
    </w:pPr>
    <w:rPr>
      <w:rFonts w:ascii="New Century Schoolbook" w:hAnsi="New Century Schoolbook"/>
      <w:color w:val="000000"/>
      <w:sz w:val="28"/>
      <w:szCs w:val="28"/>
    </w:rPr>
  </w:style>
  <w:style w:type="paragraph" w:styleId="io6-Introduction-OutlineLevel6" w:customStyle="1">
    <w:name w:val="io6 - Introduction - Outline Level 6"/>
    <w:uiPriority w:val="99"/>
    <w:pPr>
      <w:widowControl w:val="false"/>
      <w:ind w:left="2520"/>
    </w:pPr>
    <w:rPr>
      <w:rFonts w:ascii="New Century Schoolbook" w:hAnsi="New Century Schoolbook"/>
      <w:color w:val="000000"/>
      <w:sz w:val="28"/>
      <w:szCs w:val="28"/>
    </w:rPr>
  </w:style>
  <w:style w:type="paragraph" w:styleId="io7-Introduction-OutlineLevel7" w:customStyle="1">
    <w:name w:val="io7 - Introduction - Outline Level 7"/>
    <w:uiPriority w:val="99"/>
    <w:pPr>
      <w:widowControl w:val="false"/>
      <w:ind w:left="2880"/>
    </w:pPr>
    <w:rPr>
      <w:rFonts w:ascii="New Century Schoolbook" w:hAnsi="New Century Schoolbook"/>
      <w:color w:val="000000"/>
      <w:sz w:val="28"/>
      <w:szCs w:val="28"/>
    </w:rPr>
  </w:style>
  <w:style w:type="paragraph" w:styleId="io8-Introduction-OutlineLevel8" w:customStyle="1">
    <w:name w:val="io8 - Introduction - Outline Level 8"/>
    <w:uiPriority w:val="99"/>
    <w:pPr>
      <w:widowControl w:val="false"/>
      <w:ind w:left="3240"/>
    </w:pPr>
    <w:rPr>
      <w:rFonts w:ascii="New Century Schoolbook" w:hAnsi="New Century Schoolbook"/>
      <w:color w:val="000000"/>
      <w:sz w:val="28"/>
      <w:szCs w:val="28"/>
    </w:rPr>
  </w:style>
  <w:style w:type="character" w:styleId="iorior-Introduction-OutlineReferencesRange" w:customStyle="1">
    <w:name w:val="ior...ior* - Introduction - Outline References Range"/>
    <w:uiPriority w:val="99"/>
    <w:rPr>
      <w:color w:val="000000"/>
      <w:sz w:val="28"/>
      <w:szCs w:val="28"/>
    </w:rPr>
  </w:style>
  <w:style w:type="paragraph" w:styleId="ip-Introduction-Paragraph" w:customStyle="1">
    <w:name w:val="ip - Introduction - Paragraph"/>
    <w:uiPriority w:val="99"/>
    <w:pPr>
      <w:widowControl w:val="false"/>
      <w:ind w:firstLine="180"/>
    </w:pPr>
    <w:rPr>
      <w:rFonts w:ascii="New Century Schoolbook" w:hAnsi="New Century Schoolbook"/>
      <w:color w:val="000000"/>
      <w:sz w:val="28"/>
      <w:szCs w:val="28"/>
    </w:rPr>
  </w:style>
  <w:style w:type="paragraph" w:styleId="im-Introduction-Paragraph" w:customStyle="1">
    <w:name w:val="im - Introduction - Paragraph"/>
    <w:aliases w:val="no first line indent3"/>
    <w:uiPriority w:val="99"/>
    <w:pPr>
      <w:widowControl w:val="false"/>
    </w:pPr>
    <w:rPr>
      <w:rFonts w:ascii="New Century Schoolbook" w:hAnsi="New Century Schoolbook"/>
      <w:color w:val="000000"/>
      <w:sz w:val="28"/>
      <w:szCs w:val="28"/>
    </w:rPr>
  </w:style>
  <w:style w:type="paragraph" w:styleId="ipi-Introduction-IndentedPara" w:customStyle="1">
    <w:name w:val="ipi - Introduction - Indented Para"/>
    <w:aliases w:val="first line indent1"/>
    <w:uiPriority w:val="99"/>
    <w:pPr>
      <w:widowControl w:val="false"/>
      <w:ind w:right="360" w:firstLine="180" w:left="360"/>
    </w:pPr>
    <w:rPr>
      <w:rFonts w:ascii="New Century Schoolbook" w:hAnsi="New Century Schoolbook"/>
      <w:color w:val="000000"/>
      <w:sz w:val="28"/>
      <w:szCs w:val="28"/>
    </w:rPr>
  </w:style>
  <w:style w:type="paragraph" w:styleId="imi-Introduction-IndentedPara" w:customStyle="1">
    <w:name w:val="imi - Introduction - Indented Para"/>
    <w:aliases w:val="no first line indent2"/>
    <w:uiPriority w:val="99"/>
    <w:pPr>
      <w:widowControl w:val="false"/>
      <w:ind w:right="360" w:left="360"/>
    </w:pPr>
    <w:rPr>
      <w:rFonts w:ascii="New Century Schoolbook" w:hAnsi="New Century Schoolbook"/>
      <w:color w:val="000000"/>
      <w:sz w:val="28"/>
      <w:szCs w:val="28"/>
    </w:rPr>
  </w:style>
  <w:style w:type="paragraph" w:styleId="ipq-Introduction-Paragraph" w:customStyle="1">
    <w:name w:val="ipq - Introduction - Paragraph"/>
    <w:aliases w:val="quote from text2"/>
    <w:uiPriority w:val="99"/>
    <w:pPr>
      <w:widowControl w:val="false"/>
      <w:ind w:right="360" w:firstLine="180" w:left="360"/>
    </w:pPr>
    <w:rPr>
      <w:rFonts w:ascii="New Century Schoolbook" w:hAnsi="New Century Schoolbook"/>
      <w:i/>
      <w:iCs/>
      <w:color w:val="000000"/>
      <w:sz w:val="28"/>
      <w:szCs w:val="28"/>
    </w:rPr>
  </w:style>
  <w:style w:type="paragraph" w:styleId="imq-Introduction-Paragraph" w:customStyle="1">
    <w:name w:val="imq - Introduction - Paragraph"/>
    <w:aliases w:val="quote from text1,no first line indent1"/>
    <w:uiPriority w:val="99"/>
    <w:pPr>
      <w:widowControl w:val="false"/>
      <w:ind w:right="360" w:left="360"/>
    </w:pPr>
    <w:rPr>
      <w:rFonts w:ascii="New Century Schoolbook" w:hAnsi="New Century Schoolbook"/>
      <w:i/>
      <w:iCs/>
      <w:color w:val="000000"/>
      <w:sz w:val="28"/>
      <w:szCs w:val="28"/>
    </w:rPr>
  </w:style>
  <w:style w:type="paragraph" w:styleId="ipr-Introduction-Paragraph" w:customStyle="1">
    <w:name w:val="ipr - Introduction - Paragraph"/>
    <w:aliases w:val="right aligned1"/>
    <w:uiPriority w:val="99"/>
    <w:pPr>
      <w:widowControl w:val="false"/>
      <w:ind w:right="360" w:left="360"/>
      <w:jc w:val="right"/>
    </w:pPr>
    <w:rPr>
      <w:rFonts w:ascii="New Century Schoolbook" w:hAnsi="New Century Schoolbook"/>
      <w:i/>
      <w:iCs/>
      <w:color w:val="000000"/>
      <w:sz w:val="28"/>
      <w:szCs w:val="28"/>
    </w:rPr>
  </w:style>
  <w:style w:type="paragraph" w:styleId="ib-Introduction-BlankLine" w:customStyle="1">
    <w:name w:val="ib - Introduction - Blank Line"/>
    <w:uiPriority w:val="99"/>
    <w:pPr>
      <w:widowControl w:val="false"/>
    </w:pPr>
    <w:rPr>
      <w:rFonts w:ascii="New Century Schoolbook" w:hAnsi="New Century Schoolbook"/>
      <w:color w:val="000000"/>
      <w:sz w:val="12"/>
      <w:szCs w:val="12"/>
    </w:rPr>
  </w:style>
  <w:style w:type="paragraph" w:styleId="iq-Introduction-PoetryLevel1" w:customStyle="1">
    <w:name w:val="iq - Introduction - Poetry Level 1"/>
    <w:uiPriority w:val="99"/>
    <w:pPr>
      <w:widowControl w:val="false"/>
      <w:ind w:hanging="1080" w:left="1440"/>
    </w:pPr>
    <w:rPr>
      <w:rFonts w:ascii="New Century Schoolbook" w:hAnsi="New Century Schoolbook"/>
      <w:i/>
      <w:iCs/>
      <w:color w:val="000000"/>
      <w:sz w:val="28"/>
      <w:szCs w:val="28"/>
    </w:rPr>
  </w:style>
  <w:style w:type="paragraph" w:styleId="iq1-Introduction-PoetryLevel1" w:customStyle="1">
    <w:name w:val="iq1 - Introduction - Poetry Level 1"/>
    <w:uiPriority w:val="99"/>
    <w:pPr>
      <w:widowControl w:val="false"/>
      <w:ind w:hanging="1080" w:left="1440"/>
    </w:pPr>
    <w:rPr>
      <w:rFonts w:ascii="New Century Schoolbook" w:hAnsi="New Century Schoolbook"/>
      <w:i/>
      <w:iCs/>
      <w:color w:val="000000"/>
      <w:sz w:val="28"/>
      <w:szCs w:val="28"/>
    </w:rPr>
  </w:style>
  <w:style w:type="paragraph" w:styleId="iq2-Introduction-PoetryLevel2" w:customStyle="1">
    <w:name w:val="iq2 - Introduction - Poetry Level 2"/>
    <w:uiPriority w:val="99"/>
    <w:pPr>
      <w:widowControl w:val="false"/>
      <w:ind w:hanging="720" w:left="1440"/>
    </w:pPr>
    <w:rPr>
      <w:rFonts w:ascii="New Century Schoolbook" w:hAnsi="New Century Schoolbook"/>
      <w:i/>
      <w:iCs/>
      <w:color w:val="000000"/>
      <w:sz w:val="28"/>
      <w:szCs w:val="28"/>
    </w:rPr>
  </w:style>
  <w:style w:type="paragraph" w:styleId="iq3-Introduction-PoetryLevel3" w:customStyle="1">
    <w:name w:val="iq3 - Introduction - Poetry Level 3"/>
    <w:uiPriority w:val="99"/>
    <w:pPr>
      <w:widowControl w:val="false"/>
      <w:ind w:hanging="360" w:left="1440"/>
    </w:pPr>
    <w:rPr>
      <w:rFonts w:ascii="New Century Schoolbook" w:hAnsi="New Century Schoolbook"/>
      <w:i/>
      <w:iCs/>
      <w:color w:val="000000"/>
      <w:sz w:val="28"/>
      <w:szCs w:val="28"/>
    </w:rPr>
  </w:style>
  <w:style w:type="paragraph" w:styleId="iex-Introduction-ExplanatoryorBridgeText" w:customStyle="1">
    <w:name w:val="iex - Introduction - Explanatory or Bridge Text"/>
    <w:uiPriority w:val="99"/>
    <w:pPr>
      <w:widowControl w:val="false"/>
      <w:spacing w:after="80" w:before="80"/>
      <w:ind w:firstLine="180"/>
    </w:pPr>
    <w:rPr>
      <w:rFonts w:ascii="New Century Schoolbook" w:hAnsi="New Century Schoolbook"/>
      <w:color w:val="000000"/>
      <w:sz w:val="28"/>
      <w:szCs w:val="28"/>
    </w:rPr>
  </w:style>
  <w:style w:type="paragraph" w:styleId="ie-Introduction-EndMarker" w:customStyle="1">
    <w:name w:val="ie - Introduction - End Marker"/>
    <w:uiPriority w:val="99"/>
    <w:pPr>
      <w:widowControl w:val="false"/>
    </w:pPr>
    <w:rPr>
      <w:rFonts w:ascii="New Century Schoolbook" w:hAnsi="New Century Schoolbook"/>
      <w:color w:val="000000"/>
      <w:sz w:val="12"/>
      <w:szCs w:val="12"/>
    </w:rPr>
  </w:style>
  <w:style w:type="paragraph" w:styleId="c-ChapterNumber" w:customStyle="1">
    <w:name w:val="c - Chapter Number"/>
    <w:uiPriority w:val="99"/>
    <w:pPr>
      <w:widowControl w:val="false"/>
      <w:spacing w:after="80" w:before="160"/>
    </w:pPr>
    <w:rPr>
      <w:rFonts w:ascii="New Century Schoolbook" w:hAnsi="New Century Schoolbook"/>
      <w:b/>
      <w:bCs/>
      <w:color w:val="000000"/>
      <w:sz w:val="42"/>
      <w:szCs w:val="42"/>
    </w:rPr>
  </w:style>
  <w:style w:type="paragraph" w:styleId="ca-ChapterNumber-Alternate" w:customStyle="1">
    <w:name w:val="ca - Chapter Number - Alternate"/>
    <w:uiPriority w:val="99"/>
    <w:pPr>
      <w:widowControl w:val="false"/>
      <w:spacing w:after="60" w:before="140"/>
    </w:pPr>
    <w:rPr>
      <w:rFonts w:ascii="New Century Schoolbook" w:hAnsi="New Century Schoolbook"/>
      <w:b/>
      <w:bCs/>
      <w:color w:val="228b22"/>
      <w:sz w:val="38"/>
      <w:szCs w:val="38"/>
    </w:rPr>
  </w:style>
  <w:style w:type="paragraph" w:styleId="cp-ChapterNumber-PublishingAlternate" w:customStyle="1">
    <w:name w:val="cp - Chapter Number - Publishing Alternate"/>
    <w:uiPriority w:val="99"/>
    <w:pPr>
      <w:widowControl w:val="false"/>
      <w:spacing w:after="80" w:before="160"/>
    </w:pPr>
    <w:rPr>
      <w:rFonts w:ascii="New Century Schoolbook" w:hAnsi="New Century Schoolbook"/>
      <w:b/>
      <w:bCs/>
      <w:color w:val="0000ff"/>
      <w:sz w:val="42"/>
      <w:szCs w:val="42"/>
    </w:rPr>
  </w:style>
  <w:style w:type="paragraph" w:styleId="cl-Chapter-PublishingLabel" w:customStyle="1">
    <w:name w:val="cl - Chapter - Publishing Label"/>
    <w:uiPriority w:val="99"/>
    <w:pPr>
      <w:widowControl w:val="false"/>
      <w:spacing w:after="80" w:before="160"/>
      <w:jc w:val="center"/>
    </w:pPr>
    <w:rPr>
      <w:rFonts w:ascii="New Century Schoolbook" w:hAnsi="New Century Schoolbook"/>
      <w:b/>
      <w:bCs/>
      <w:color w:val="000000"/>
      <w:sz w:val="42"/>
      <w:szCs w:val="42"/>
    </w:rPr>
  </w:style>
  <w:style w:type="paragraph" w:styleId="cd-Chapter-Description" w:customStyle="1">
    <w:name w:val="cd - Chapter - Description"/>
    <w:uiPriority w:val="99"/>
    <w:pPr>
      <w:widowControl w:val="false"/>
      <w:spacing w:after="80" w:before="160"/>
    </w:pPr>
    <w:rPr>
      <w:rFonts w:ascii="New Century Schoolbook" w:hAnsi="New Century Schoolbook"/>
      <w:color w:val="000000"/>
      <w:sz w:val="26"/>
      <w:szCs w:val="26"/>
    </w:rPr>
  </w:style>
  <w:style w:type="character" w:styleId="v-VerseNumber" w:customStyle="1">
    <w:name w:val="v - Verse Number"/>
    <w:uiPriority w:val="99"/>
    <w:rPr>
      <w:color w:val="000000"/>
      <w:sz w:val="28"/>
      <w:szCs w:val="28"/>
      <w:vertAlign w:val="superscript"/>
    </w:rPr>
  </w:style>
  <w:style w:type="character" w:styleId="va-VerseNumber-Alternate" w:customStyle="1">
    <w:name w:val="va - Verse Number - Alternate"/>
    <w:uiPriority w:val="99"/>
    <w:rPr>
      <w:color w:val="228b22"/>
      <w:sz w:val="28"/>
      <w:szCs w:val="28"/>
      <w:vertAlign w:val="superscript"/>
    </w:rPr>
  </w:style>
  <w:style w:type="character" w:styleId="vp-VerseNumber-PublishingAlternate" w:customStyle="1">
    <w:name w:val="vp - Verse Number - Publishing Alternate"/>
    <w:uiPriority w:val="99"/>
    <w:rPr>
      <w:color w:val="000000"/>
      <w:sz w:val="28"/>
      <w:szCs w:val="28"/>
      <w:vertAlign w:val="superscript"/>
    </w:rPr>
  </w:style>
  <w:style w:type="paragraph" w:styleId="p-Paragraph-Normal" w:customStyle="1">
    <w:name w:val="p - Paragraph - Normal"/>
    <w:aliases w:val="First Line Indent5"/>
    <w:uiPriority w:val="99"/>
    <w:pPr>
      <w:widowControl w:val="false"/>
      <w:ind w:firstLine="180"/>
    </w:pPr>
    <w:rPr>
      <w:rFonts w:ascii="New Century Schoolbook" w:hAnsi="New Century Schoolbook"/>
      <w:color w:val="000000"/>
      <w:sz w:val="28"/>
      <w:szCs w:val="28"/>
    </w:rPr>
  </w:style>
  <w:style w:type="paragraph" w:styleId="m-Paragraph-Margin" w:customStyle="1">
    <w:name w:val="m - Paragraph - Margin"/>
    <w:aliases w:val="No First Line Indent2"/>
    <w:uiPriority w:val="99"/>
    <w:pPr>
      <w:widowControl w:val="false"/>
    </w:pPr>
    <w:rPr>
      <w:rFonts w:ascii="New Century Schoolbook" w:hAnsi="New Century Schoolbook"/>
      <w:color w:val="000000"/>
      <w:sz w:val="28"/>
      <w:szCs w:val="28"/>
    </w:rPr>
  </w:style>
  <w:style w:type="paragraph" w:styleId="pmo-Paragraph-EmbeddedTextOpening" w:customStyle="1">
    <w:name w:val="pmo - Paragraph - Embedded Text Opening"/>
    <w:uiPriority w:val="99"/>
    <w:pPr>
      <w:widowControl w:val="false"/>
      <w:ind w:right="360" w:left="360"/>
    </w:pPr>
    <w:rPr>
      <w:rFonts w:ascii="New Century Schoolbook" w:hAnsi="New Century Schoolbook"/>
      <w:color w:val="000000"/>
      <w:sz w:val="28"/>
      <w:szCs w:val="28"/>
    </w:rPr>
  </w:style>
  <w:style w:type="paragraph" w:styleId="pm-Paragraph-EmbeddedText" w:customStyle="1">
    <w:name w:val="pm - Paragraph - Embedded Text"/>
    <w:uiPriority w:val="99"/>
    <w:pPr>
      <w:widowControl w:val="false"/>
      <w:ind w:right="360" w:firstLine="180" w:left="360"/>
    </w:pPr>
    <w:rPr>
      <w:rFonts w:ascii="New Century Schoolbook" w:hAnsi="New Century Schoolbook"/>
      <w:color w:val="000000"/>
      <w:sz w:val="28"/>
      <w:szCs w:val="28"/>
    </w:rPr>
  </w:style>
  <w:style w:type="paragraph" w:styleId="pmc-Paragraph-EmbeddedTextClosing" w:customStyle="1">
    <w:name w:val="pmc - Paragraph - Embedded Text Closing"/>
    <w:uiPriority w:val="99"/>
    <w:pPr>
      <w:widowControl w:val="false"/>
      <w:ind w:right="360" w:left="360"/>
    </w:pPr>
    <w:rPr>
      <w:rFonts w:ascii="New Century Schoolbook" w:hAnsi="New Century Schoolbook"/>
      <w:color w:val="000000"/>
      <w:sz w:val="28"/>
      <w:szCs w:val="28"/>
    </w:rPr>
  </w:style>
  <w:style w:type="paragraph" w:styleId="pmr-Paragraph-EmbeddedTextRefrain" w:customStyle="1">
    <w:name w:val="pmr - Paragraph - Embedded Text Refrain"/>
    <w:uiPriority w:val="99"/>
    <w:pPr>
      <w:widowControl w:val="false"/>
      <w:ind w:right="360" w:left="360"/>
      <w:jc w:val="right"/>
    </w:pPr>
    <w:rPr>
      <w:rFonts w:ascii="New Century Schoolbook" w:hAnsi="New Century Schoolbook"/>
      <w:color w:val="000000"/>
      <w:sz w:val="28"/>
      <w:szCs w:val="28"/>
    </w:rPr>
  </w:style>
  <w:style w:type="paragraph" w:styleId="pi-Paragraph-Indented" w:customStyle="1">
    <w:name w:val="pi - Paragraph - Indented"/>
    <w:aliases w:val="Level 15,First Line Indent4"/>
    <w:uiPriority w:val="99"/>
    <w:pPr>
      <w:widowControl w:val="false"/>
      <w:ind w:right="360" w:firstLine="180" w:left="360"/>
    </w:pPr>
    <w:rPr>
      <w:rFonts w:ascii="New Century Schoolbook" w:hAnsi="New Century Schoolbook"/>
      <w:color w:val="000000"/>
      <w:sz w:val="28"/>
      <w:szCs w:val="28"/>
    </w:rPr>
  </w:style>
  <w:style w:type="paragraph" w:styleId="pi1-Paragraph-Indented" w:customStyle="1">
    <w:name w:val="pi1 - Paragraph - Indented"/>
    <w:aliases w:val="Level 14,First Line Indent3"/>
    <w:uiPriority w:val="99"/>
    <w:pPr>
      <w:widowControl w:val="false"/>
      <w:ind w:right="360" w:firstLine="180" w:left="360"/>
    </w:pPr>
    <w:rPr>
      <w:rFonts w:ascii="New Century Schoolbook" w:hAnsi="New Century Schoolbook"/>
      <w:color w:val="000000"/>
      <w:sz w:val="28"/>
      <w:szCs w:val="28"/>
    </w:rPr>
  </w:style>
  <w:style w:type="paragraph" w:styleId="pi2-Paragraph-Indented" w:customStyle="1">
    <w:name w:val="pi2 - Paragraph - Indented"/>
    <w:aliases w:val="Level 23,First Line Indent2"/>
    <w:uiPriority w:val="99"/>
    <w:pPr>
      <w:widowControl w:val="false"/>
      <w:ind w:right="360" w:firstLine="180" w:left="720"/>
    </w:pPr>
    <w:rPr>
      <w:rFonts w:ascii="New Century Schoolbook" w:hAnsi="New Century Schoolbook"/>
      <w:color w:val="000000"/>
      <w:sz w:val="28"/>
      <w:szCs w:val="28"/>
    </w:rPr>
  </w:style>
  <w:style w:type="paragraph" w:styleId="pi3-Paragraph-Indented" w:customStyle="1">
    <w:name w:val="pi3 - Paragraph - Indented"/>
    <w:aliases w:val="Level 32,First Line Indent1"/>
    <w:uiPriority w:val="99"/>
    <w:pPr>
      <w:widowControl w:val="false"/>
      <w:ind w:right="360" w:firstLine="180" w:left="1080"/>
    </w:pPr>
    <w:rPr>
      <w:rFonts w:ascii="New Century Schoolbook" w:hAnsi="New Century Schoolbook"/>
      <w:color w:val="000000"/>
      <w:sz w:val="28"/>
      <w:szCs w:val="28"/>
    </w:rPr>
  </w:style>
  <w:style w:type="paragraph" w:styleId="pc-Paragraph-CenteredforInscription" w:customStyle="1">
    <w:name w:val="pc - Paragraph - Centered (for Inscription)"/>
    <w:uiPriority w:val="99"/>
    <w:pPr>
      <w:widowControl w:val="false"/>
      <w:jc w:val="center"/>
    </w:pPr>
    <w:rPr>
      <w:rFonts w:ascii="New Century Schoolbook" w:hAnsi="New Century Schoolbook"/>
      <w:color w:val="000000"/>
      <w:sz w:val="28"/>
      <w:szCs w:val="28"/>
    </w:rPr>
  </w:style>
  <w:style w:type="paragraph" w:styleId="mi-Paragraph-Indented" w:customStyle="1">
    <w:name w:val="mi - Paragraph - Indented"/>
    <w:aliases w:val="No First Line Indent1"/>
    <w:uiPriority w:val="99"/>
    <w:pPr>
      <w:widowControl w:val="false"/>
      <w:ind w:right="360" w:left="360"/>
    </w:pPr>
    <w:rPr>
      <w:rFonts w:ascii="New Century Schoolbook" w:hAnsi="New Century Schoolbook"/>
      <w:color w:val="000000"/>
      <w:sz w:val="28"/>
      <w:szCs w:val="28"/>
    </w:rPr>
  </w:style>
  <w:style w:type="paragraph" w:styleId="nb-Paragraph-NoBreakwithPreviousParagraph" w:customStyle="1">
    <w:name w:val="nb - Paragraph - No Break with Previous Paragraph"/>
    <w:uiPriority w:val="99"/>
    <w:pPr>
      <w:widowControl w:val="false"/>
    </w:pPr>
    <w:rPr>
      <w:rFonts w:ascii="New Century Schoolbook" w:hAnsi="New Century Schoolbook"/>
      <w:color w:val="000000"/>
      <w:sz w:val="28"/>
      <w:szCs w:val="28"/>
    </w:rPr>
  </w:style>
  <w:style w:type="paragraph" w:styleId="cls-Paragraph-ClosureofanEpistle" w:customStyle="1">
    <w:name w:val="cls - Paragraph - Closure of an Epistle"/>
    <w:uiPriority w:val="99"/>
    <w:pPr>
      <w:widowControl w:val="false"/>
      <w:jc w:val="right"/>
    </w:pPr>
    <w:rPr>
      <w:rFonts w:ascii="New Century Schoolbook" w:hAnsi="New Century Schoolbook"/>
      <w:color w:val="000000"/>
      <w:sz w:val="28"/>
      <w:szCs w:val="28"/>
    </w:rPr>
  </w:style>
  <w:style w:type="paragraph" w:styleId="q-Poetry-IndentLevel1" w:customStyle="1">
    <w:name w:val="q - Poetry - Indent Level 1"/>
    <w:aliases w:val="Single Level Only2"/>
    <w:uiPriority w:val="99"/>
    <w:pPr>
      <w:widowControl w:val="false"/>
      <w:ind w:hanging="1440" w:left="1800"/>
    </w:pPr>
    <w:rPr>
      <w:rFonts w:ascii="New Century Schoolbook" w:hAnsi="New Century Schoolbook"/>
      <w:color w:val="000000"/>
      <w:sz w:val="28"/>
      <w:szCs w:val="28"/>
    </w:rPr>
  </w:style>
  <w:style w:type="paragraph" w:styleId="q1-Poetry-IndentLevel1" w:customStyle="1">
    <w:name w:val="q1 - Poetry - Indent Level 1"/>
    <w:uiPriority w:val="99"/>
    <w:pPr>
      <w:widowControl w:val="false"/>
      <w:ind w:hanging="1440" w:left="1800"/>
    </w:pPr>
    <w:rPr>
      <w:rFonts w:ascii="New Century Schoolbook" w:hAnsi="New Century Schoolbook"/>
      <w:color w:val="000000"/>
      <w:sz w:val="28"/>
      <w:szCs w:val="28"/>
    </w:rPr>
  </w:style>
  <w:style w:type="paragraph" w:styleId="q2-Poetry-IndentLevel2" w:customStyle="1">
    <w:name w:val="q2 - Poetry - Indent Level 2"/>
    <w:uiPriority w:val="99"/>
    <w:pPr>
      <w:widowControl w:val="false"/>
      <w:ind w:hanging="1080" w:left="1800"/>
    </w:pPr>
    <w:rPr>
      <w:rFonts w:ascii="New Century Schoolbook" w:hAnsi="New Century Schoolbook"/>
      <w:color w:val="000000"/>
      <w:sz w:val="28"/>
      <w:szCs w:val="28"/>
    </w:rPr>
  </w:style>
  <w:style w:type="paragraph" w:styleId="q3-Poetry-IndentLevel3" w:customStyle="1">
    <w:name w:val="q3 - Poetry - Indent Level 3"/>
    <w:uiPriority w:val="99"/>
    <w:pPr>
      <w:widowControl w:val="false"/>
      <w:ind w:hanging="720" w:left="1800"/>
    </w:pPr>
    <w:rPr>
      <w:rFonts w:ascii="New Century Schoolbook" w:hAnsi="New Century Schoolbook"/>
      <w:color w:val="000000"/>
      <w:sz w:val="28"/>
      <w:szCs w:val="28"/>
    </w:rPr>
  </w:style>
  <w:style w:type="paragraph" w:styleId="q4-Poetry-IndentLevel4" w:customStyle="1">
    <w:name w:val="q4 - Poetry - Indent Level 4"/>
    <w:uiPriority w:val="99"/>
    <w:pPr>
      <w:widowControl w:val="false"/>
      <w:ind w:hanging="360" w:left="1800"/>
    </w:pPr>
    <w:rPr>
      <w:rFonts w:ascii="New Century Schoolbook" w:hAnsi="New Century Schoolbook"/>
      <w:color w:val="000000"/>
      <w:sz w:val="28"/>
      <w:szCs w:val="28"/>
    </w:rPr>
  </w:style>
  <w:style w:type="paragraph" w:styleId="qc-Poetry-Centered" w:customStyle="1">
    <w:name w:val="qc - Poetry - Centered"/>
    <w:uiPriority w:val="99"/>
    <w:pPr>
      <w:widowControl w:val="false"/>
      <w:jc w:val="center"/>
    </w:pPr>
    <w:rPr>
      <w:rFonts w:ascii="New Century Schoolbook" w:hAnsi="New Century Schoolbook"/>
      <w:color w:val="000000"/>
      <w:sz w:val="28"/>
      <w:szCs w:val="28"/>
    </w:rPr>
  </w:style>
  <w:style w:type="paragraph" w:styleId="qr-Poetry-RightAligned" w:customStyle="1">
    <w:name w:val="qr - Poetry - Right Aligned"/>
    <w:uiPriority w:val="99"/>
    <w:pPr>
      <w:widowControl w:val="false"/>
      <w:jc w:val="right"/>
    </w:pPr>
    <w:rPr>
      <w:rFonts w:ascii="New Century Schoolbook" w:hAnsi="New Century Schoolbook"/>
      <w:color w:val="000000"/>
      <w:sz w:val="28"/>
      <w:szCs w:val="28"/>
    </w:rPr>
  </w:style>
  <w:style w:type="character" w:styleId="qsqs-PoetryText-Selah" w:customStyle="1">
    <w:name w:val="qs...qs* - Poetry Text - Selah"/>
    <w:uiPriority w:val="99"/>
    <w:rPr>
      <w:i/>
      <w:iCs/>
      <w:color w:val="000000"/>
      <w:sz w:val="28"/>
      <w:szCs w:val="28"/>
    </w:rPr>
  </w:style>
  <w:style w:type="paragraph" w:styleId="qa-Poetry-AcrosticHeadingMarker" w:customStyle="1">
    <w:name w:val="qa - Poetry - Acrostic Heading/Marker"/>
    <w:uiPriority w:val="99"/>
    <w:pPr>
      <w:widowControl w:val="false"/>
    </w:pPr>
    <w:rPr>
      <w:rFonts w:ascii="New Century Schoolbook" w:hAnsi="New Century Schoolbook"/>
      <w:i/>
      <w:iCs/>
      <w:color w:val="000000"/>
      <w:sz w:val="28"/>
      <w:szCs w:val="28"/>
    </w:rPr>
  </w:style>
  <w:style w:type="character" w:styleId="qacqac-PoetryText-AcrosticLetter" w:customStyle="1">
    <w:name w:val="qac...qac* - Poetry Text - Acrostic Letter"/>
    <w:uiPriority w:val="99"/>
    <w:rPr>
      <w:i/>
      <w:iCs/>
      <w:color w:val="000000"/>
      <w:sz w:val="28"/>
      <w:szCs w:val="28"/>
    </w:rPr>
  </w:style>
  <w:style w:type="paragraph" w:styleId="qm-Poetry-EmbeddedText" w:customStyle="1">
    <w:name w:val="qm - Poetry - Embedded Text"/>
    <w:aliases w:val="Indent Level 1,Single Level Only1"/>
    <w:uiPriority w:val="99"/>
    <w:pPr>
      <w:widowControl w:val="false"/>
      <w:ind w:hanging="1080" w:left="1440"/>
    </w:pPr>
    <w:rPr>
      <w:rFonts w:ascii="New Century Schoolbook" w:hAnsi="New Century Schoolbook"/>
      <w:color w:val="000000"/>
      <w:sz w:val="28"/>
      <w:szCs w:val="28"/>
    </w:rPr>
  </w:style>
  <w:style w:type="paragraph" w:styleId="qm1-Poetry-EmbeddedText" w:customStyle="1">
    <w:name w:val="qm1 - Poetry - Embedded Text"/>
    <w:aliases w:val="Indent Level 11"/>
    <w:uiPriority w:val="99"/>
    <w:pPr>
      <w:widowControl w:val="false"/>
      <w:ind w:hanging="1080" w:left="1440"/>
    </w:pPr>
    <w:rPr>
      <w:rFonts w:ascii="New Century Schoolbook" w:hAnsi="New Century Schoolbook"/>
      <w:color w:val="000000"/>
      <w:sz w:val="28"/>
      <w:szCs w:val="28"/>
    </w:rPr>
  </w:style>
  <w:style w:type="paragraph" w:styleId="qm2-Poetry-EmbeddedText" w:customStyle="1">
    <w:name w:val="qm2 - Poetry - Embedded Text"/>
    <w:aliases w:val="Indent Level 2"/>
    <w:uiPriority w:val="99"/>
    <w:pPr>
      <w:widowControl w:val="false"/>
      <w:ind w:hanging="720" w:left="1440"/>
    </w:pPr>
    <w:rPr>
      <w:rFonts w:ascii="New Century Schoolbook" w:hAnsi="New Century Schoolbook"/>
      <w:color w:val="000000"/>
      <w:sz w:val="28"/>
      <w:szCs w:val="28"/>
    </w:rPr>
  </w:style>
  <w:style w:type="paragraph" w:styleId="qm3-Poetry-EmbeddedText" w:customStyle="1">
    <w:name w:val="qm3 - Poetry - Embedded Text"/>
    <w:aliases w:val="Indent Level 3"/>
    <w:uiPriority w:val="99"/>
    <w:pPr>
      <w:widowControl w:val="false"/>
      <w:ind w:hanging="360" w:left="1440"/>
    </w:pPr>
    <w:rPr>
      <w:rFonts w:ascii="New Century Schoolbook" w:hAnsi="New Century Schoolbook"/>
      <w:color w:val="000000"/>
      <w:sz w:val="28"/>
      <w:szCs w:val="28"/>
    </w:rPr>
  </w:style>
  <w:style w:type="paragraph" w:styleId="b-Poetry-StanzaBreakBlankLine" w:customStyle="1">
    <w:name w:val="b - Poetry - Stanza Break (Blank Line)"/>
    <w:uiPriority w:val="99"/>
    <w:pPr>
      <w:widowControl w:val="false"/>
    </w:pPr>
    <w:rPr>
      <w:rFonts w:ascii="New Century Schoolbook" w:hAnsi="New Century Schoolbook"/>
      <w:color w:val="000000"/>
      <w:sz w:val="12"/>
      <w:szCs w:val="12"/>
    </w:rPr>
  </w:style>
  <w:style w:type="paragraph" w:styleId="mt-Title-MajorTitleLevel1" w:customStyle="1">
    <w:name w:val="mt - Title - Major Title Level 1"/>
    <w:uiPriority w:val="99"/>
    <w:pPr>
      <w:widowControl w:val="false"/>
      <w:spacing w:after="80" w:before="160"/>
      <w:jc w:val="center"/>
    </w:pPr>
    <w:rPr>
      <w:rFonts w:ascii="New Century Schoolbook" w:hAnsi="New Century Schoolbook"/>
      <w:b/>
      <w:bCs/>
      <w:color w:val="000000"/>
      <w:sz w:val="46"/>
      <w:szCs w:val="46"/>
    </w:rPr>
  </w:style>
  <w:style w:type="paragraph" w:styleId="mt1-Title-MajorTitleLevel1" w:customStyle="1">
    <w:name w:val="mt1 - Title - Major Title Level 1"/>
    <w:uiPriority w:val="99"/>
    <w:pPr>
      <w:widowControl w:val="false"/>
      <w:spacing w:after="80" w:before="40"/>
      <w:jc w:val="center"/>
    </w:pPr>
    <w:rPr>
      <w:rFonts w:ascii="New Century Schoolbook" w:hAnsi="New Century Schoolbook"/>
      <w:b/>
      <w:bCs/>
      <w:color w:val="000000"/>
      <w:sz w:val="46"/>
      <w:szCs w:val="46"/>
    </w:rPr>
  </w:style>
  <w:style w:type="paragraph" w:styleId="mt2-Title-MajorTitleLevel2" w:customStyle="1">
    <w:name w:val="mt2 - Title - Major Title Level 2"/>
    <w:uiPriority w:val="99"/>
    <w:pPr>
      <w:widowControl w:val="false"/>
      <w:spacing w:after="40"/>
      <w:jc w:val="center"/>
    </w:pPr>
    <w:rPr>
      <w:rFonts w:ascii="New Century Schoolbook" w:hAnsi="New Century Schoolbook"/>
      <w:i/>
      <w:iCs/>
      <w:color w:val="000000"/>
      <w:sz w:val="38"/>
      <w:szCs w:val="38"/>
    </w:rPr>
  </w:style>
  <w:style w:type="paragraph" w:styleId="mt3-Title-MajorTitleLevel3" w:customStyle="1">
    <w:name w:val="mt3 - Title - Major Title Level 3"/>
    <w:uiPriority w:val="99"/>
    <w:pPr>
      <w:widowControl w:val="false"/>
      <w:spacing w:after="40" w:before="40"/>
      <w:jc w:val="center"/>
    </w:pPr>
    <w:rPr>
      <w:rFonts w:ascii="New Century Schoolbook" w:hAnsi="New Century Schoolbook"/>
      <w:b/>
      <w:bCs/>
      <w:color w:val="000000"/>
      <w:sz w:val="38"/>
      <w:szCs w:val="38"/>
    </w:rPr>
  </w:style>
  <w:style w:type="paragraph" w:styleId="mt4-Title-MajorTitlelevel4" w:customStyle="1">
    <w:name w:val="mt4 - Title - Major Title level 4"/>
    <w:uiPriority w:val="99"/>
    <w:pPr>
      <w:widowControl w:val="false"/>
      <w:spacing w:after="40" w:before="40"/>
      <w:jc w:val="center"/>
    </w:pPr>
    <w:rPr>
      <w:rFonts w:ascii="New Century Schoolbook" w:hAnsi="New Century Schoolbook"/>
      <w:color w:val="000000"/>
      <w:sz w:val="28"/>
      <w:szCs w:val="28"/>
    </w:rPr>
  </w:style>
  <w:style w:type="paragraph" w:styleId="mte-Title-UncommonMajorTitleEndingLevel1" w:customStyle="1">
    <w:name w:val="mte - Title - [Uncommon] Major Title Ending Level 1"/>
    <w:uiPriority w:val="99"/>
    <w:pPr>
      <w:widowControl w:val="false"/>
      <w:spacing w:after="80" w:before="160"/>
      <w:jc w:val="center"/>
    </w:pPr>
    <w:rPr>
      <w:rFonts w:ascii="New Century Schoolbook" w:hAnsi="New Century Schoolbook"/>
      <w:b/>
      <w:bCs/>
      <w:color w:val="000000"/>
      <w:sz w:val="46"/>
      <w:szCs w:val="46"/>
    </w:rPr>
  </w:style>
  <w:style w:type="paragraph" w:styleId="mte1-Title-UncommonMajorTitleEndingLevel1" w:customStyle="1">
    <w:name w:val="mte1 - Title - [Uncommon] Major Title Ending Level 1"/>
    <w:uiPriority w:val="99"/>
    <w:pPr>
      <w:widowControl w:val="false"/>
      <w:spacing w:after="80" w:before="160"/>
      <w:jc w:val="center"/>
    </w:pPr>
    <w:rPr>
      <w:rFonts w:ascii="New Century Schoolbook" w:hAnsi="New Century Schoolbook"/>
      <w:b/>
      <w:bCs/>
      <w:color w:val="000000"/>
      <w:sz w:val="46"/>
      <w:szCs w:val="46"/>
    </w:rPr>
  </w:style>
  <w:style w:type="paragraph" w:styleId="mte2-Title-UncommonMajorTitleEndingLevel2" w:customStyle="1">
    <w:name w:val="mte2 - Title - [Uncommon] Major Title Ending Level 2"/>
    <w:uiPriority w:val="99"/>
    <w:pPr>
      <w:widowControl w:val="false"/>
      <w:spacing w:after="40"/>
      <w:jc w:val="center"/>
    </w:pPr>
    <w:rPr>
      <w:rFonts w:ascii="New Century Schoolbook" w:hAnsi="New Century Schoolbook"/>
      <w:i/>
      <w:iCs/>
      <w:color w:val="000000"/>
      <w:sz w:val="38"/>
      <w:szCs w:val="38"/>
    </w:rPr>
  </w:style>
  <w:style w:type="paragraph" w:styleId="ms-Heading-MajorSectionLevel1" w:customStyle="1">
    <w:name w:val="ms - Heading - Major Section Level 1"/>
    <w:uiPriority w:val="99"/>
    <w:pPr>
      <w:widowControl w:val="false"/>
      <w:spacing w:after="80" w:before="320"/>
      <w:jc w:val="center"/>
    </w:pPr>
    <w:rPr>
      <w:rFonts w:ascii="New Century Schoolbook" w:hAnsi="New Century Schoolbook"/>
      <w:b/>
      <w:bCs/>
      <w:color w:val="000000"/>
      <w:sz w:val="32"/>
      <w:szCs w:val="32"/>
    </w:rPr>
  </w:style>
  <w:style w:type="paragraph" w:styleId="mr-Heading-MajorSectionRangeReferences" w:customStyle="1">
    <w:name w:val="mr - Heading - Major Section Range References"/>
    <w:uiPriority w:val="99"/>
    <w:pPr>
      <w:widowControl w:val="false"/>
      <w:spacing w:after="80"/>
      <w:jc w:val="center"/>
    </w:pPr>
    <w:rPr>
      <w:rFonts w:ascii="New Century Schoolbook" w:hAnsi="New Century Schoolbook"/>
      <w:i/>
      <w:iCs/>
      <w:color w:val="000000"/>
      <w:sz w:val="28"/>
      <w:szCs w:val="28"/>
    </w:rPr>
  </w:style>
  <w:style w:type="paragraph" w:styleId="s-Heading-SectionLevel1" w:customStyle="1">
    <w:name w:val="s - Heading - Section Level 1"/>
    <w:uiPriority w:val="99"/>
    <w:pPr>
      <w:widowControl w:val="false"/>
      <w:spacing w:after="80" w:before="160"/>
      <w:jc w:val="center"/>
    </w:pPr>
    <w:rPr>
      <w:rFonts w:ascii="New Century Schoolbook" w:hAnsi="New Century Schoolbook"/>
      <w:b/>
      <w:bCs/>
      <w:color w:val="000000"/>
      <w:sz w:val="28"/>
      <w:szCs w:val="28"/>
    </w:rPr>
  </w:style>
  <w:style w:type="paragraph" w:styleId="s1-Heading-SectionLevel1" w:customStyle="1">
    <w:name w:val="s1 - Heading - Section Level 1"/>
    <w:uiPriority w:val="99"/>
    <w:pPr>
      <w:widowControl w:val="false"/>
      <w:spacing w:after="80" w:before="160"/>
      <w:jc w:val="center"/>
    </w:pPr>
    <w:rPr>
      <w:rFonts w:ascii="New Century Schoolbook" w:hAnsi="New Century Schoolbook"/>
      <w:b/>
      <w:bCs/>
      <w:color w:val="000000"/>
      <w:sz w:val="28"/>
      <w:szCs w:val="28"/>
    </w:rPr>
  </w:style>
  <w:style w:type="paragraph" w:styleId="s2-Heading-SectionLevel2" w:customStyle="1">
    <w:name w:val="s2 - Heading - Section Level 2"/>
    <w:uiPriority w:val="99"/>
    <w:pPr>
      <w:widowControl w:val="false"/>
      <w:spacing w:after="80" w:before="160"/>
      <w:jc w:val="center"/>
    </w:pPr>
    <w:rPr>
      <w:rFonts w:ascii="New Century Schoolbook" w:hAnsi="New Century Schoolbook"/>
      <w:i/>
      <w:iCs/>
      <w:color w:val="000000"/>
      <w:sz w:val="28"/>
      <w:szCs w:val="28"/>
    </w:rPr>
  </w:style>
  <w:style w:type="paragraph" w:styleId="s3-Heading-SectionLevel3" w:customStyle="1">
    <w:name w:val="s3 - Heading - Section Level 3"/>
    <w:uiPriority w:val="99"/>
    <w:pPr>
      <w:widowControl w:val="false"/>
      <w:spacing w:after="60" w:before="120"/>
    </w:pPr>
    <w:rPr>
      <w:rFonts w:ascii="New Century Schoolbook" w:hAnsi="New Century Schoolbook"/>
      <w:i/>
      <w:iCs/>
      <w:color w:val="000000"/>
      <w:sz w:val="28"/>
      <w:szCs w:val="28"/>
    </w:rPr>
  </w:style>
  <w:style w:type="paragraph" w:styleId="s4-Heading-SectionLevel4" w:customStyle="1">
    <w:name w:val="s4 - Heading - Section Level 4"/>
    <w:uiPriority w:val="99"/>
    <w:pPr>
      <w:widowControl w:val="false"/>
      <w:spacing w:after="60" w:before="120"/>
    </w:pPr>
    <w:rPr>
      <w:rFonts w:ascii="New Century Schoolbook" w:hAnsi="New Century Schoolbook"/>
      <w:i/>
      <w:iCs/>
      <w:color w:val="000000"/>
      <w:sz w:val="28"/>
      <w:szCs w:val="28"/>
    </w:rPr>
  </w:style>
  <w:style w:type="paragraph" w:styleId="sr-Heading-SectionRangeReferences" w:customStyle="1">
    <w:name w:val="sr - Heading - Section Range References"/>
    <w:uiPriority w:val="99"/>
    <w:pPr>
      <w:widowControl w:val="false"/>
      <w:spacing w:after="80"/>
      <w:jc w:val="center"/>
    </w:pPr>
    <w:rPr>
      <w:rFonts w:ascii="New Century Schoolbook" w:hAnsi="New Century Schoolbook"/>
      <w:b/>
      <w:bCs/>
      <w:color w:val="000000"/>
      <w:sz w:val="28"/>
      <w:szCs w:val="28"/>
    </w:rPr>
  </w:style>
  <w:style w:type="paragraph" w:styleId="r-Heading-ParallelReferences" w:customStyle="1">
    <w:name w:val="r - Heading - Parallel References"/>
    <w:uiPriority w:val="99"/>
    <w:pPr>
      <w:widowControl w:val="false"/>
      <w:spacing w:after="80"/>
      <w:jc w:val="center"/>
    </w:pPr>
    <w:rPr>
      <w:rFonts w:ascii="New Century Schoolbook" w:hAnsi="New Century Schoolbook"/>
      <w:i/>
      <w:iCs/>
      <w:color w:val="000000"/>
      <w:sz w:val="28"/>
      <w:szCs w:val="28"/>
    </w:rPr>
  </w:style>
  <w:style w:type="paragraph" w:styleId="sp-Heading-Speaker" w:customStyle="1">
    <w:name w:val="sp - Heading - Speaker"/>
    <w:uiPriority w:val="99"/>
    <w:pPr>
      <w:widowControl w:val="false"/>
      <w:spacing w:after="80" w:before="160"/>
    </w:pPr>
    <w:rPr>
      <w:rFonts w:ascii="New Century Schoolbook" w:hAnsi="New Century Schoolbook"/>
      <w:i/>
      <w:iCs/>
      <w:color w:val="000000"/>
      <w:sz w:val="28"/>
      <w:szCs w:val="28"/>
    </w:rPr>
  </w:style>
  <w:style w:type="paragraph" w:styleId="d-Heading-DescriptiveTitle" w:customStyle="1">
    <w:name w:val="d - Heading - Descriptive Title"/>
    <w:aliases w:val="Hebrew Subtitle1"/>
    <w:uiPriority w:val="99"/>
    <w:pPr>
      <w:widowControl w:val="false"/>
      <w:spacing w:after="80" w:before="80"/>
      <w:jc w:val="center"/>
    </w:pPr>
    <w:rPr>
      <w:rFonts w:ascii="New Century Schoolbook" w:hAnsi="New Century Schoolbook"/>
      <w:i/>
      <w:iCs/>
      <w:color w:val="000000"/>
      <w:sz w:val="28"/>
      <w:szCs w:val="28"/>
    </w:rPr>
  </w:style>
  <w:style w:type="paragraph" w:styleId="tr-Table-Row" w:customStyle="1">
    <w:name w:val="tr - Table - Row"/>
    <w:uiPriority w:val="99"/>
    <w:pPr>
      <w:widowControl w:val="false"/>
      <w:ind w:hanging="360" w:left="720"/>
    </w:pPr>
    <w:rPr>
      <w:rFonts w:ascii="New Century Schoolbook" w:hAnsi="New Century Schoolbook"/>
      <w:color w:val="000000"/>
      <w:sz w:val="28"/>
      <w:szCs w:val="28"/>
    </w:rPr>
  </w:style>
  <w:style w:type="character" w:styleId="th1-Table-Column1Heading" w:customStyle="1">
    <w:name w:val="th1 - Table - Column 1 Heading"/>
    <w:uiPriority w:val="99"/>
    <w:rPr>
      <w:i/>
      <w:iCs/>
      <w:color w:val="000000"/>
      <w:sz w:val="28"/>
      <w:szCs w:val="28"/>
    </w:rPr>
  </w:style>
  <w:style w:type="character" w:styleId="th2-Table-Column2Heading" w:customStyle="1">
    <w:name w:val="th2 - Table - Column 2 Heading"/>
    <w:uiPriority w:val="99"/>
    <w:rPr>
      <w:i/>
      <w:iCs/>
      <w:color w:val="000000"/>
      <w:sz w:val="28"/>
      <w:szCs w:val="28"/>
    </w:rPr>
  </w:style>
  <w:style w:type="character" w:styleId="th3-Table-Column3Heading" w:customStyle="1">
    <w:name w:val="th3 - Table - Column 3 Heading"/>
    <w:uiPriority w:val="99"/>
    <w:rPr>
      <w:i/>
      <w:iCs/>
      <w:color w:val="000000"/>
      <w:sz w:val="28"/>
      <w:szCs w:val="28"/>
    </w:rPr>
  </w:style>
  <w:style w:type="character" w:styleId="th4-Table-Column4Heading" w:customStyle="1">
    <w:name w:val="th4 - Table - Column 4 Heading"/>
    <w:uiPriority w:val="99"/>
    <w:rPr>
      <w:i/>
      <w:iCs/>
      <w:color w:val="000000"/>
      <w:sz w:val="28"/>
      <w:szCs w:val="28"/>
    </w:rPr>
  </w:style>
  <w:style w:type="character" w:styleId="tc1-Table-Column1Cell" w:customStyle="1">
    <w:name w:val="tc1 - Table - Column 1 Cell"/>
    <w:uiPriority w:val="99"/>
    <w:rPr>
      <w:color w:val="000000"/>
      <w:sz w:val="28"/>
      <w:szCs w:val="28"/>
    </w:rPr>
  </w:style>
  <w:style w:type="character" w:styleId="tc2-Table-Column2Cell" w:customStyle="1">
    <w:name w:val="tc2 - Table - Column 2 Cell"/>
    <w:uiPriority w:val="99"/>
    <w:rPr>
      <w:color w:val="000000"/>
      <w:sz w:val="28"/>
      <w:szCs w:val="28"/>
    </w:rPr>
  </w:style>
  <w:style w:type="character" w:styleId="tc3-Table-Column3Cell" w:customStyle="1">
    <w:name w:val="tc3 - Table - Column 3 Cell"/>
    <w:uiPriority w:val="99"/>
    <w:rPr>
      <w:color w:val="000000"/>
      <w:sz w:val="28"/>
      <w:szCs w:val="28"/>
    </w:rPr>
  </w:style>
  <w:style w:type="character" w:styleId="tc4-Table-Column4Cell" w:customStyle="1">
    <w:name w:val="tc4 - Table - Column 4 Cell"/>
    <w:uiPriority w:val="99"/>
    <w:rPr>
      <w:color w:val="000000"/>
      <w:sz w:val="28"/>
      <w:szCs w:val="28"/>
    </w:rPr>
  </w:style>
  <w:style w:type="character" w:styleId="thr1-Table-Column1Heading" w:customStyle="1">
    <w:name w:val="thr1 - Table - Column 1 Heading"/>
    <w:aliases w:val="Right Aligned8"/>
    <w:uiPriority w:val="99"/>
    <w:rPr>
      <w:i/>
      <w:iCs/>
      <w:color w:val="000000"/>
      <w:sz w:val="28"/>
      <w:szCs w:val="28"/>
    </w:rPr>
  </w:style>
  <w:style w:type="character" w:styleId="thr2-Table-Column2Heading" w:customStyle="1">
    <w:name w:val="thr2 - Table - Column 2 Heading"/>
    <w:aliases w:val="Right Aligned7"/>
    <w:uiPriority w:val="99"/>
    <w:rPr>
      <w:i/>
      <w:iCs/>
      <w:color w:val="000000"/>
      <w:sz w:val="28"/>
      <w:szCs w:val="28"/>
    </w:rPr>
  </w:style>
  <w:style w:type="character" w:styleId="thr3-Table-Column3Heading" w:customStyle="1">
    <w:name w:val="thr3 - Table - Column 3 Heading"/>
    <w:aliases w:val="Right Aligned6"/>
    <w:uiPriority w:val="99"/>
    <w:rPr>
      <w:i/>
      <w:iCs/>
      <w:color w:val="000000"/>
      <w:sz w:val="28"/>
      <w:szCs w:val="28"/>
    </w:rPr>
  </w:style>
  <w:style w:type="character" w:styleId="thr4-Table-Column4Heading" w:customStyle="1">
    <w:name w:val="thr4 - Table - Column 4 Heading"/>
    <w:aliases w:val="Right Aligned5"/>
    <w:uiPriority w:val="99"/>
    <w:rPr>
      <w:i/>
      <w:iCs/>
      <w:color w:val="000000"/>
      <w:sz w:val="28"/>
      <w:szCs w:val="28"/>
    </w:rPr>
  </w:style>
  <w:style w:type="character" w:styleId="tcr1-Table-Column1Cell" w:customStyle="1">
    <w:name w:val="tcr1 - Table - Column 1 Cell"/>
    <w:aliases w:val="Right Aligned4"/>
    <w:uiPriority w:val="99"/>
    <w:rPr>
      <w:color w:val="000000"/>
      <w:sz w:val="28"/>
      <w:szCs w:val="28"/>
    </w:rPr>
  </w:style>
  <w:style w:type="character" w:styleId="tcr2-Table-Column2Cell" w:customStyle="1">
    <w:name w:val="tcr2 - Table - Column 2 Cell"/>
    <w:aliases w:val="Right Aligned3"/>
    <w:uiPriority w:val="99"/>
    <w:rPr>
      <w:color w:val="000000"/>
      <w:sz w:val="28"/>
      <w:szCs w:val="28"/>
    </w:rPr>
  </w:style>
  <w:style w:type="character" w:styleId="tcr3-Table-Column3Cell" w:customStyle="1">
    <w:name w:val="tcr3 - Table - Column 3 Cell"/>
    <w:aliases w:val="Right Aligned2"/>
    <w:uiPriority w:val="99"/>
    <w:rPr>
      <w:color w:val="000000"/>
      <w:sz w:val="28"/>
      <w:szCs w:val="28"/>
    </w:rPr>
  </w:style>
  <w:style w:type="character" w:styleId="tcr4-Table-Column4Cell" w:customStyle="1">
    <w:name w:val="tcr4 - Table - Column 4 Cell"/>
    <w:aliases w:val="Right Aligned1"/>
    <w:uiPriority w:val="99"/>
    <w:rPr>
      <w:color w:val="000000"/>
      <w:sz w:val="28"/>
      <w:szCs w:val="28"/>
    </w:rPr>
  </w:style>
  <w:style w:type="paragraph" w:styleId="li-ListEntry-Level1" w:customStyle="1">
    <w:name w:val="li - List Entry - Level 1"/>
    <w:uiPriority w:val="99"/>
    <w:pPr>
      <w:widowControl w:val="false"/>
      <w:ind w:hanging="540" w:left="900"/>
    </w:pPr>
    <w:rPr>
      <w:rFonts w:ascii="New Century Schoolbook" w:hAnsi="New Century Schoolbook"/>
      <w:color w:val="000000"/>
      <w:sz w:val="28"/>
      <w:szCs w:val="28"/>
    </w:rPr>
  </w:style>
  <w:style w:type="paragraph" w:styleId="li1-ListEntry-Level1" w:customStyle="1">
    <w:name w:val="li1 - List Entry - Level 1"/>
    <w:uiPriority w:val="99"/>
    <w:pPr>
      <w:widowControl w:val="false"/>
      <w:ind w:hanging="360" w:left="720"/>
    </w:pPr>
    <w:rPr>
      <w:rFonts w:ascii="New Century Schoolbook" w:hAnsi="New Century Schoolbook"/>
      <w:color w:val="000000"/>
      <w:sz w:val="28"/>
      <w:szCs w:val="28"/>
    </w:rPr>
  </w:style>
  <w:style w:type="paragraph" w:styleId="li2-ListEntry-Level2" w:customStyle="1">
    <w:name w:val="li2 - List Entry - Level 2"/>
    <w:uiPriority w:val="99"/>
    <w:pPr>
      <w:widowControl w:val="false"/>
      <w:ind w:hanging="360" w:left="1080"/>
    </w:pPr>
    <w:rPr>
      <w:rFonts w:ascii="New Century Schoolbook" w:hAnsi="New Century Schoolbook"/>
      <w:color w:val="000000"/>
      <w:sz w:val="28"/>
      <w:szCs w:val="28"/>
    </w:rPr>
  </w:style>
  <w:style w:type="paragraph" w:styleId="li3-ListEntry-Level3" w:customStyle="1">
    <w:name w:val="li3 - List Entry - Level 3"/>
    <w:uiPriority w:val="99"/>
    <w:pPr>
      <w:widowControl w:val="false"/>
      <w:ind w:hanging="360" w:left="1440"/>
    </w:pPr>
    <w:rPr>
      <w:rFonts w:ascii="New Century Schoolbook" w:hAnsi="New Century Schoolbook"/>
      <w:color w:val="000000"/>
      <w:sz w:val="28"/>
      <w:szCs w:val="28"/>
    </w:rPr>
  </w:style>
  <w:style w:type="paragraph" w:styleId="li4-ListEntry-Level4" w:customStyle="1">
    <w:name w:val="li4 - List Entry - Level 4"/>
    <w:uiPriority w:val="99"/>
    <w:pPr>
      <w:widowControl w:val="false"/>
      <w:ind w:hanging="360" w:left="1800"/>
    </w:pPr>
    <w:rPr>
      <w:rFonts w:ascii="New Century Schoolbook" w:hAnsi="New Century Schoolbook"/>
      <w:color w:val="000000"/>
      <w:sz w:val="28"/>
      <w:szCs w:val="28"/>
    </w:rPr>
  </w:style>
  <w:style w:type="paragraph" w:styleId="ff-Footnote" w:customStyle="1">
    <w:name w:val="f...f* - Footnote"/>
    <w:uiPriority w:val="99"/>
    <w:pPr>
      <w:widowControl w:val="false"/>
    </w:pPr>
    <w:rPr>
      <w:rFonts w:ascii="New Century Schoolbook" w:hAnsi="New Century Schoolbook"/>
      <w:color w:val="000000"/>
      <w:sz w:val="28"/>
      <w:szCs w:val="28"/>
    </w:rPr>
  </w:style>
  <w:style w:type="paragraph" w:styleId="fefe-Endnote" w:customStyle="1">
    <w:name w:val="fe...fe* - Endnote"/>
    <w:uiPriority w:val="99"/>
    <w:pPr>
      <w:widowControl w:val="false"/>
    </w:pPr>
    <w:rPr>
      <w:rFonts w:ascii="New Century Schoolbook" w:hAnsi="New Century Schoolbook"/>
      <w:color w:val="000000"/>
      <w:sz w:val="28"/>
      <w:szCs w:val="28"/>
    </w:rPr>
  </w:style>
  <w:style w:type="character" w:styleId="fr-Footnote-Reference" w:customStyle="1">
    <w:name w:val="fr - Footnote - Reference"/>
    <w:uiPriority w:val="99"/>
    <w:qFormat/>
    <w:rPr>
      <w:rFonts w:ascii="New Century Schoolbook" w:hAnsi="New Century Schoolbook" w:cs="New Century Schoolbook"/>
      <w:color w:val="auto"/>
      <w:spacing w:val="0"/>
      <w:sz w:val="22"/>
      <w:szCs w:val="18"/>
      <w:vertAlign w:val="superscript"/>
    </w:rPr>
  </w:style>
  <w:style w:type="character" w:styleId="fk-Footnote-Keyword" w:customStyle="1">
    <w:name w:val="fk - Footnote - Keyword"/>
    <w:uiPriority w:val="99"/>
    <w:rPr>
      <w:b/>
      <w:bCs/>
      <w:i/>
      <w:iCs/>
      <w:color w:val="000000"/>
      <w:sz w:val="28"/>
      <w:szCs w:val="28"/>
    </w:rPr>
  </w:style>
  <w:style w:type="character" w:styleId="ft-Footnote-Text" w:customStyle="1">
    <w:name w:val="ft - Footnote - Text"/>
    <w:uiPriority w:val="99"/>
    <w:rPr>
      <w:color w:val="000000"/>
      <w:sz w:val="28"/>
      <w:szCs w:val="28"/>
    </w:rPr>
  </w:style>
  <w:style w:type="character" w:styleId="fq-Footnote-QuotationorAlternateRendering" w:customStyle="1">
    <w:name w:val="fq - Footnote - Quotation or Alternate Rendering"/>
    <w:uiPriority w:val="99"/>
    <w:rPr>
      <w:i/>
      <w:iCs/>
      <w:color w:val="000000"/>
      <w:sz w:val="28"/>
      <w:szCs w:val="28"/>
    </w:rPr>
  </w:style>
  <w:style w:type="character" w:styleId="fqa-Footnote-AlternateTranslationRendering" w:customStyle="1">
    <w:name w:val="fqa - Footnote - Alternate Translation Rendering"/>
    <w:uiPriority w:val="99"/>
    <w:rPr>
      <w:i/>
      <w:iCs/>
      <w:color w:val="000000"/>
      <w:sz w:val="28"/>
      <w:szCs w:val="28"/>
    </w:rPr>
  </w:style>
  <w:style w:type="character" w:styleId="fl-Footnote-LabelText" w:customStyle="1">
    <w:name w:val="fl - Footnote - Label Text"/>
    <w:uiPriority w:val="99"/>
    <w:rPr>
      <w:b/>
      <w:bCs/>
      <w:i/>
      <w:iCs/>
      <w:color w:val="000000"/>
      <w:sz w:val="28"/>
      <w:szCs w:val="28"/>
    </w:rPr>
  </w:style>
  <w:style w:type="character" w:styleId="fp-FootnoteParagraphMark" w:customStyle="1">
    <w:name w:val="fp - Footnote Paragraph Mark"/>
    <w:uiPriority w:val="99"/>
    <w:rPr>
      <w:color w:val="000000"/>
      <w:sz w:val="28"/>
      <w:szCs w:val="28"/>
    </w:rPr>
  </w:style>
  <w:style w:type="character" w:styleId="fvfv-Footnote-EmbeddedVerseNumber" w:customStyle="1">
    <w:name w:val="fv...fv* - Footnote - Embedded Verse Number"/>
    <w:uiPriority w:val="99"/>
    <w:rPr>
      <w:color w:val="000000"/>
      <w:sz w:val="28"/>
      <w:szCs w:val="28"/>
      <w:vertAlign w:val="superscript"/>
    </w:rPr>
  </w:style>
  <w:style w:type="character" w:styleId="fdcfdc-Footnote-DCtext" w:customStyle="1">
    <w:name w:val="fdc...fdc* - Footnote - DC text"/>
    <w:uiPriority w:val="99"/>
    <w:rPr>
      <w:color w:val="000000"/>
      <w:sz w:val="28"/>
      <w:szCs w:val="28"/>
    </w:rPr>
  </w:style>
  <w:style w:type="character" w:styleId="fm-Footnote-AdditionalCallertoPreviousNote" w:customStyle="1">
    <w:name w:val="fm - Footnote - Additional Caller to Previous Note"/>
    <w:uiPriority w:val="99"/>
    <w:rPr>
      <w:color w:val="000000"/>
      <w:sz w:val="28"/>
      <w:szCs w:val="28"/>
      <w:vertAlign w:val="superscript"/>
    </w:rPr>
  </w:style>
  <w:style w:type="paragraph" w:styleId="xx-CrossReference" w:customStyle="1">
    <w:name w:val="x...x* - Cross Reference"/>
    <w:uiPriority w:val="99"/>
    <w:pPr>
      <w:widowControl w:val="false"/>
    </w:pPr>
    <w:rPr>
      <w:rFonts w:ascii="New Century Schoolbook" w:hAnsi="New Century Schoolbook"/>
      <w:color w:val="000000"/>
      <w:sz w:val="28"/>
      <w:szCs w:val="28"/>
    </w:rPr>
  </w:style>
  <w:style w:type="character" w:styleId="xo-CrossReference-OriginReference" w:customStyle="1">
    <w:name w:val="xo - Cross Reference - Origin Reference"/>
    <w:uiPriority w:val="99"/>
    <w:rPr>
      <w:b/>
      <w:bCs/>
      <w:color w:val="000000"/>
      <w:sz w:val="28"/>
      <w:szCs w:val="28"/>
    </w:rPr>
  </w:style>
  <w:style w:type="character" w:styleId="xt-CrossReference-TargetReferences1" w:customStyle="1">
    <w:name w:val="xt - Cross Reference - Target References1"/>
    <w:uiPriority w:val="99"/>
    <w:rPr>
      <w:color w:val="000000"/>
      <w:sz w:val="28"/>
      <w:szCs w:val="28"/>
    </w:rPr>
  </w:style>
  <w:style w:type="character" w:styleId="xk-CrossReference-Keyword" w:customStyle="1">
    <w:name w:val="xk - Cross Reference - Keyword"/>
    <w:uiPriority w:val="99"/>
    <w:rPr>
      <w:i/>
      <w:iCs/>
      <w:color w:val="000000"/>
      <w:sz w:val="28"/>
      <w:szCs w:val="28"/>
    </w:rPr>
  </w:style>
  <w:style w:type="character" w:styleId="xq-CrossReference-Quotation" w:customStyle="1">
    <w:name w:val="xq - Cross Reference - Quotation"/>
    <w:uiPriority w:val="99"/>
    <w:rPr>
      <w:i/>
      <w:iCs/>
      <w:color w:val="000000"/>
      <w:sz w:val="28"/>
      <w:szCs w:val="28"/>
    </w:rPr>
  </w:style>
  <w:style w:type="character" w:styleId="xdcxdc-CrossReference-DCTargetRefs" w:customStyle="1">
    <w:name w:val="xdc...xdc* - Cross Reference - DC Target Refs"/>
    <w:uiPriority w:val="99"/>
    <w:rPr>
      <w:color w:val="000000"/>
      <w:sz w:val="28"/>
      <w:szCs w:val="28"/>
    </w:rPr>
  </w:style>
  <w:style w:type="character" w:styleId="qtqt-SpecialText-QuotedText" w:customStyle="1">
    <w:name w:val="qt...qt* - Special Text - Quoted Text"/>
    <w:aliases w:val="OT in NT1"/>
    <w:uiPriority w:val="99"/>
    <w:rPr>
      <w:i/>
      <w:iCs/>
      <w:color w:val="000000"/>
      <w:sz w:val="26"/>
      <w:szCs w:val="26"/>
    </w:rPr>
  </w:style>
  <w:style w:type="character" w:styleId="tltl-SpecialText-TransliteratedWord" w:customStyle="1">
    <w:name w:val="tl...tl* - Special Text - Transliterated Word"/>
    <w:uiPriority w:val="99"/>
    <w:rPr>
      <w:i/>
      <w:iCs/>
      <w:color w:val="000000"/>
      <w:sz w:val="28"/>
      <w:szCs w:val="28"/>
    </w:rPr>
  </w:style>
  <w:style w:type="character" w:styleId="dc-SpecialText-DeuterocanonicalLXXAdditions" w:customStyle="1">
    <w:name w:val="dc - Special Text - Deuterocanonical/LXX Additions"/>
    <w:uiPriority w:val="99"/>
    <w:rPr>
      <w:i/>
      <w:iCs/>
      <w:color w:val="000000"/>
      <w:sz w:val="28"/>
      <w:szCs w:val="28"/>
    </w:rPr>
  </w:style>
  <w:style w:type="character" w:styleId="bkbk-SpecialText-Quotedbooktitle" w:customStyle="1">
    <w:name w:val="bk...bk* - Special Text - Quoted book title"/>
    <w:uiPriority w:val="99"/>
    <w:rPr>
      <w:i/>
      <w:iCs/>
      <w:color w:val="000000"/>
      <w:sz w:val="28"/>
      <w:szCs w:val="28"/>
    </w:rPr>
  </w:style>
  <w:style w:type="character" w:styleId="sigsig-SpecialText-AuthorsSignatureEpistles" w:customStyle="1">
    <w:name w:val="sig...sig* - Special Text - Author's Signature (Epistles)"/>
    <w:uiPriority w:val="99"/>
    <w:rPr>
      <w:i/>
      <w:iCs/>
      <w:color w:val="000000"/>
      <w:sz w:val="28"/>
      <w:szCs w:val="28"/>
    </w:rPr>
  </w:style>
  <w:style w:type="character" w:styleId="pnpn-SpecialText-ProperName" w:customStyle="1">
    <w:name w:val="pn...pn* - Special Text - Proper Name"/>
    <w:uiPriority w:val="99"/>
    <w:rPr>
      <w:b/>
      <w:bCs/>
      <w:color w:val="000000"/>
      <w:sz w:val="28"/>
      <w:szCs w:val="28"/>
      <w:u w:val="single"/>
    </w:rPr>
  </w:style>
  <w:style w:type="character" w:styleId="addpnaddpn-SpecialTextforChinese" w:customStyle="1">
    <w:name w:val="(addpn...addpn*) - Special Text for Chinese"/>
    <w:uiPriority w:val="99"/>
    <w:rPr>
      <w:b/>
      <w:bCs/>
      <w:i/>
      <w:iCs/>
      <w:color w:val="000000"/>
      <w:sz w:val="28"/>
      <w:szCs w:val="28"/>
      <w:u w:val="single"/>
    </w:rPr>
  </w:style>
  <w:style w:type="character" w:styleId="wjwj-SpecialText-WordsofJesus" w:customStyle="1">
    <w:name w:val="wj...wj* - Special Text - Words of Jesus"/>
    <w:uiPriority w:val="99"/>
    <w:rPr>
      <w:color w:val="000000"/>
      <w:sz w:val="28"/>
      <w:szCs w:val="28"/>
    </w:rPr>
  </w:style>
  <w:style w:type="character" w:styleId="kk-SpecialText-Keyword" w:customStyle="1">
    <w:name w:val="k...k* - Special Text - Keyword"/>
    <w:uiPriority w:val="99"/>
    <w:rPr>
      <w:i/>
      <w:iCs/>
      <w:color w:val="000000"/>
      <w:sz w:val="28"/>
      <w:szCs w:val="28"/>
    </w:rPr>
  </w:style>
  <w:style w:type="character" w:styleId="slssls-SpecialText-SecondaryLanguageorTextSource" w:customStyle="1">
    <w:name w:val="sls...sls* - Special Text - Secondary Language or Text Source"/>
    <w:uiPriority w:val="99"/>
    <w:rPr>
      <w:i/>
      <w:iCs/>
      <w:color w:val="000000"/>
      <w:sz w:val="28"/>
      <w:szCs w:val="28"/>
    </w:rPr>
  </w:style>
  <w:style w:type="character" w:styleId="ordord-SpecialText-Ordinalnumbertextportion" w:customStyle="1">
    <w:name w:val="ord...ord* - Special Text - Ordinal number text portion"/>
    <w:uiPriority w:val="99"/>
    <w:rPr>
      <w:color w:val="000000"/>
      <w:sz w:val="28"/>
      <w:szCs w:val="28"/>
      <w:vertAlign w:val="superscript"/>
    </w:rPr>
  </w:style>
  <w:style w:type="character" w:styleId="addadd-SpecialText-TranslationalAddition" w:customStyle="1">
    <w:name w:val="add...add* - Special Text - Translational Addition"/>
    <w:uiPriority w:val="99"/>
    <w:rPr>
      <w:b/>
      <w:bCs/>
      <w:i/>
      <w:iCs/>
      <w:color w:val="000000"/>
      <w:sz w:val="28"/>
      <w:szCs w:val="28"/>
    </w:rPr>
  </w:style>
  <w:style w:type="paragraph" w:styleId="lit-SpecialText-Liturgicalnote" w:customStyle="1">
    <w:name w:val="lit - Special Text - Liturgical note"/>
    <w:uiPriority w:val="99"/>
    <w:pPr>
      <w:widowControl w:val="false"/>
      <w:jc w:val="right"/>
    </w:pPr>
    <w:rPr>
      <w:rFonts w:ascii="New Century Schoolbook" w:hAnsi="New Century Schoolbook"/>
      <w:b/>
      <w:bCs/>
      <w:color w:val="000000"/>
      <w:sz w:val="28"/>
      <w:szCs w:val="28"/>
    </w:rPr>
  </w:style>
  <w:style w:type="character" w:styleId="nono-Character-NormalText" w:customStyle="1">
    <w:name w:val="no...no* - Character - Normal Text"/>
    <w:uiPriority w:val="99"/>
    <w:rPr>
      <w:color w:val="000000"/>
      <w:sz w:val="28"/>
      <w:szCs w:val="28"/>
    </w:rPr>
  </w:style>
  <w:style w:type="character" w:styleId="itit-Character-ItalicText" w:customStyle="1">
    <w:name w:val="it...it* - Character - Italic Text"/>
    <w:uiPriority w:val="99"/>
    <w:rPr>
      <w:i/>
      <w:iCs/>
      <w:color w:val="000000"/>
      <w:sz w:val="28"/>
      <w:szCs w:val="28"/>
    </w:rPr>
  </w:style>
  <w:style w:type="character" w:styleId="bdbd-Character-BoldText" w:customStyle="1">
    <w:name w:val="bd...bd* - Character - Bold Text"/>
    <w:uiPriority w:val="99"/>
    <w:rPr>
      <w:b/>
      <w:bCs/>
      <w:color w:val="000000"/>
      <w:sz w:val="26"/>
      <w:szCs w:val="26"/>
    </w:rPr>
  </w:style>
  <w:style w:type="character" w:styleId="bditbdit-Character-BoldItalicText" w:customStyle="1">
    <w:name w:val="bdit...bdit* - Character - BoldItalic Text"/>
    <w:uiPriority w:val="99"/>
    <w:rPr>
      <w:b/>
      <w:bCs/>
      <w:i/>
      <w:iCs/>
      <w:color w:val="000000"/>
      <w:sz w:val="28"/>
      <w:szCs w:val="28"/>
    </w:rPr>
  </w:style>
  <w:style w:type="character" w:styleId="emem-Character-EmphasizedText" w:customStyle="1">
    <w:name w:val="em...em* - Character - Emphasized Text"/>
    <w:uiPriority w:val="99"/>
    <w:rPr>
      <w:i/>
      <w:iCs/>
      <w:color w:val="000000"/>
      <w:sz w:val="28"/>
      <w:szCs w:val="28"/>
    </w:rPr>
  </w:style>
  <w:style w:type="character" w:styleId="scsc-Character-SmallCaps" w:customStyle="1">
    <w:name w:val="sc...sc* - Character - Small Caps"/>
    <w:uiPriority w:val="99"/>
    <w:rPr>
      <w:color w:val="000000"/>
      <w:sz w:val="28"/>
      <w:szCs w:val="28"/>
    </w:rPr>
  </w:style>
  <w:style w:type="paragraph" w:styleId="pb-Break-PageBreak" w:customStyle="1">
    <w:name w:val="pb - Break - Page Break"/>
    <w:uiPriority w:val="99"/>
    <w:pPr>
      <w:widowControl w:val="false"/>
    </w:pPr>
    <w:rPr>
      <w:rFonts w:ascii="New Century Schoolbook" w:hAnsi="New Century Schoolbook"/>
      <w:color w:val="000000"/>
      <w:sz w:val="28"/>
      <w:szCs w:val="28"/>
    </w:rPr>
  </w:style>
  <w:style w:type="character" w:styleId="figfig-Auxiliary-FigureIllustrationMap" w:customStyle="1">
    <w:name w:val="fig...fig* - Auxiliary - Figure/Illustration/Map"/>
    <w:uiPriority w:val="99"/>
    <w:rPr>
      <w:color w:val="000000"/>
      <w:sz w:val="28"/>
      <w:szCs w:val="28"/>
    </w:rPr>
  </w:style>
  <w:style w:type="character" w:styleId="propro-SpecialText-CJKProunciation" w:customStyle="1">
    <w:name w:val="pro...pro* - Special Text - CJK Prounciation"/>
    <w:uiPriority w:val="99"/>
    <w:rPr>
      <w:color w:val="000000"/>
    </w:rPr>
  </w:style>
  <w:style w:type="character" w:styleId="ww-PeripheralRef-WordlistEntry" w:customStyle="1">
    <w:name w:val="w...w* - Peripheral Ref - Wordlist Entry"/>
    <w:uiPriority w:val="99"/>
    <w:rPr>
      <w:b/>
      <w:bCs/>
      <w:i/>
      <w:iCs/>
      <w:color w:val="000000"/>
      <w:sz w:val="28"/>
      <w:szCs w:val="28"/>
    </w:rPr>
  </w:style>
  <w:style w:type="character" w:styleId="whwh-PeripheralRef-HebrewWordlistEntry" w:customStyle="1">
    <w:name w:val="wh...wh* - Peripheral Ref - Hebrew Wordlist Entry"/>
    <w:uiPriority w:val="99"/>
    <w:rPr>
      <w:b/>
      <w:bCs/>
      <w:i/>
      <w:iCs/>
      <w:color w:val="000000"/>
      <w:sz w:val="28"/>
      <w:szCs w:val="28"/>
    </w:rPr>
  </w:style>
  <w:style w:type="character" w:styleId="wgwg-PeripheralRef-GreekWordlistEntry" w:customStyle="1">
    <w:name w:val="wg...wg* - Peripheral Ref - Greek Wordlist Entry"/>
    <w:uiPriority w:val="99"/>
    <w:rPr>
      <w:b/>
      <w:bCs/>
      <w:i/>
      <w:iCs/>
      <w:color w:val="000000"/>
      <w:sz w:val="28"/>
      <w:szCs w:val="28"/>
    </w:rPr>
  </w:style>
  <w:style w:type="character" w:styleId="ndxndx-PeripheralRef-SubjectIndexEntry" w:customStyle="1">
    <w:name w:val="ndx...ndx* - Peripheral Ref - Subject Index Entry"/>
    <w:uiPriority w:val="99"/>
    <w:rPr>
      <w:b/>
      <w:bCs/>
      <w:i/>
      <w:iCs/>
      <w:color w:val="000000"/>
      <w:sz w:val="28"/>
      <w:szCs w:val="28"/>
    </w:rPr>
  </w:style>
  <w:style w:type="paragraph" w:styleId="pubPeripherals-FrontMatterPublicationData" w:customStyle="1">
    <w:name w:val="pub Peripherals - Front Matter Publication Data"/>
    <w:uiPriority w:val="99"/>
    <w:pPr>
      <w:widowControl w:val="false"/>
    </w:pPr>
    <w:rPr>
      <w:rFonts w:ascii="New Century Schoolbook" w:hAnsi="New Century Schoolbook"/>
      <w:color w:val="000000"/>
      <w:sz w:val="12"/>
      <w:szCs w:val="12"/>
    </w:rPr>
  </w:style>
  <w:style w:type="paragraph" w:styleId="tocPeripherals-FrontMatterTableofContents" w:customStyle="1">
    <w:name w:val="toc Peripherals - Front Matter Table of Contents"/>
    <w:uiPriority w:val="99"/>
    <w:pPr>
      <w:widowControl w:val="false"/>
    </w:pPr>
    <w:rPr>
      <w:rFonts w:ascii="New Century Schoolbook" w:hAnsi="New Century Schoolbook"/>
      <w:color w:val="000000"/>
      <w:sz w:val="12"/>
      <w:szCs w:val="12"/>
    </w:rPr>
  </w:style>
  <w:style w:type="paragraph" w:styleId="prefPeripherals-FrontMatterPreface" w:customStyle="1">
    <w:name w:val="pref Peripherals - Front Matter Preface"/>
    <w:uiPriority w:val="99"/>
    <w:pPr>
      <w:widowControl w:val="false"/>
    </w:pPr>
    <w:rPr>
      <w:rFonts w:ascii="New Century Schoolbook" w:hAnsi="New Century Schoolbook"/>
      <w:color w:val="000000"/>
      <w:sz w:val="12"/>
      <w:szCs w:val="12"/>
    </w:rPr>
  </w:style>
  <w:style w:type="paragraph" w:styleId="introPeripherals-FrontMatterIntroduction" w:customStyle="1">
    <w:name w:val="intro Peripherals - Front Matter Introduction"/>
    <w:uiPriority w:val="99"/>
    <w:pPr>
      <w:widowControl w:val="false"/>
    </w:pPr>
    <w:rPr>
      <w:rFonts w:ascii="New Century Schoolbook" w:hAnsi="New Century Schoolbook"/>
      <w:color w:val="000000"/>
      <w:sz w:val="12"/>
      <w:szCs w:val="12"/>
    </w:rPr>
  </w:style>
  <w:style w:type="paragraph" w:styleId="concPeripherals-BackMatterConcordance" w:customStyle="1">
    <w:name w:val="conc Peripherals - Back Matter Concordance"/>
    <w:uiPriority w:val="99"/>
    <w:pPr>
      <w:widowControl w:val="false"/>
    </w:pPr>
    <w:rPr>
      <w:rFonts w:ascii="New Century Schoolbook" w:hAnsi="New Century Schoolbook"/>
      <w:color w:val="000000"/>
      <w:sz w:val="12"/>
      <w:szCs w:val="12"/>
    </w:rPr>
  </w:style>
  <w:style w:type="paragraph" w:styleId="gloPeripherals-BackMatterGlossary" w:customStyle="1">
    <w:name w:val="glo Peripherals - Back Matter Glossary"/>
    <w:uiPriority w:val="99"/>
    <w:pPr>
      <w:widowControl w:val="false"/>
    </w:pPr>
    <w:rPr>
      <w:rFonts w:ascii="New Century Schoolbook" w:hAnsi="New Century Schoolbook"/>
      <w:color w:val="000000"/>
      <w:sz w:val="12"/>
      <w:szCs w:val="12"/>
    </w:rPr>
  </w:style>
  <w:style w:type="paragraph" w:styleId="idxPeripherals-BackMatterIndex" w:customStyle="1">
    <w:name w:val="idx Peripherals - Back Matter Index"/>
    <w:uiPriority w:val="99"/>
    <w:pPr>
      <w:widowControl w:val="false"/>
    </w:pPr>
    <w:rPr>
      <w:rFonts w:ascii="New Century Schoolbook" w:hAnsi="New Century Schoolbook"/>
      <w:color w:val="000000"/>
      <w:sz w:val="12"/>
      <w:szCs w:val="12"/>
    </w:rPr>
  </w:style>
  <w:style w:type="paragraph" w:styleId="mapsPeripherals-BackMatterMapIndex" w:customStyle="1">
    <w:name w:val="maps Peripherals - Back Matter Map Index"/>
    <w:uiPriority w:val="99"/>
    <w:pPr>
      <w:widowControl w:val="false"/>
    </w:pPr>
    <w:rPr>
      <w:rFonts w:ascii="New Century Schoolbook" w:hAnsi="New Century Schoolbook"/>
      <w:color w:val="000000"/>
      <w:sz w:val="12"/>
      <w:szCs w:val="12"/>
    </w:rPr>
  </w:style>
  <w:style w:type="paragraph" w:styleId="covPeripherals-Other" w:customStyle="1">
    <w:name w:val="cov Peripherals - Other"/>
    <w:aliases w:val="Cover"/>
    <w:uiPriority w:val="99"/>
    <w:pPr>
      <w:widowControl w:val="false"/>
    </w:pPr>
    <w:rPr>
      <w:rFonts w:ascii="New Century Schoolbook" w:hAnsi="New Century Schoolbook"/>
      <w:color w:val="000000"/>
      <w:sz w:val="12"/>
      <w:szCs w:val="12"/>
    </w:rPr>
  </w:style>
  <w:style w:type="paragraph" w:styleId="spinePeripherals-Other" w:customStyle="1">
    <w:name w:val="spine Peripherals - Other"/>
    <w:aliases w:val="Spine"/>
    <w:uiPriority w:val="99"/>
    <w:pPr>
      <w:widowControl w:val="false"/>
    </w:pPr>
    <w:rPr>
      <w:rFonts w:ascii="New Century Schoolbook" w:hAnsi="New Century Schoolbook"/>
      <w:color w:val="000000"/>
      <w:sz w:val="12"/>
      <w:szCs w:val="12"/>
    </w:rPr>
  </w:style>
  <w:style w:type="paragraph" w:styleId="pubinfo-Publication-Information" w:customStyle="1">
    <w:name w:val="pubinfo - Publication - Information"/>
    <w:uiPriority w:val="99"/>
    <w:pPr>
      <w:widowControl w:val="false"/>
    </w:pPr>
    <w:rPr>
      <w:rFonts w:ascii="New Century Schoolbook" w:hAnsi="New Century Schoolbook"/>
      <w:color w:val="000000"/>
      <w:sz w:val="28"/>
      <w:szCs w:val="28"/>
    </w:rPr>
  </w:style>
  <w:style w:type="paragraph" w:styleId="DEPRECATEDpr-Paragraph-RightAligned" w:customStyle="1">
    <w:name w:val="DEPRECATED pr - Paragraph - Right Aligned"/>
    <w:uiPriority w:val="99"/>
    <w:pPr>
      <w:widowControl w:val="false"/>
      <w:jc w:val="right"/>
    </w:pPr>
    <w:rPr>
      <w:rFonts w:ascii="New Century Schoolbook" w:hAnsi="New Century Schoolbook"/>
      <w:color w:val="000000"/>
      <w:sz w:val="28"/>
      <w:szCs w:val="28"/>
    </w:rPr>
  </w:style>
  <w:style w:type="paragraph" w:styleId="DEPRECATEDph-Paragraph-HangingIndent" w:customStyle="1">
    <w:name w:val="DEPRECATED ph - Paragraph - Hanging Indent"/>
    <w:aliases w:val="Level 13"/>
    <w:uiPriority w:val="99"/>
    <w:pPr>
      <w:widowControl w:val="false"/>
      <w:ind w:hanging="360" w:left="720"/>
    </w:pPr>
    <w:rPr>
      <w:rFonts w:ascii="New Century Schoolbook" w:hAnsi="New Century Schoolbook"/>
      <w:color w:val="000000"/>
      <w:sz w:val="28"/>
      <w:szCs w:val="28"/>
    </w:rPr>
  </w:style>
  <w:style w:type="paragraph" w:styleId="DEPRECATEDph1-Paragraph-HangingIndent" w:customStyle="1">
    <w:name w:val="DEPRECATED ph1 - Paragraph - Hanging Indent"/>
    <w:aliases w:val="Level 12"/>
    <w:uiPriority w:val="99"/>
    <w:pPr>
      <w:widowControl w:val="false"/>
      <w:ind w:hanging="360" w:left="720"/>
    </w:pPr>
    <w:rPr>
      <w:rFonts w:ascii="New Century Schoolbook" w:hAnsi="New Century Schoolbook"/>
      <w:color w:val="000000"/>
      <w:sz w:val="28"/>
      <w:szCs w:val="28"/>
    </w:rPr>
  </w:style>
  <w:style w:type="paragraph" w:styleId="DEPRECATEDph2-Paragraph-HangingIndent" w:customStyle="1">
    <w:name w:val="DEPRECATED ph2 - Paragraph - Hanging Indent"/>
    <w:aliases w:val="Level 22"/>
    <w:uiPriority w:val="99"/>
    <w:pPr>
      <w:widowControl w:val="false"/>
      <w:ind w:hanging="360" w:left="1080"/>
    </w:pPr>
    <w:rPr>
      <w:rFonts w:ascii="New Century Schoolbook" w:hAnsi="New Century Schoolbook"/>
      <w:color w:val="000000"/>
      <w:sz w:val="28"/>
      <w:szCs w:val="28"/>
    </w:rPr>
  </w:style>
  <w:style w:type="paragraph" w:styleId="DEPRECATEDph3-Paragraph-HangingIndent" w:customStyle="1">
    <w:name w:val="DEPRECATED ph3 - Paragraph - Hanging Indent"/>
    <w:aliases w:val="Level 31"/>
    <w:uiPriority w:val="99"/>
    <w:pPr>
      <w:widowControl w:val="false"/>
      <w:ind w:hanging="360" w:left="1440"/>
    </w:pPr>
    <w:rPr>
      <w:rFonts w:ascii="New Century Schoolbook" w:hAnsi="New Century Schoolbook"/>
      <w:color w:val="000000"/>
      <w:sz w:val="28"/>
      <w:szCs w:val="28"/>
    </w:rPr>
  </w:style>
  <w:style w:type="paragraph" w:styleId="DEPRECATEDphi-Paragraph-Indented" w:customStyle="1">
    <w:name w:val="DEPRECATED phi - Paragraph - Indented"/>
    <w:aliases w:val="Hanging Indent1"/>
    <w:uiPriority w:val="99"/>
    <w:pPr>
      <w:widowControl w:val="false"/>
      <w:ind w:left="1440"/>
    </w:pPr>
    <w:rPr>
      <w:rFonts w:ascii="New Century Schoolbook" w:hAnsi="New Century Schoolbook"/>
      <w:color w:val="000000"/>
      <w:sz w:val="28"/>
      <w:szCs w:val="28"/>
    </w:rPr>
  </w:style>
  <w:style w:type="paragraph" w:styleId="OBSOLETEtr1-Table-Row" w:customStyle="1">
    <w:name w:val="OBSOLETE tr1 - Table - Row"/>
    <w:aliases w:val="Level 11"/>
    <w:uiPriority w:val="99"/>
    <w:pPr>
      <w:widowControl w:val="false"/>
      <w:ind w:hanging="360" w:left="720"/>
    </w:pPr>
    <w:rPr>
      <w:rFonts w:ascii="New Century Schoolbook" w:hAnsi="New Century Schoolbook"/>
      <w:color w:val="000000"/>
      <w:sz w:val="28"/>
      <w:szCs w:val="28"/>
    </w:rPr>
  </w:style>
  <w:style w:type="paragraph" w:styleId="OBSOLETEtr2-Table-Row" w:customStyle="1">
    <w:name w:val="OBSOLETE tr2 - Table - Row"/>
    <w:aliases w:val="Level 21"/>
    <w:uiPriority w:val="99"/>
    <w:pPr>
      <w:widowControl w:val="false"/>
      <w:ind w:hanging="360" w:left="1080"/>
    </w:pPr>
    <w:rPr>
      <w:rFonts w:ascii="New Century Schoolbook" w:hAnsi="New Century Schoolbook"/>
      <w:color w:val="000000"/>
      <w:sz w:val="28"/>
      <w:szCs w:val="28"/>
    </w:rPr>
  </w:style>
  <w:style w:type="paragraph" w:styleId="OBSOLETEps-Paragraph-NoBreakwithNextParagraph" w:customStyle="1">
    <w:name w:val="OBSOLETE ps - Paragraph - No Break with Next Paragraph"/>
    <w:uiPriority w:val="99"/>
    <w:pPr>
      <w:widowControl w:val="false"/>
      <w:ind w:firstLine="180"/>
    </w:pPr>
    <w:rPr>
      <w:rFonts w:ascii="New Century Schoolbook" w:hAnsi="New Century Schoolbook"/>
      <w:color w:val="000000"/>
      <w:sz w:val="28"/>
      <w:szCs w:val="28"/>
    </w:rPr>
  </w:style>
  <w:style w:type="paragraph" w:styleId="OBSOLETEpsi-Paragraph-Indented" w:customStyle="1">
    <w:name w:val="OBSOLETE psi - Paragraph - Indented"/>
    <w:aliases w:val="No Break with Next1"/>
    <w:uiPriority w:val="99"/>
    <w:pPr>
      <w:widowControl w:val="false"/>
      <w:ind w:right="360" w:firstLine="180" w:left="360"/>
    </w:pPr>
    <w:rPr>
      <w:rFonts w:ascii="New Century Schoolbook" w:hAnsi="New Century Schoolbook"/>
      <w:color w:val="000000"/>
      <w:sz w:val="28"/>
      <w:szCs w:val="28"/>
    </w:rPr>
  </w:style>
  <w:style w:type="character" w:styleId="OBSOLETEwrwr-Auxiliary-WordlistGlossaryReference" w:customStyle="1">
    <w:name w:val="OBSOLETE wr...wr* - Auxiliary - Wordlist/Glossary Reference"/>
    <w:uiPriority w:val="99"/>
    <w:rPr>
      <w:i/>
      <w:iCs/>
      <w:color w:val="000000"/>
      <w:sz w:val="28"/>
      <w:szCs w:val="28"/>
    </w:rPr>
  </w:style>
  <w:style w:type="paragraph" w:styleId="p1-Periph-FrontBackMatterParagraphLevel1" w:customStyle="1">
    <w:name w:val="p1 - Periph - Front/Back Matter Paragraph Level 1"/>
    <w:uiPriority w:val="99"/>
    <w:pPr>
      <w:widowControl w:val="false"/>
      <w:ind w:firstLine="180"/>
    </w:pPr>
    <w:rPr>
      <w:rFonts w:ascii="New Century Schoolbook" w:hAnsi="New Century Schoolbook"/>
      <w:color w:val="000000"/>
      <w:sz w:val="28"/>
      <w:szCs w:val="28"/>
    </w:rPr>
  </w:style>
  <w:style w:type="paragraph" w:styleId="p2-Periph-FrontBackMatterParagraphLevel2" w:customStyle="1">
    <w:name w:val="p2 - Periph - Front/Back Matter Paragraph Level 2"/>
    <w:uiPriority w:val="99"/>
    <w:pPr>
      <w:widowControl w:val="false"/>
      <w:ind w:firstLine="180" w:left="180"/>
    </w:pPr>
    <w:rPr>
      <w:rFonts w:ascii="New Century Schoolbook" w:hAnsi="New Century Schoolbook"/>
      <w:color w:val="000000"/>
      <w:sz w:val="28"/>
      <w:szCs w:val="28"/>
    </w:rPr>
  </w:style>
  <w:style w:type="paragraph" w:styleId="k1-Periph-ConcordanceKeywordLevel1" w:customStyle="1">
    <w:name w:val="k1 - Periph - Concordance Keyword Level 1"/>
    <w:uiPriority w:val="99"/>
    <w:pPr>
      <w:widowControl w:val="false"/>
    </w:pPr>
    <w:rPr>
      <w:rFonts w:ascii="New Century Schoolbook" w:hAnsi="New Century Schoolbook"/>
      <w:color w:val="000000"/>
      <w:sz w:val="28"/>
      <w:szCs w:val="28"/>
    </w:rPr>
  </w:style>
  <w:style w:type="paragraph" w:styleId="k2-Periph-ConcordanceKeywordLevel2" w:customStyle="1">
    <w:name w:val="k2 - Periph - Concordance Keyword Level 2"/>
    <w:uiPriority w:val="99"/>
    <w:pPr>
      <w:widowControl w:val="false"/>
    </w:pPr>
    <w:rPr>
      <w:rFonts w:ascii="New Century Schoolbook" w:hAnsi="New Century Schoolbook"/>
      <w:color w:val="000000"/>
      <w:sz w:val="28"/>
      <w:szCs w:val="28"/>
    </w:rPr>
  </w:style>
  <w:style w:type="character" w:styleId="efm-StudyNote-IDCaller" w:customStyle="1">
    <w:name w:val="efm - Study Note - ID/Caller"/>
    <w:uiPriority w:val="99"/>
    <w:rPr>
      <w:b/>
      <w:bCs/>
      <w:color w:val="000000"/>
    </w:rPr>
  </w:style>
  <w:style w:type="paragraph" w:styleId="efef-StudyNoteBasic" w:customStyle="1">
    <w:name w:val="ef...ef* - Study Note (Basic)"/>
    <w:uiPriority w:val="99"/>
    <w:pPr>
      <w:widowControl w:val="false"/>
    </w:pPr>
    <w:rPr>
      <w:rFonts w:ascii="New Century Schoolbook" w:hAnsi="New Century Schoolbook"/>
      <w:color w:val="000000"/>
      <w:sz w:val="28"/>
      <w:szCs w:val="28"/>
    </w:rPr>
  </w:style>
  <w:style w:type="paragraph" w:styleId="Quote">
    <w:name w:val="Quote"/>
    <w:basedOn w:val="Normal"/>
    <w:next w:val="Normal"/>
    <w:link w:val="QuoteChar"/>
    <w:uiPriority w:val="29"/>
    <w:qFormat/>
    <w:pPr>
      <w:ind w:firstLine="230"/>
    </w:pPr>
    <w:rPr>
      <w:rFonts w:cs="New Century Schoolbook"/>
      <w:bCs w:val="0"/>
      <w:i/>
      <w:iCs/>
      <w:kern w:val="0"/>
      <w:szCs w:val="24"/>
    </w:rPr>
  </w:style>
  <w:style w:type="character" w:styleId="QuoteChar" w:customStyle="1">
    <w:name w:val="Quote Char"/>
    <w:link w:val="Quote"/>
    <w:uiPriority w:val="29"/>
    <w:rPr>
      <w:rFonts w:ascii="New Century Schoolbook" w:hAnsi="New Century Schoolbook" w:cs="New Century Schoolbook"/>
      <w:i/>
      <w:iCs/>
      <w:color w:val="000000"/>
      <w:sz w:val="24"/>
      <w:szCs w:val="24"/>
      <w:lang w:val="ro-RO" w:eastAsia="en-US" w:bidi="ar-SA"/>
    </w:rPr>
  </w:style>
  <w:style w:type="paragraph" w:styleId="Subtitle">
    <w:name w:val="Subtitle"/>
    <w:basedOn w:val="Normal"/>
    <w:next w:val="Normal"/>
    <w:link w:val="SubtitleChar"/>
    <w:qFormat/>
    <w:pPr>
      <w:spacing w:after="60"/>
      <w:ind w:firstLine="230"/>
      <w:jc w:val="center"/>
      <w:outlineLvl w:val="1"/>
    </w:pPr>
    <w:rPr>
      <w:rFonts w:ascii="Cambria" w:hAnsi="Cambria"/>
      <w:bCs w:val="0"/>
      <w:kern w:val="0"/>
      <w:szCs w:val="24"/>
    </w:rPr>
  </w:style>
  <w:style w:type="character" w:styleId="SubtitleChar" w:customStyle="1">
    <w:name w:val="Subtitle Char"/>
    <w:link w:val="Subtitle"/>
    <w:rPr>
      <w:rFonts w:ascii="Cambria" w:hAnsi="Cambria"/>
      <w:color w:val="000000"/>
      <w:sz w:val="24"/>
      <w:szCs w:val="24"/>
      <w:lang w:val="ro-RO" w:eastAsia="en-US" w:bidi="ar-SA"/>
    </w:rPr>
  </w:style>
  <w:style w:type="character" w:styleId="apple-style-span" w:customStyle="1">
    <w:name w:val="apple-style-span"/>
  </w:style>
  <w:style w:type="character" w:styleId="apple-converted-space" w:customStyle="1">
    <w:name w:val="apple-converted-space"/>
  </w:style>
  <w:style w:type="character" w:styleId="hdr1a" w:customStyle="1">
    <w:name w:val="hdr1a"/>
  </w:style>
  <w:style w:type="character" w:styleId="callerpreview" w:customStyle="1">
    <w:name w:val="caller_preview"/>
  </w:style>
  <w:style w:type="paragraph" w:styleId="normal11" w:customStyle="1">
    <w:name w:val="normal11"/>
    <w:basedOn w:val="Blok"/>
    <w:link w:val="normal11Char"/>
    <w:qFormat/>
    <w:pPr>
      <w:spacing w:line="220" w:lineRule="atLeast"/>
      <w:ind w:firstLine="288"/>
      <w:contextualSpacing w:val="true"/>
    </w:pPr>
    <w:rPr>
      <w:rFonts w:cs="New Century Schoolbook"/>
      <w:bCs w:val="0"/>
    </w:rPr>
  </w:style>
  <w:style w:type="character" w:styleId="normal11Char" w:customStyle="1">
    <w:name w:val="normal11 Char"/>
    <w:link w:val="normal11"/>
    <w:rPr>
      <w:rFonts w:ascii="New Century Schoolbook" w:hAnsi="New Century Schoolbook" w:cs="New Century Schoolbook"/>
      <w:color w:val="000000"/>
      <w:kern w:val="20"/>
      <w:sz w:val="22"/>
      <w:szCs w:val="22"/>
      <w:lang w:val="ro-RO"/>
    </w:rPr>
  </w:style>
  <w:style w:type="paragraph" w:styleId="StyleHeading3LatinHeadingsCSComplexHeadingsCS" w:customStyle="1">
    <w:name w:val="Style Heading 3 + (Latin) +Headings CS (Complex) +Headings CS"/>
    <w:basedOn w:val="Heading3"/>
    <w:pPr/>
    <w:rPr>
      <w:bCs w:val="0"/>
      <w:i w:val="0"/>
      <w:color w:val="auto"/>
      <w:kern w:val="0"/>
      <w:lang w:val="fr-FR"/>
    </w:rPr>
  </w:style>
  <w:style w:type="paragraph" w:styleId="Caset3" w:customStyle="1">
    <w:name w:val="Caset3"/>
    <w:basedOn w:val="Normal"/>
    <w:autoRedefine/>
    <w:qFormat/>
    <w:pPr>
      <w:ind w:firstLine="0"/>
    </w:pPr>
    <w:rPr>
      <w:rFonts w:ascii="Arial" w:hAnsi="Arial" w:cs="Arial"/>
      <w:b/>
      <w:color w:val="auto"/>
      <w:kern w:val="0"/>
      <w:lang w:val="en-US"/>
    </w:rPr>
  </w:style>
  <w:style w:type="paragraph" w:styleId="casetx" w:customStyle="1">
    <w:name w:val="casetx"/>
    <w:basedOn w:val="NoSpacing"/>
    <w:qFormat/>
    <w:pPr>
      <w:framePr w:hAnchor="margin" w:hSpace="187" w:wrap="around" w:xAlign="center" w:yAlign="bottom"/>
      <w:jc w:val="center"/>
    </w:pPr>
    <w:rPr>
      <w:rFonts w:cs="Arial"/>
      <w:sz w:val="32"/>
      <w:szCs w:val="32"/>
    </w:rPr>
  </w:style>
  <w:style w:type="character" w:styleId="usfmv1" w:customStyle="1">
    <w:name w:val="usfm_v1"/>
    <w:rPr>
      <w:color w:val="228b22"/>
      <w:sz w:val="16"/>
      <w:szCs w:val="16"/>
    </w:rPr>
  </w:style>
  <w:style w:type="character" w:styleId="marker1" w:customStyle="1">
    <w:name w:val="marker1"/>
    <w:rPr>
      <w:color w:val="008000"/>
      <w:sz w:val="17"/>
      <w:szCs w:val="17"/>
    </w:rPr>
  </w:style>
  <w:style w:type="paragraph" w:styleId="TOC4">
    <w:name w:val="toc 4"/>
    <w:basedOn w:val="Normal"/>
    <w:next w:val="Normal"/>
    <w:autoRedefine/>
    <w:uiPriority w:val="39"/>
    <w:unhideWhenUsed/>
    <w:pPr>
      <w:spacing w:after="100" w:line="276" w:lineRule="auto"/>
      <w:ind w:firstLine="0" w:left="660"/>
      <w:jc w:val="left"/>
    </w:pPr>
    <w:rPr>
      <w:rFonts w:ascii="Calibri" w:hAnsi="Calibri" w:cs="Arial"/>
      <w:bCs w:val="0"/>
      <w:color w:val="auto"/>
      <w:kern w:val="0"/>
      <w:szCs w:val="22"/>
      <w:lang w:val="en-GB" w:eastAsia="en-GB" w:bidi="he-IL"/>
    </w:rPr>
  </w:style>
  <w:style w:type="paragraph" w:styleId="TOC5">
    <w:name w:val="toc 5"/>
    <w:basedOn w:val="Normal"/>
    <w:next w:val="Normal"/>
    <w:autoRedefine/>
    <w:uiPriority w:val="39"/>
    <w:unhideWhenUsed/>
    <w:pPr>
      <w:spacing w:after="100" w:line="276" w:lineRule="auto"/>
      <w:ind w:firstLine="0" w:left="880"/>
      <w:jc w:val="left"/>
    </w:pPr>
    <w:rPr>
      <w:rFonts w:ascii="Calibri" w:hAnsi="Calibri" w:cs="Arial"/>
      <w:bCs w:val="0"/>
      <w:color w:val="auto"/>
      <w:kern w:val="0"/>
      <w:szCs w:val="22"/>
      <w:lang w:val="en-GB" w:eastAsia="en-GB" w:bidi="he-IL"/>
    </w:rPr>
  </w:style>
  <w:style w:type="paragraph" w:styleId="TOC6">
    <w:name w:val="toc 6"/>
    <w:basedOn w:val="Normal"/>
    <w:next w:val="Normal"/>
    <w:autoRedefine/>
    <w:uiPriority w:val="39"/>
    <w:unhideWhenUsed/>
    <w:pPr>
      <w:spacing w:after="100" w:line="276" w:lineRule="auto"/>
      <w:ind w:firstLine="0" w:left="1100"/>
      <w:jc w:val="left"/>
    </w:pPr>
    <w:rPr>
      <w:rFonts w:ascii="Calibri" w:hAnsi="Calibri" w:cs="Arial"/>
      <w:bCs w:val="0"/>
      <w:color w:val="auto"/>
      <w:kern w:val="0"/>
      <w:szCs w:val="22"/>
      <w:lang w:val="en-GB" w:eastAsia="en-GB" w:bidi="he-IL"/>
    </w:rPr>
  </w:style>
  <w:style w:type="paragraph" w:styleId="TOC7">
    <w:name w:val="toc 7"/>
    <w:basedOn w:val="Normal"/>
    <w:next w:val="Normal"/>
    <w:autoRedefine/>
    <w:uiPriority w:val="39"/>
    <w:unhideWhenUsed/>
    <w:pPr>
      <w:spacing w:after="100" w:line="276" w:lineRule="auto"/>
      <w:ind w:firstLine="0" w:left="1320"/>
      <w:jc w:val="left"/>
    </w:pPr>
    <w:rPr>
      <w:rFonts w:ascii="Calibri" w:hAnsi="Calibri" w:cs="Arial"/>
      <w:bCs w:val="0"/>
      <w:color w:val="auto"/>
      <w:kern w:val="0"/>
      <w:szCs w:val="22"/>
      <w:lang w:val="en-GB" w:eastAsia="en-GB" w:bidi="he-IL"/>
    </w:rPr>
  </w:style>
  <w:style w:type="paragraph" w:styleId="TOC8">
    <w:name w:val="toc 8"/>
    <w:basedOn w:val="Normal"/>
    <w:next w:val="Normal"/>
    <w:autoRedefine/>
    <w:uiPriority w:val="39"/>
    <w:unhideWhenUsed/>
    <w:pPr>
      <w:spacing w:after="100" w:line="276" w:lineRule="auto"/>
      <w:ind w:firstLine="0" w:left="1540"/>
      <w:jc w:val="left"/>
    </w:pPr>
    <w:rPr>
      <w:rFonts w:ascii="Calibri" w:hAnsi="Calibri" w:cs="Arial"/>
      <w:bCs w:val="0"/>
      <w:color w:val="auto"/>
      <w:kern w:val="0"/>
      <w:szCs w:val="22"/>
      <w:lang w:val="en-GB" w:eastAsia="en-GB" w:bidi="he-IL"/>
    </w:rPr>
  </w:style>
  <w:style w:type="paragraph" w:styleId="TOC9">
    <w:name w:val="toc 9"/>
    <w:basedOn w:val="Normal"/>
    <w:next w:val="Normal"/>
    <w:autoRedefine/>
    <w:uiPriority w:val="39"/>
    <w:unhideWhenUsed/>
    <w:pPr>
      <w:spacing w:after="100" w:line="276" w:lineRule="auto"/>
      <w:ind w:firstLine="0" w:left="1760"/>
      <w:jc w:val="left"/>
    </w:pPr>
    <w:rPr>
      <w:rFonts w:ascii="Calibri" w:hAnsi="Calibri" w:cs="Arial"/>
      <w:bCs w:val="0"/>
      <w:color w:val="auto"/>
      <w:kern w:val="0"/>
      <w:szCs w:val="22"/>
      <w:lang w:val="en-GB" w:eastAsia="en-GB" w:bidi="he-IL"/>
    </w:rPr>
  </w:style>
  <w:style w:type="paragraph" w:styleId="bibliografa" w:customStyle="1">
    <w:name w:val="bibliografa"/>
    <w:basedOn w:val="Normal"/>
    <w:link w:val="bibliografaChar"/>
    <w:qFormat/>
    <w:pPr>
      <w:ind w:hanging="397" w:left="397"/>
    </w:pPr>
  </w:style>
  <w:style w:type="character" w:styleId="bibliografaChar" w:customStyle="1">
    <w:name w:val="bibliografa Char"/>
    <w:link w:val="bibliografa"/>
    <w:rPr>
      <w:rFonts w:ascii="New Century Schoolbook" w:hAnsi="New Century Schoolbook"/>
      <w:bCs/>
      <w:color w:val="000000"/>
      <w:kern w:val="20"/>
      <w:sz w:val="24"/>
      <w:lang w:val="ro-RO" w:eastAsia="en-US" w:bidi="ar-SA"/>
    </w:rPr>
  </w:style>
  <w:style w:type="paragraph" w:styleId="footnotes" w:customStyle="1">
    <w:name w:val="footnotes"/>
    <w:basedOn w:val="Normal"/>
    <w:link w:val="footnotesChar"/>
    <w:qFormat/>
    <w:pPr>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ind w:hanging="284" w:left="284"/>
    </w:pPr>
    <w:rPr>
      <w:rFonts w:ascii="Times New Roman" w:hAnsi="Times New Roman"/>
      <w:bCs w:val="0"/>
      <w:color w:val="auto"/>
      <w:kern w:val="0"/>
      <w:sz w:val="20"/>
      <w:szCs w:val="24"/>
    </w:rPr>
  </w:style>
  <w:style w:type="character" w:styleId="footnotesChar" w:customStyle="1">
    <w:name w:val="footnotes Char"/>
    <w:link w:val="footnotes"/>
    <w:rPr>
      <w:szCs w:val="24"/>
    </w:rPr>
  </w:style>
  <w:style w:type="character" w:styleId="usfmqt" w:customStyle="1">
    <w:name w:val="usfm_qt"/>
    <w:basedOn w:val="DefaultParagraphFont"/>
  </w:style>
  <w:style w:type="character" w:styleId="usfmv" w:customStyle="1">
    <w:name w:val="usfm_v"/>
    <w:basedOn w:val="DefaultParagraphFont"/>
  </w:style>
  <w:style w:type="paragraph" w:styleId="blockoutline" w:customStyle="1">
    <w:name w:val="block outline"/>
    <w:basedOn w:val="Blok"/>
    <w:link w:val="blockoutlineChar"/>
    <w:qFormat/>
    <w:pPr>
      <w:spacing w:line="240" w:lineRule="atLeast"/>
      <w:ind w:firstLine="288"/>
    </w:pPr>
    <w:rPr>
      <w:sz w:val="20"/>
      <w:szCs w:val="20"/>
    </w:rPr>
  </w:style>
  <w:style w:type="character" w:styleId="blockoutlineChar" w:customStyle="1">
    <w:name w:val="block outline Char"/>
    <w:basedOn w:val="BlokChar"/>
    <w:link w:val="blockoutline"/>
    <w:rPr>
      <w:rFonts w:ascii="New Century Schoolbook" w:hAnsi="New Century Schoolbook"/>
      <w:bCs/>
      <w:color w:val="000000"/>
      <w:kern w:val="20"/>
      <w:sz w:val="22"/>
      <w:szCs w:val="22"/>
      <w:lang w:val="ro-RO"/>
    </w:rPr>
  </w:style>
</w:styles>
</file>

<file path=word/webSettings.xml><?xml version="1.0" encoding="utf-8"?>
<w:webSetting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header" Target="header3.xml" /><Relationship Id="rId12" Type="http://schemas.openxmlformats.org/officeDocument/2006/relationships/customXml" Target="../customXml/item1.xml" /><Relationship Id="rId13" Type="http://schemas.openxmlformats.org/officeDocument/2006/relationships/image" Target="media/image1.emf"/><Relationship Id="rId14" Type="http://schemas.openxmlformats.org/officeDocument/2006/relationships/image" Target="media/image2.emf"/><Relationship Id="rId15" Type="http://schemas.openxmlformats.org/officeDocument/2006/relationships/image" Target="media/image3.jpg"/><Relationship Id="rId16" Type="http://schemas.openxmlformats.org/officeDocument/2006/relationships/image" Target="media/image4.emf"/><Relationship Id="rId17" Type="http://schemas.openxmlformats.org/officeDocument/2006/relationships/image" Target="media/image5.jpg"/><Relationship Id="rId18" Type="http://schemas.openxmlformats.org/officeDocument/2006/relationships/image" Target="media/image6.emf"/><Relationship Id="rId19" Type="http://schemas.openxmlformats.org/officeDocument/2006/relationships/image" Target="media/image7.emf"/><Relationship Id="rId20" Type="http://schemas.openxmlformats.org/officeDocument/2006/relationships/image" Target="media/image8.emf"/><Relationship Id="rId21" Type="http://schemas.openxmlformats.org/officeDocument/2006/relationships/image" Target="media/image9.pn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emf"/></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s>
</file>

<file path=word/_rels/header3.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Arial"/>
        <a:cs typeface="Arial"/>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95C64-2AB0-4EE2-AE50-6760B2FFE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NTmanual</Template>
  <TotalTime>138</TotalTime>
  <Pages>55</Pages>
  <Words>13527</Words>
  <Characters>77110</Characters>
  <CharactersWithSpaces>90457</CharactersWithSpaces>
  <Application>ONLYOFFICE/9.3.1.8</Application>
  <DocSecurity>0</DocSecurity>
  <Lines>642</Lines>
  <Paragraphs>180</Paragraphs>
  <ScaleCrop>0</ScaleCrop>
  <HeadingPairs>
    <vt:vector size="0" baseType="variant"/>
  </HeadingPairs>
  <TitlesOfParts>
    <vt:vector size="0" baseType="lpstr"/>
  </TitlesOfParts>
  <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Epistolele apostolului Pavel</dc:title>
  <dc:subject>O introducere exegetică</dc:subject>
  <dc:creator>tavib</dc:creator>
  <cp:lastModifiedBy>Octavian D. Baban</cp:lastModifiedBy>
  <cp:revision>30</cp:revision>
  <cp:lastPrinted>2020-05-09T08:20:00Z</cp:lastPrinted>
  <dcterms:created xsi:type="dcterms:W3CDTF">2020-05-06T20:22:00Z</dcterms:created>
  <dcterms:modified xsi:type="dcterms:W3CDTF">2020-05-21T12:09:00Z</dcterms:modified>
</cp:coreProperties>
</file>